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rawings/drawing1.xml" ContentType="application/vnd.openxmlformats-officedocument.drawingml.chartshapes+xml"/>
  <Override PartName="/word/charts/chart10.xml" ContentType="application/vnd.openxmlformats-officedocument.drawingml.chart+xml"/>
  <Override PartName="/word/drawings/drawing2.xml" ContentType="application/vnd.openxmlformats-officedocument.drawingml.chartshapes+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BF3" w:rsidRPr="00B20E4D" w:rsidRDefault="00937BF3" w:rsidP="00937BF3">
      <w:pPr>
        <w:spacing w:after="0" w:line="240" w:lineRule="auto"/>
        <w:jc w:val="center"/>
        <w:rPr>
          <w:rFonts w:ascii="Times New Roman" w:hAnsi="Times New Roman"/>
          <w:b/>
          <w:sz w:val="44"/>
          <w:szCs w:val="44"/>
        </w:rPr>
      </w:pPr>
    </w:p>
    <w:p w:rsidR="00937BF3" w:rsidRPr="00CF3673" w:rsidRDefault="00937BF3" w:rsidP="00937BF3">
      <w:pPr>
        <w:spacing w:after="0" w:line="240" w:lineRule="auto"/>
        <w:jc w:val="center"/>
        <w:rPr>
          <w:rFonts w:ascii="Times New Roman" w:hAnsi="Times New Roman"/>
          <w:b/>
          <w:sz w:val="44"/>
          <w:szCs w:val="44"/>
        </w:rPr>
      </w:pPr>
      <w:r w:rsidRPr="00CF3673">
        <w:rPr>
          <w:rFonts w:ascii="Times New Roman" w:hAnsi="Times New Roman"/>
          <w:b/>
          <w:noProof/>
          <w:sz w:val="44"/>
          <w:szCs w:val="44"/>
          <w:lang w:val="en-US"/>
        </w:rPr>
        <w:drawing>
          <wp:anchor distT="0" distB="0" distL="114300" distR="114300" simplePos="0" relativeHeight="251660288" behindDoc="0" locked="0" layoutInCell="1" allowOverlap="1" wp14:anchorId="4E89C08F" wp14:editId="15AD1DE5">
            <wp:simplePos x="0" y="0"/>
            <wp:positionH relativeFrom="column">
              <wp:posOffset>2599204</wp:posOffset>
            </wp:positionH>
            <wp:positionV relativeFrom="paragraph">
              <wp:posOffset>-333375</wp:posOffset>
            </wp:positionV>
            <wp:extent cx="695325" cy="574040"/>
            <wp:effectExtent l="0" t="0" r="9525" b="0"/>
            <wp:wrapNone/>
            <wp:docPr id="2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cstate="print"/>
                    <a:srcRect/>
                    <a:stretch>
                      <a:fillRect/>
                    </a:stretch>
                  </pic:blipFill>
                  <pic:spPr bwMode="auto">
                    <a:xfrm>
                      <a:off x="0" y="0"/>
                      <a:ext cx="695325" cy="574040"/>
                    </a:xfrm>
                    <a:prstGeom prst="rect">
                      <a:avLst/>
                    </a:prstGeom>
                    <a:noFill/>
                    <a:ln w="9525">
                      <a:noFill/>
                      <a:miter lim="800000"/>
                      <a:headEnd/>
                      <a:tailEnd/>
                    </a:ln>
                  </pic:spPr>
                </pic:pic>
              </a:graphicData>
            </a:graphic>
          </wp:anchor>
        </w:drawing>
      </w:r>
    </w:p>
    <w:p w:rsidR="00937BF3" w:rsidRPr="00CF3673" w:rsidRDefault="004E26B5" w:rsidP="00937BF3">
      <w:pPr>
        <w:spacing w:after="0" w:line="240" w:lineRule="auto"/>
        <w:jc w:val="center"/>
        <w:rPr>
          <w:rFonts w:ascii="Times New Roman" w:hAnsi="Times New Roman"/>
          <w:b/>
          <w:sz w:val="36"/>
          <w:szCs w:val="36"/>
        </w:rPr>
      </w:pPr>
      <w:r w:rsidRPr="00CF3673">
        <w:rPr>
          <w:rFonts w:ascii="Times New Roman" w:hAnsi="Times New Roman"/>
          <w:b/>
          <w:sz w:val="36"/>
          <w:szCs w:val="36"/>
        </w:rPr>
        <w:t>Repú</w:t>
      </w:r>
      <w:r w:rsidR="00937BF3" w:rsidRPr="00CF3673">
        <w:rPr>
          <w:rFonts w:ascii="Times New Roman" w:hAnsi="Times New Roman"/>
          <w:b/>
          <w:sz w:val="36"/>
          <w:szCs w:val="36"/>
        </w:rPr>
        <w:t>blica de Moçambique</w:t>
      </w:r>
    </w:p>
    <w:p w:rsidR="00937BF3" w:rsidRPr="00CF3673" w:rsidRDefault="00937BF3" w:rsidP="00937BF3">
      <w:pPr>
        <w:spacing w:after="0" w:line="240" w:lineRule="auto"/>
        <w:jc w:val="center"/>
        <w:rPr>
          <w:rFonts w:ascii="Times New Roman" w:hAnsi="Times New Roman"/>
          <w:b/>
          <w:sz w:val="36"/>
          <w:szCs w:val="36"/>
        </w:rPr>
      </w:pPr>
      <w:r w:rsidRPr="00CF3673">
        <w:rPr>
          <w:rFonts w:ascii="Times New Roman" w:hAnsi="Times New Roman"/>
          <w:b/>
          <w:sz w:val="36"/>
          <w:szCs w:val="36"/>
        </w:rPr>
        <w:t xml:space="preserve">Ministério da </w:t>
      </w:r>
      <w:bookmarkStart w:id="0" w:name="_GoBack"/>
      <w:bookmarkEnd w:id="0"/>
      <w:r w:rsidRPr="00CF3673">
        <w:rPr>
          <w:rFonts w:ascii="Times New Roman" w:hAnsi="Times New Roman"/>
          <w:b/>
          <w:sz w:val="36"/>
          <w:szCs w:val="36"/>
        </w:rPr>
        <w:t>Planificação e Desenvolvimento</w:t>
      </w:r>
    </w:p>
    <w:p w:rsidR="00937BF3" w:rsidRPr="00CF3673" w:rsidRDefault="00937BF3" w:rsidP="00937BF3">
      <w:pPr>
        <w:spacing w:after="0" w:line="240" w:lineRule="auto"/>
        <w:jc w:val="center"/>
        <w:rPr>
          <w:rFonts w:ascii="Times New Roman" w:hAnsi="Times New Roman"/>
          <w:b/>
          <w:sz w:val="36"/>
          <w:szCs w:val="36"/>
        </w:rPr>
      </w:pPr>
      <w:r w:rsidRPr="00CF3673">
        <w:rPr>
          <w:rFonts w:ascii="Times New Roman" w:hAnsi="Times New Roman"/>
          <w:b/>
          <w:sz w:val="36"/>
          <w:szCs w:val="36"/>
        </w:rPr>
        <w:t>Direcção Nacional de Estudos e Analise de Politicas</w:t>
      </w:r>
    </w:p>
    <w:p w:rsidR="00D6603A" w:rsidRPr="00CF3673" w:rsidRDefault="00D6603A">
      <w:pPr>
        <w:rPr>
          <w:b/>
        </w:rPr>
      </w:pPr>
    </w:p>
    <w:p w:rsidR="00D6603A" w:rsidRPr="00CF3673" w:rsidRDefault="00D6603A">
      <w:pPr>
        <w:rPr>
          <w:b/>
        </w:rPr>
      </w:pPr>
    </w:p>
    <w:p w:rsidR="00937BF3" w:rsidRPr="00CF3673" w:rsidRDefault="00937BF3">
      <w:pPr>
        <w:rPr>
          <w:b/>
        </w:rPr>
      </w:pPr>
    </w:p>
    <w:p w:rsidR="00937BF3" w:rsidRPr="00CF3673" w:rsidRDefault="00937BF3">
      <w:pPr>
        <w:rPr>
          <w:b/>
        </w:rPr>
      </w:pPr>
    </w:p>
    <w:p w:rsidR="00937BF3" w:rsidRPr="00CF3673" w:rsidRDefault="00937BF3">
      <w:pPr>
        <w:rPr>
          <w:b/>
        </w:rPr>
      </w:pPr>
    </w:p>
    <w:p w:rsidR="00E01FB2" w:rsidRPr="00CF3673" w:rsidRDefault="00937BF3" w:rsidP="00937BF3">
      <w:pPr>
        <w:jc w:val="center"/>
        <w:rPr>
          <w:rFonts w:ascii="Times New Roman" w:hAnsi="Times New Roman"/>
          <w:sz w:val="32"/>
          <w:szCs w:val="32"/>
        </w:rPr>
      </w:pPr>
      <w:r w:rsidRPr="00CF3673">
        <w:rPr>
          <w:rFonts w:ascii="Times New Roman" w:hAnsi="Times New Roman"/>
          <w:sz w:val="32"/>
          <w:szCs w:val="32"/>
        </w:rPr>
        <w:t xml:space="preserve">Inquérito as Indústrias Manufactureiras 2012 </w:t>
      </w:r>
    </w:p>
    <w:p w:rsidR="00937BF3" w:rsidRPr="00CF3673" w:rsidRDefault="00937BF3" w:rsidP="00937BF3">
      <w:pPr>
        <w:jc w:val="center"/>
        <w:rPr>
          <w:rFonts w:ascii="Times New Roman" w:hAnsi="Times New Roman"/>
          <w:sz w:val="32"/>
          <w:szCs w:val="32"/>
        </w:rPr>
      </w:pPr>
      <w:r w:rsidRPr="00CF3673">
        <w:rPr>
          <w:rFonts w:ascii="Times New Roman" w:hAnsi="Times New Roman"/>
          <w:sz w:val="32"/>
          <w:szCs w:val="32"/>
        </w:rPr>
        <w:t>(IIM 2012)</w:t>
      </w:r>
    </w:p>
    <w:p w:rsidR="00937BF3" w:rsidRPr="00CF3673" w:rsidRDefault="00937BF3" w:rsidP="00937BF3">
      <w:pPr>
        <w:jc w:val="center"/>
        <w:rPr>
          <w:rFonts w:ascii="Times New Roman" w:hAnsi="Times New Roman"/>
          <w:sz w:val="32"/>
          <w:szCs w:val="32"/>
        </w:rPr>
      </w:pPr>
      <w:r w:rsidRPr="00CF3673">
        <w:rPr>
          <w:rFonts w:ascii="Times New Roman" w:hAnsi="Times New Roman"/>
          <w:sz w:val="32"/>
          <w:szCs w:val="32"/>
        </w:rPr>
        <w:t>(</w:t>
      </w:r>
      <w:r w:rsidR="004F7D5E" w:rsidRPr="00CF3673">
        <w:rPr>
          <w:rFonts w:ascii="Times New Roman" w:hAnsi="Times New Roman"/>
          <w:sz w:val="32"/>
          <w:szCs w:val="32"/>
        </w:rPr>
        <w:t xml:space="preserve">Inquérito às Empresas Manufactureiras Moçambicanas </w:t>
      </w:r>
      <w:r w:rsidR="00E01FB2" w:rsidRPr="00CF3673">
        <w:rPr>
          <w:rFonts w:ascii="Times New Roman" w:hAnsi="Times New Roman"/>
          <w:sz w:val="32"/>
          <w:szCs w:val="32"/>
        </w:rPr>
        <w:t>2012</w:t>
      </w:r>
      <w:r w:rsidRPr="00CF3673">
        <w:rPr>
          <w:rFonts w:ascii="Times New Roman" w:hAnsi="Times New Roman"/>
          <w:sz w:val="32"/>
          <w:szCs w:val="32"/>
        </w:rPr>
        <w:t>)</w:t>
      </w:r>
    </w:p>
    <w:p w:rsidR="00EB5B9F" w:rsidRPr="00CF3673" w:rsidRDefault="00EB5B9F" w:rsidP="00937BF3">
      <w:pPr>
        <w:jc w:val="center"/>
        <w:rPr>
          <w:rFonts w:ascii="Times New Roman" w:hAnsi="Times New Roman"/>
          <w:sz w:val="32"/>
          <w:szCs w:val="32"/>
        </w:rPr>
      </w:pPr>
    </w:p>
    <w:p w:rsidR="004F7D5E" w:rsidRPr="00CF3673" w:rsidRDefault="004F7D5E" w:rsidP="00937BF3">
      <w:pPr>
        <w:jc w:val="center"/>
        <w:rPr>
          <w:rFonts w:ascii="Times New Roman" w:hAnsi="Times New Roman"/>
          <w:sz w:val="32"/>
          <w:szCs w:val="32"/>
        </w:rPr>
      </w:pPr>
      <w:r w:rsidRPr="00CF3673">
        <w:rPr>
          <w:rFonts w:ascii="Times New Roman" w:hAnsi="Times New Roman"/>
          <w:sz w:val="32"/>
          <w:szCs w:val="32"/>
        </w:rPr>
        <w:t>Relatório Descritivo</w:t>
      </w:r>
    </w:p>
    <w:p w:rsidR="00937BF3" w:rsidRPr="00CF3673" w:rsidRDefault="00937BF3" w:rsidP="00937BF3">
      <w:pPr>
        <w:jc w:val="center"/>
        <w:rPr>
          <w:rFonts w:ascii="Times New Roman" w:hAnsi="Times New Roman"/>
          <w:sz w:val="32"/>
          <w:szCs w:val="32"/>
        </w:rPr>
      </w:pPr>
    </w:p>
    <w:p w:rsidR="00937BF3" w:rsidRPr="00CF3673" w:rsidRDefault="00937BF3" w:rsidP="00937BF3">
      <w:pPr>
        <w:jc w:val="center"/>
        <w:rPr>
          <w:rFonts w:ascii="Times New Roman" w:hAnsi="Times New Roman"/>
          <w:sz w:val="32"/>
          <w:szCs w:val="32"/>
        </w:rPr>
      </w:pPr>
    </w:p>
    <w:p w:rsidR="00937BF3" w:rsidRPr="00CF3673" w:rsidRDefault="00937BF3" w:rsidP="00937BF3">
      <w:pPr>
        <w:jc w:val="center"/>
        <w:rPr>
          <w:rFonts w:ascii="Times New Roman" w:hAnsi="Times New Roman"/>
          <w:sz w:val="32"/>
          <w:szCs w:val="32"/>
        </w:rPr>
      </w:pPr>
    </w:p>
    <w:p w:rsidR="00937BF3" w:rsidRPr="00CF3673" w:rsidRDefault="00937BF3" w:rsidP="00937BF3">
      <w:pPr>
        <w:jc w:val="center"/>
        <w:rPr>
          <w:rFonts w:ascii="Times New Roman" w:hAnsi="Times New Roman"/>
          <w:sz w:val="32"/>
          <w:szCs w:val="32"/>
        </w:rPr>
      </w:pPr>
    </w:p>
    <w:p w:rsidR="00937BF3" w:rsidRPr="00CF3673" w:rsidRDefault="00937BF3" w:rsidP="00937BF3">
      <w:pPr>
        <w:jc w:val="center"/>
        <w:rPr>
          <w:rFonts w:ascii="Times New Roman" w:hAnsi="Times New Roman"/>
          <w:sz w:val="32"/>
          <w:szCs w:val="32"/>
        </w:rPr>
      </w:pPr>
    </w:p>
    <w:p w:rsidR="00937BF3" w:rsidRPr="00CF3673" w:rsidRDefault="00937BF3" w:rsidP="00937BF3">
      <w:pPr>
        <w:jc w:val="center"/>
        <w:rPr>
          <w:rFonts w:ascii="Times New Roman" w:hAnsi="Times New Roman"/>
          <w:sz w:val="32"/>
          <w:szCs w:val="32"/>
        </w:rPr>
      </w:pPr>
    </w:p>
    <w:p w:rsidR="00937BF3" w:rsidRPr="00CF3673" w:rsidRDefault="00937BF3" w:rsidP="00937BF3">
      <w:pPr>
        <w:jc w:val="center"/>
        <w:rPr>
          <w:rFonts w:ascii="Times New Roman" w:hAnsi="Times New Roman"/>
          <w:sz w:val="32"/>
          <w:szCs w:val="32"/>
        </w:rPr>
      </w:pPr>
      <w:r w:rsidRPr="00CF3673">
        <w:rPr>
          <w:rFonts w:ascii="Times New Roman" w:hAnsi="Times New Roman"/>
          <w:sz w:val="32"/>
          <w:szCs w:val="32"/>
        </w:rPr>
        <w:t>Copenhag</w:t>
      </w:r>
      <w:r w:rsidR="004F7D5E" w:rsidRPr="00CF3673">
        <w:rPr>
          <w:rFonts w:ascii="Times New Roman" w:hAnsi="Times New Roman"/>
          <w:sz w:val="32"/>
          <w:szCs w:val="32"/>
        </w:rPr>
        <w:t>a</w:t>
      </w:r>
      <w:r w:rsidRPr="00CF3673">
        <w:rPr>
          <w:rFonts w:ascii="Times New Roman" w:hAnsi="Times New Roman"/>
          <w:sz w:val="32"/>
          <w:szCs w:val="32"/>
        </w:rPr>
        <w:t xml:space="preserve">, </w:t>
      </w:r>
      <w:r w:rsidR="00E01FB2" w:rsidRPr="00CF3673">
        <w:rPr>
          <w:rFonts w:ascii="Times New Roman" w:hAnsi="Times New Roman"/>
          <w:sz w:val="32"/>
          <w:szCs w:val="32"/>
        </w:rPr>
        <w:t>Ju</w:t>
      </w:r>
      <w:r w:rsidR="004F7D5E" w:rsidRPr="00CF3673">
        <w:rPr>
          <w:rFonts w:ascii="Times New Roman" w:hAnsi="Times New Roman"/>
          <w:sz w:val="32"/>
          <w:szCs w:val="32"/>
        </w:rPr>
        <w:t>lho</w:t>
      </w:r>
      <w:r w:rsidRPr="00CF3673">
        <w:rPr>
          <w:rFonts w:ascii="Times New Roman" w:hAnsi="Times New Roman"/>
          <w:sz w:val="32"/>
          <w:szCs w:val="32"/>
        </w:rPr>
        <w:t>, 201</w:t>
      </w:r>
      <w:r w:rsidR="00F9577A" w:rsidRPr="00CF3673">
        <w:rPr>
          <w:rFonts w:ascii="Times New Roman" w:hAnsi="Times New Roman"/>
          <w:sz w:val="32"/>
          <w:szCs w:val="32"/>
        </w:rPr>
        <w:t>3</w:t>
      </w:r>
    </w:p>
    <w:p w:rsidR="00937BF3" w:rsidRPr="00CF3673" w:rsidRDefault="00937BF3" w:rsidP="00937BF3">
      <w:pPr>
        <w:jc w:val="center"/>
        <w:rPr>
          <w:rFonts w:ascii="Times New Roman" w:hAnsi="Times New Roman"/>
          <w:sz w:val="32"/>
          <w:szCs w:val="32"/>
        </w:rPr>
      </w:pPr>
    </w:p>
    <w:p w:rsidR="00D6603A" w:rsidRPr="00CF3673" w:rsidRDefault="00D6603A">
      <w:pPr>
        <w:rPr>
          <w:b/>
          <w:u w:val="single"/>
        </w:rPr>
      </w:pPr>
      <w:bookmarkStart w:id="1" w:name="_Toc344732668"/>
      <w:bookmarkStart w:id="2" w:name="_Toc344734292"/>
      <w:r w:rsidRPr="00CF3673">
        <w:br w:type="page"/>
      </w:r>
    </w:p>
    <w:p w:rsidR="004F7D5E" w:rsidRPr="00CF3673" w:rsidRDefault="004F7D5E" w:rsidP="001E664B">
      <w:pPr>
        <w:pStyle w:val="ChapterTitle"/>
        <w:rPr>
          <w:lang w:val="pt-PT"/>
        </w:rPr>
      </w:pPr>
      <w:bookmarkStart w:id="3" w:name="_Toc344742100"/>
      <w:bookmarkStart w:id="4" w:name="_Toc351187878"/>
      <w:bookmarkStart w:id="5" w:name="_Toc360720374"/>
      <w:r w:rsidRPr="00CF3673">
        <w:rPr>
          <w:lang w:val="pt-PT"/>
        </w:rPr>
        <w:lastRenderedPageBreak/>
        <w:t>Prefácio</w:t>
      </w:r>
    </w:p>
    <w:bookmarkEnd w:id="1"/>
    <w:bookmarkEnd w:id="2"/>
    <w:bookmarkEnd w:id="3"/>
    <w:bookmarkEnd w:id="4"/>
    <w:bookmarkEnd w:id="5"/>
    <w:p w:rsidR="004F7D5E" w:rsidRPr="00CF3673" w:rsidRDefault="004F7D5E" w:rsidP="001E664B">
      <w:pPr>
        <w:pStyle w:val="MainText"/>
        <w:rPr>
          <w:lang w:val="pt-PT"/>
        </w:rPr>
      </w:pPr>
      <w:r w:rsidRPr="00CF3673">
        <w:rPr>
          <w:lang w:val="pt-PT"/>
        </w:rPr>
        <w:t xml:space="preserve">Este </w:t>
      </w:r>
      <w:r w:rsidR="00FB0CC2" w:rsidRPr="00CF3673">
        <w:rPr>
          <w:lang w:val="pt-PT"/>
        </w:rPr>
        <w:t>r</w:t>
      </w:r>
      <w:r w:rsidR="00E666A9" w:rsidRPr="00CF3673">
        <w:rPr>
          <w:lang w:val="pt-PT"/>
        </w:rPr>
        <w:t xml:space="preserve">elatório apresenta resultados </w:t>
      </w:r>
      <w:r w:rsidRPr="00CF3673">
        <w:rPr>
          <w:lang w:val="pt-PT"/>
        </w:rPr>
        <w:t>do Inquérito às empresas manufactureiras moçambicanas em 2012 (</w:t>
      </w:r>
      <w:r w:rsidR="00FB0CC2" w:rsidRPr="00CF3673">
        <w:rPr>
          <w:lang w:val="pt-PT"/>
        </w:rPr>
        <w:t xml:space="preserve">também designado </w:t>
      </w:r>
      <w:r w:rsidRPr="00CF3673">
        <w:rPr>
          <w:lang w:val="pt-PT"/>
        </w:rPr>
        <w:t>Inquérito às Indústrias Manufactureiras 2012 ou simplesmente IIM2012). O inquérito foi planificado e conduzido pela Confederação das Associações Económicas de Moçambique (CTA)</w:t>
      </w:r>
      <w:r w:rsidR="00F36971" w:rsidRPr="00CF3673">
        <w:rPr>
          <w:lang w:val="pt-PT"/>
        </w:rPr>
        <w:t xml:space="preserve"> juntamente com a</w:t>
      </w:r>
      <w:r w:rsidR="00E666A9" w:rsidRPr="00CF3673">
        <w:rPr>
          <w:lang w:val="pt-PT"/>
        </w:rPr>
        <w:t xml:space="preserve"> </w:t>
      </w:r>
      <w:r w:rsidRPr="00CF3673">
        <w:rPr>
          <w:lang w:val="pt-PT"/>
        </w:rPr>
        <w:t xml:space="preserve">Direcção Nacional de </w:t>
      </w:r>
      <w:r w:rsidR="00C22F3B" w:rsidRPr="00CF3673">
        <w:rPr>
          <w:lang w:val="pt-PT"/>
        </w:rPr>
        <w:t xml:space="preserve">Estudos e </w:t>
      </w:r>
      <w:r w:rsidRPr="00CF3673">
        <w:rPr>
          <w:lang w:val="pt-PT"/>
        </w:rPr>
        <w:t>Análise de Politicas</w:t>
      </w:r>
      <w:r w:rsidR="00C22F3B" w:rsidRPr="00CF3673">
        <w:rPr>
          <w:lang w:val="pt-PT"/>
        </w:rPr>
        <w:t xml:space="preserve"> (DNEAP)</w:t>
      </w:r>
      <w:r w:rsidRPr="00CF3673">
        <w:rPr>
          <w:lang w:val="pt-PT"/>
        </w:rPr>
        <w:t xml:space="preserve"> no Ministério da Planificação e Desenvolvimento (MPD) e </w:t>
      </w:r>
      <w:r w:rsidR="00E666A9" w:rsidRPr="00CF3673">
        <w:rPr>
          <w:lang w:val="pt-PT"/>
        </w:rPr>
        <w:t xml:space="preserve">pelo </w:t>
      </w:r>
      <w:r w:rsidRPr="00CF3673">
        <w:rPr>
          <w:lang w:val="pt-PT"/>
        </w:rPr>
        <w:t xml:space="preserve">Grupo de Pesquisa de Economia do Desenvolvimento (DERG) da Universidade de Copenhaga, </w:t>
      </w:r>
      <w:r w:rsidR="00F36971" w:rsidRPr="00CF3673">
        <w:rPr>
          <w:lang w:val="pt-PT"/>
        </w:rPr>
        <w:t xml:space="preserve">e </w:t>
      </w:r>
      <w:r w:rsidRPr="00CF3673">
        <w:rPr>
          <w:lang w:val="pt-PT"/>
        </w:rPr>
        <w:t xml:space="preserve">com apoio financeiro da Agencia </w:t>
      </w:r>
      <w:r w:rsidR="00C22F3B" w:rsidRPr="00CF3673">
        <w:rPr>
          <w:lang w:val="pt-PT"/>
        </w:rPr>
        <w:t>Dinamarquesa de Desenvolvimento Internacional (DANIDA).</w:t>
      </w:r>
      <w:r w:rsidRPr="00CF3673">
        <w:rPr>
          <w:lang w:val="pt-PT"/>
        </w:rPr>
        <w:t xml:space="preserve">   </w:t>
      </w:r>
    </w:p>
    <w:p w:rsidR="00027F82" w:rsidRPr="00CF3673" w:rsidRDefault="00F36971" w:rsidP="001E664B">
      <w:pPr>
        <w:pStyle w:val="MainText"/>
        <w:rPr>
          <w:lang w:val="pt-PT"/>
        </w:rPr>
      </w:pPr>
      <w:r w:rsidRPr="00CF3673">
        <w:rPr>
          <w:lang w:val="pt-PT"/>
        </w:rPr>
        <w:t>O IIM2012 faz</w:t>
      </w:r>
      <w:r w:rsidR="00E666A9" w:rsidRPr="00CF3673">
        <w:rPr>
          <w:lang w:val="pt-PT"/>
        </w:rPr>
        <w:t xml:space="preserve"> seguimento de outro</w:t>
      </w:r>
      <w:r w:rsidR="00C22F3B" w:rsidRPr="00CF3673">
        <w:rPr>
          <w:lang w:val="pt-PT"/>
        </w:rPr>
        <w:t xml:space="preserve">s </w:t>
      </w:r>
      <w:r w:rsidR="00E666A9" w:rsidRPr="00CF3673">
        <w:rPr>
          <w:lang w:val="pt-PT"/>
        </w:rPr>
        <w:t>inquéritos conduzidos pela</w:t>
      </w:r>
      <w:r w:rsidR="00C22F3B" w:rsidRPr="00CF3673">
        <w:rPr>
          <w:lang w:val="pt-PT"/>
        </w:rPr>
        <w:t xml:space="preserve"> DNEAP (2006) e pelo Banco Mundial (ICA, 2009) e faz rastreio de 216 </w:t>
      </w:r>
      <w:r w:rsidR="00E666A9" w:rsidRPr="00CF3673">
        <w:rPr>
          <w:lang w:val="pt-PT"/>
        </w:rPr>
        <w:t xml:space="preserve">empresas </w:t>
      </w:r>
      <w:r w:rsidRPr="00CF3673">
        <w:rPr>
          <w:lang w:val="pt-PT"/>
        </w:rPr>
        <w:t>abrangidas n</w:t>
      </w:r>
      <w:r w:rsidR="00C22F3B" w:rsidRPr="00CF3673">
        <w:rPr>
          <w:lang w:val="pt-PT"/>
        </w:rPr>
        <w:t>este</w:t>
      </w:r>
      <w:r w:rsidR="00E666A9" w:rsidRPr="00CF3673">
        <w:rPr>
          <w:lang w:val="pt-PT"/>
        </w:rPr>
        <w:t xml:space="preserve">s </w:t>
      </w:r>
      <w:r w:rsidR="00C22F3B" w:rsidRPr="00CF3673">
        <w:rPr>
          <w:lang w:val="pt-PT"/>
        </w:rPr>
        <w:t>inquérito</w:t>
      </w:r>
      <w:r w:rsidR="00E666A9" w:rsidRPr="00CF3673">
        <w:rPr>
          <w:lang w:val="pt-PT"/>
        </w:rPr>
        <w:t>s</w:t>
      </w:r>
      <w:r w:rsidR="00C22F3B" w:rsidRPr="00CF3673">
        <w:rPr>
          <w:lang w:val="pt-PT"/>
        </w:rPr>
        <w:t xml:space="preserve">. Mais ainda, cerca de 554 </w:t>
      </w:r>
      <w:r w:rsidR="00FB0CC2" w:rsidRPr="00CF3673">
        <w:rPr>
          <w:lang w:val="pt-PT"/>
        </w:rPr>
        <w:t xml:space="preserve">empresas </w:t>
      </w:r>
      <w:r w:rsidR="00C22F3B" w:rsidRPr="00CF3673">
        <w:rPr>
          <w:lang w:val="pt-PT"/>
        </w:rPr>
        <w:t xml:space="preserve">não abrangidas </w:t>
      </w:r>
      <w:r w:rsidR="00FB0CC2" w:rsidRPr="00CF3673">
        <w:rPr>
          <w:lang w:val="pt-PT"/>
        </w:rPr>
        <w:t>por aqueles inquérito</w:t>
      </w:r>
      <w:r w:rsidRPr="00CF3673">
        <w:rPr>
          <w:lang w:val="pt-PT"/>
        </w:rPr>
        <w:t>s</w:t>
      </w:r>
      <w:r w:rsidR="00FB0CC2" w:rsidRPr="00CF3673">
        <w:rPr>
          <w:lang w:val="pt-PT"/>
        </w:rPr>
        <w:t xml:space="preserve"> </w:t>
      </w:r>
      <w:r w:rsidR="00C22F3B" w:rsidRPr="00CF3673">
        <w:rPr>
          <w:lang w:val="pt-PT"/>
        </w:rPr>
        <w:t>no passado foram entrevistadas</w:t>
      </w:r>
      <w:r w:rsidRPr="00CF3673">
        <w:rPr>
          <w:lang w:val="pt-PT"/>
        </w:rPr>
        <w:t xml:space="preserve"> neste IIM2012</w:t>
      </w:r>
      <w:r w:rsidR="00C22F3B" w:rsidRPr="00CF3673">
        <w:rPr>
          <w:lang w:val="pt-PT"/>
        </w:rPr>
        <w:t>.</w:t>
      </w:r>
      <w:r w:rsidRPr="00CF3673">
        <w:rPr>
          <w:lang w:val="pt-PT"/>
        </w:rPr>
        <w:t>O inquérito</w:t>
      </w:r>
      <w:r w:rsidR="00027F82" w:rsidRPr="00CF3673">
        <w:rPr>
          <w:lang w:val="pt-PT"/>
        </w:rPr>
        <w:t xml:space="preserve"> teve uma cobertura geográfica de 10 cidades </w:t>
      </w:r>
      <w:r w:rsidR="00800C28" w:rsidRPr="00CF3673">
        <w:rPr>
          <w:lang w:val="pt-PT"/>
        </w:rPr>
        <w:t xml:space="preserve">(Maputo, Matola, Beira, Nampula, Nacala, Chimoio, Tete, </w:t>
      </w:r>
      <w:proofErr w:type="spellStart"/>
      <w:r w:rsidR="00800C28" w:rsidRPr="00CF3673">
        <w:rPr>
          <w:lang w:val="pt-PT"/>
        </w:rPr>
        <w:t>Moatize</w:t>
      </w:r>
      <w:proofErr w:type="spellEnd"/>
      <w:r w:rsidR="00800C28" w:rsidRPr="00CF3673">
        <w:rPr>
          <w:lang w:val="pt-PT"/>
        </w:rPr>
        <w:t xml:space="preserve">, </w:t>
      </w:r>
      <w:proofErr w:type="spellStart"/>
      <w:r w:rsidR="00800C28" w:rsidRPr="00CF3673">
        <w:rPr>
          <w:lang w:val="pt-PT"/>
        </w:rPr>
        <w:t>Xai-Xai</w:t>
      </w:r>
      <w:proofErr w:type="spellEnd"/>
      <w:r w:rsidR="00800C28" w:rsidRPr="00CF3673">
        <w:rPr>
          <w:lang w:val="pt-PT"/>
        </w:rPr>
        <w:t xml:space="preserve"> </w:t>
      </w:r>
      <w:r w:rsidR="00027F82" w:rsidRPr="00CF3673">
        <w:rPr>
          <w:lang w:val="pt-PT"/>
        </w:rPr>
        <w:t>e</w:t>
      </w:r>
      <w:r w:rsidR="00800C28" w:rsidRPr="00CF3673">
        <w:rPr>
          <w:lang w:val="pt-PT"/>
        </w:rPr>
        <w:t xml:space="preserve"> </w:t>
      </w:r>
      <w:proofErr w:type="spellStart"/>
      <w:r w:rsidR="00027F82" w:rsidRPr="00CF3673">
        <w:rPr>
          <w:lang w:val="pt-PT"/>
        </w:rPr>
        <w:t>Chókwe</w:t>
      </w:r>
      <w:proofErr w:type="spellEnd"/>
      <w:r w:rsidR="00800C28" w:rsidRPr="00CF3673">
        <w:rPr>
          <w:lang w:val="pt-PT"/>
        </w:rPr>
        <w:t xml:space="preserve">) </w:t>
      </w:r>
      <w:r w:rsidR="00027F82" w:rsidRPr="00CF3673">
        <w:rPr>
          <w:lang w:val="pt-PT"/>
        </w:rPr>
        <w:t xml:space="preserve">em </w:t>
      </w:r>
      <w:r w:rsidR="009243AB" w:rsidRPr="00CF3673">
        <w:rPr>
          <w:lang w:val="pt-PT"/>
        </w:rPr>
        <w:t xml:space="preserve">7 </w:t>
      </w:r>
      <w:r w:rsidR="00027F82" w:rsidRPr="00CF3673">
        <w:rPr>
          <w:lang w:val="pt-PT"/>
        </w:rPr>
        <w:t>províncias de Moçambique que no seu conjunto perfazem 60% da população</w:t>
      </w:r>
      <w:r w:rsidRPr="00CF3673">
        <w:rPr>
          <w:lang w:val="pt-PT"/>
        </w:rPr>
        <w:t xml:space="preserve"> de empresas</w:t>
      </w:r>
      <w:r w:rsidR="00027F82" w:rsidRPr="00CF3673">
        <w:rPr>
          <w:lang w:val="pt-PT"/>
        </w:rPr>
        <w:t xml:space="preserve"> da indústria manufactureira</w:t>
      </w:r>
      <w:r w:rsidRPr="00CF3673">
        <w:rPr>
          <w:lang w:val="pt-PT"/>
        </w:rPr>
        <w:t>.</w:t>
      </w:r>
    </w:p>
    <w:p w:rsidR="00027F82" w:rsidRPr="00CF3673" w:rsidRDefault="00027F82" w:rsidP="001E664B">
      <w:pPr>
        <w:pStyle w:val="MainText"/>
        <w:rPr>
          <w:lang w:val="pt-PT"/>
        </w:rPr>
      </w:pPr>
      <w:r w:rsidRPr="00CF3673">
        <w:rPr>
          <w:lang w:val="pt-PT"/>
        </w:rPr>
        <w:t xml:space="preserve">A estratégia de amostragem e o questionário foram preparados pela DNEAP e DERG em estreita colaboração com a CTA. As entrevistas foram conduzidas por uma equipa de inquiridores liderados pela CTA entre </w:t>
      </w:r>
      <w:r w:rsidR="00F36971" w:rsidRPr="00CF3673">
        <w:rPr>
          <w:lang w:val="pt-PT"/>
        </w:rPr>
        <w:t xml:space="preserve">os meses de </w:t>
      </w:r>
      <w:r w:rsidRPr="00CF3673">
        <w:rPr>
          <w:lang w:val="pt-PT"/>
        </w:rPr>
        <w:t>Maio a Agosto de 2012, tendo a DNEAP e a DERG prestado assistência</w:t>
      </w:r>
      <w:r w:rsidR="00F36971" w:rsidRPr="00CF3673">
        <w:rPr>
          <w:lang w:val="pt-PT"/>
        </w:rPr>
        <w:t xml:space="preserve"> durante o processo</w:t>
      </w:r>
      <w:r w:rsidRPr="00CF3673">
        <w:rPr>
          <w:lang w:val="pt-PT"/>
        </w:rPr>
        <w:t>. O processamento de dados foi liderado</w:t>
      </w:r>
      <w:r w:rsidR="00F36971" w:rsidRPr="00CF3673">
        <w:rPr>
          <w:lang w:val="pt-PT"/>
        </w:rPr>
        <w:t xml:space="preserve"> e conduzido</w:t>
      </w:r>
      <w:r w:rsidRPr="00CF3673">
        <w:rPr>
          <w:lang w:val="pt-PT"/>
        </w:rPr>
        <w:t xml:space="preserve"> pela equipa do Instituto Nacional de Estatística (INE), a validação e </w:t>
      </w:r>
      <w:r w:rsidR="003969F2" w:rsidRPr="00CF3673">
        <w:rPr>
          <w:lang w:val="pt-PT"/>
        </w:rPr>
        <w:t>análise</w:t>
      </w:r>
      <w:r w:rsidRPr="00CF3673">
        <w:rPr>
          <w:lang w:val="pt-PT"/>
        </w:rPr>
        <w:t xml:space="preserve"> foram conduzidas pela DERG.  </w:t>
      </w:r>
    </w:p>
    <w:p w:rsidR="003969F2" w:rsidRPr="00CF3673" w:rsidRDefault="00F36971" w:rsidP="001E664B">
      <w:pPr>
        <w:pStyle w:val="MainText"/>
        <w:rPr>
          <w:lang w:val="pt-PT"/>
        </w:rPr>
      </w:pPr>
      <w:r w:rsidRPr="00CF3673">
        <w:rPr>
          <w:lang w:val="pt-PT"/>
        </w:rPr>
        <w:t xml:space="preserve">Este </w:t>
      </w:r>
      <w:r w:rsidR="003969F2" w:rsidRPr="00CF3673">
        <w:rPr>
          <w:lang w:val="pt-PT"/>
        </w:rPr>
        <w:t xml:space="preserve">inquérito é um projecto conjunto de pesquisa cujo objectivo é recolher e analisar dados </w:t>
      </w:r>
      <w:r w:rsidRPr="00CF3673">
        <w:rPr>
          <w:lang w:val="pt-PT"/>
        </w:rPr>
        <w:t>sobre a</w:t>
      </w:r>
      <w:r w:rsidR="003969F2" w:rsidRPr="00CF3673">
        <w:rPr>
          <w:lang w:val="pt-PT"/>
        </w:rPr>
        <w:t>s PME</w:t>
      </w:r>
      <w:r w:rsidRPr="00CF3673">
        <w:rPr>
          <w:lang w:val="pt-PT"/>
        </w:rPr>
        <w:t>s</w:t>
      </w:r>
      <w:r w:rsidR="003969F2" w:rsidRPr="00CF3673">
        <w:rPr>
          <w:lang w:val="pt-PT"/>
        </w:rPr>
        <w:t xml:space="preserve"> no sector manufactureiro </w:t>
      </w:r>
      <w:r w:rsidRPr="00CF3673">
        <w:rPr>
          <w:lang w:val="pt-PT"/>
        </w:rPr>
        <w:t xml:space="preserve">e ao mesmo tempo </w:t>
      </w:r>
      <w:r w:rsidR="003969F2" w:rsidRPr="00CF3673">
        <w:rPr>
          <w:lang w:val="pt-PT"/>
        </w:rPr>
        <w:t xml:space="preserve">alargando o numero de respondentes e cobertura geográfica do que nos inquéritos passados. Os principais tópicos cobertos tem a ver com a dinâmica das empresas bem como as questões </w:t>
      </w:r>
      <w:r w:rsidRPr="00CF3673">
        <w:rPr>
          <w:lang w:val="pt-PT"/>
        </w:rPr>
        <w:t xml:space="preserve">relativas ao </w:t>
      </w:r>
      <w:r w:rsidR="003969F2" w:rsidRPr="00CF3673">
        <w:rPr>
          <w:lang w:val="pt-PT"/>
        </w:rPr>
        <w:t>ambiente de negócios, acesso ao financiamento, investimentos, formalização d</w:t>
      </w:r>
      <w:r w:rsidRPr="00CF3673">
        <w:rPr>
          <w:lang w:val="pt-PT"/>
        </w:rPr>
        <w:t>as</w:t>
      </w:r>
      <w:r w:rsidR="003969F2" w:rsidRPr="00CF3673">
        <w:rPr>
          <w:lang w:val="pt-PT"/>
        </w:rPr>
        <w:t xml:space="preserve"> empresas, condições de trabalho e comércio.</w:t>
      </w:r>
    </w:p>
    <w:p w:rsidR="003969F2" w:rsidRPr="00CF3673" w:rsidRDefault="003969F2" w:rsidP="001E664B">
      <w:pPr>
        <w:pStyle w:val="MainText"/>
        <w:rPr>
          <w:lang w:val="pt-PT"/>
        </w:rPr>
      </w:pPr>
      <w:r w:rsidRPr="00CF3673">
        <w:rPr>
          <w:lang w:val="pt-PT"/>
        </w:rPr>
        <w:t xml:space="preserve">Este relatório </w:t>
      </w:r>
      <w:r w:rsidR="00D51413" w:rsidRPr="00CF3673">
        <w:rPr>
          <w:lang w:val="pt-PT"/>
        </w:rPr>
        <w:t xml:space="preserve">apresenta </w:t>
      </w:r>
      <w:r w:rsidR="00F36971" w:rsidRPr="00CF3673">
        <w:rPr>
          <w:lang w:val="pt-PT"/>
        </w:rPr>
        <w:t xml:space="preserve">uma avaliação geral e principais </w:t>
      </w:r>
      <w:r w:rsidR="00D51413" w:rsidRPr="00CF3673">
        <w:rPr>
          <w:lang w:val="pt-PT"/>
        </w:rPr>
        <w:t>questões do IIM 20012, e onde for apropriado</w:t>
      </w:r>
      <w:r w:rsidR="00F36971" w:rsidRPr="00CF3673">
        <w:rPr>
          <w:lang w:val="pt-PT"/>
        </w:rPr>
        <w:t>,</w:t>
      </w:r>
      <w:r w:rsidR="00D51413" w:rsidRPr="00CF3673">
        <w:rPr>
          <w:lang w:val="pt-PT"/>
        </w:rPr>
        <w:t xml:space="preserve"> é feita a comparação com os resultados dos inquéritos</w:t>
      </w:r>
      <w:r w:rsidR="00CC4989" w:rsidRPr="00CF3673">
        <w:rPr>
          <w:lang w:val="pt-PT"/>
        </w:rPr>
        <w:t xml:space="preserve"> passados-</w:t>
      </w:r>
      <w:r w:rsidR="00D51413" w:rsidRPr="00CF3673">
        <w:rPr>
          <w:lang w:val="pt-PT"/>
        </w:rPr>
        <w:t xml:space="preserve"> DNEAP (2006) e do Banco Mundial (2009). É importante </w:t>
      </w:r>
      <w:r w:rsidR="00CC4989" w:rsidRPr="00CF3673">
        <w:rPr>
          <w:lang w:val="pt-PT"/>
        </w:rPr>
        <w:t>notar</w:t>
      </w:r>
      <w:r w:rsidR="00D51413" w:rsidRPr="00CF3673">
        <w:rPr>
          <w:lang w:val="pt-PT"/>
        </w:rPr>
        <w:t xml:space="preserve"> que, o relatório não pretende oferecer informação exaustiva dos dados recolhidos- o leitor é encorajado a verificar igualmente o questionário disponível (on-line). Pelo contrário, esperamos que </w:t>
      </w:r>
      <w:r w:rsidR="00CC4989" w:rsidRPr="00CF3673">
        <w:rPr>
          <w:lang w:val="pt-PT"/>
        </w:rPr>
        <w:t>o relatório si</w:t>
      </w:r>
      <w:r w:rsidR="00D51413" w:rsidRPr="00CF3673">
        <w:rPr>
          <w:lang w:val="pt-PT"/>
        </w:rPr>
        <w:t xml:space="preserve">rva de inspiração para a realização de estudos </w:t>
      </w:r>
      <w:r w:rsidR="00CC4989" w:rsidRPr="00CF3673">
        <w:rPr>
          <w:lang w:val="pt-PT"/>
        </w:rPr>
        <w:t xml:space="preserve">mais </w:t>
      </w:r>
      <w:r w:rsidR="00D51413" w:rsidRPr="00CF3673">
        <w:rPr>
          <w:lang w:val="pt-PT"/>
        </w:rPr>
        <w:t xml:space="preserve">aprofundados sobre o desenvolvimento do sector privado em Moçambique. </w:t>
      </w:r>
    </w:p>
    <w:p w:rsidR="009C5FAE" w:rsidRPr="00CF3673" w:rsidRDefault="00B20E4D" w:rsidP="001E664B">
      <w:pPr>
        <w:pStyle w:val="ChapterTitle"/>
        <w:rPr>
          <w:lang w:val="pt-PT"/>
        </w:rPr>
      </w:pPr>
      <w:r w:rsidRPr="00CF3673">
        <w:rPr>
          <w:lang w:val="pt-PT"/>
        </w:rPr>
        <w:lastRenderedPageBreak/>
        <w:t>Índice</w:t>
      </w:r>
    </w:p>
    <w:p w:rsidR="007018D2" w:rsidRPr="00CF3673" w:rsidRDefault="00F402D9">
      <w:pPr>
        <w:pStyle w:val="TOC1"/>
        <w:tabs>
          <w:tab w:val="right" w:leader="dot" w:pos="9628"/>
        </w:tabs>
        <w:rPr>
          <w:rFonts w:eastAsiaTheme="minorEastAsia"/>
          <w:noProof/>
          <w:lang w:eastAsia="da-DK"/>
        </w:rPr>
      </w:pPr>
      <w:r w:rsidRPr="00CF3673">
        <w:fldChar w:fldCharType="begin"/>
      </w:r>
      <w:r w:rsidRPr="00CF3673">
        <w:instrText xml:space="preserve"> TOC \h \z \t "Chapter Title;1;Section Title;2" </w:instrText>
      </w:r>
      <w:r w:rsidRPr="00CF3673">
        <w:fldChar w:fldCharType="separate"/>
      </w:r>
      <w:hyperlink w:anchor="_Toc360720374" w:history="1">
        <w:r w:rsidR="007018D2" w:rsidRPr="00CF3673">
          <w:rPr>
            <w:rStyle w:val="Hyperlink"/>
            <w:noProof/>
          </w:rPr>
          <w:t>Preface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_Toc360720374 \h </w:instrText>
        </w:r>
        <w:r w:rsidR="007018D2" w:rsidRPr="00CF3673">
          <w:rPr>
            <w:noProof/>
            <w:webHidden/>
          </w:rPr>
        </w:r>
        <w:r w:rsidR="007018D2" w:rsidRPr="00CF3673">
          <w:rPr>
            <w:noProof/>
            <w:webHidden/>
          </w:rPr>
          <w:fldChar w:fldCharType="separate"/>
        </w:r>
        <w:r w:rsidR="007018D2" w:rsidRPr="00CF3673">
          <w:rPr>
            <w:noProof/>
            <w:webHidden/>
          </w:rPr>
          <w:t>2</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75" w:history="1">
        <w:r w:rsidR="007018D2" w:rsidRPr="00CF3673">
          <w:rPr>
            <w:rStyle w:val="Hyperlink"/>
            <w:noProof/>
          </w:rPr>
          <w:t>Table of contents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_Toc360720375 \h </w:instrText>
        </w:r>
        <w:r w:rsidR="007018D2" w:rsidRPr="00CF3673">
          <w:rPr>
            <w:noProof/>
            <w:webHidden/>
          </w:rPr>
        </w:r>
        <w:r w:rsidR="007018D2" w:rsidRPr="00CF3673">
          <w:rPr>
            <w:noProof/>
            <w:webHidden/>
          </w:rPr>
          <w:fldChar w:fldCharType="separate"/>
        </w:r>
        <w:r w:rsidR="007018D2" w:rsidRPr="00CF3673">
          <w:rPr>
            <w:noProof/>
            <w:webHidden/>
          </w:rPr>
          <w:t>3</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76" w:history="1">
        <w:r w:rsidR="007018D2" w:rsidRPr="00CF3673">
          <w:rPr>
            <w:rStyle w:val="Hyperlink"/>
            <w:noProof/>
          </w:rPr>
          <w:t>Abbreviations and Acronyms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_Toc360720376 \h </w:instrText>
        </w:r>
        <w:r w:rsidR="007018D2" w:rsidRPr="00CF3673">
          <w:rPr>
            <w:noProof/>
            <w:webHidden/>
          </w:rPr>
        </w:r>
        <w:r w:rsidR="007018D2" w:rsidRPr="00CF3673">
          <w:rPr>
            <w:noProof/>
            <w:webHidden/>
          </w:rPr>
          <w:fldChar w:fldCharType="separate"/>
        </w:r>
        <w:r w:rsidR="007018D2" w:rsidRPr="00CF3673">
          <w:rPr>
            <w:noProof/>
            <w:webHidden/>
          </w:rPr>
          <w:t>5</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77" w:history="1">
        <w:r w:rsidR="007018D2" w:rsidRPr="00CF3673">
          <w:rPr>
            <w:rStyle w:val="Hyperlink"/>
            <w:noProof/>
          </w:rPr>
          <w:t>List of Tables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_Toc360720377 \h </w:instrText>
        </w:r>
        <w:r w:rsidR="007018D2" w:rsidRPr="00CF3673">
          <w:rPr>
            <w:noProof/>
            <w:webHidden/>
          </w:rPr>
        </w:r>
        <w:r w:rsidR="007018D2" w:rsidRPr="00CF3673">
          <w:rPr>
            <w:noProof/>
            <w:webHidden/>
          </w:rPr>
          <w:fldChar w:fldCharType="separate"/>
        </w:r>
        <w:r w:rsidR="007018D2" w:rsidRPr="00CF3673">
          <w:rPr>
            <w:noProof/>
            <w:webHidden/>
          </w:rPr>
          <w:t>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78" w:history="1">
        <w:r w:rsidR="007018D2" w:rsidRPr="00CF3673">
          <w:rPr>
            <w:rStyle w:val="Hyperlink"/>
            <w:noProof/>
          </w:rPr>
          <w:t>List of Figures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_Toc360720378 \h </w:instrText>
        </w:r>
        <w:r w:rsidR="007018D2" w:rsidRPr="00CF3673">
          <w:rPr>
            <w:noProof/>
            <w:webHidden/>
          </w:rPr>
        </w:r>
        <w:r w:rsidR="007018D2" w:rsidRPr="00CF3673">
          <w:rPr>
            <w:noProof/>
            <w:webHidden/>
          </w:rPr>
          <w:fldChar w:fldCharType="separate"/>
        </w:r>
        <w:r w:rsidR="007018D2" w:rsidRPr="00CF3673">
          <w:rPr>
            <w:noProof/>
            <w:webHidden/>
          </w:rPr>
          <w:t>9</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79" w:history="1">
        <w:r w:rsidR="007018D2" w:rsidRPr="00CF3673">
          <w:rPr>
            <w:rStyle w:val="Hyperlink"/>
            <w:noProof/>
          </w:rPr>
          <w:t>Acknowledgements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_Toc360720379 \h </w:instrText>
        </w:r>
        <w:r w:rsidR="007018D2" w:rsidRPr="00CF3673">
          <w:rPr>
            <w:noProof/>
            <w:webHidden/>
          </w:rPr>
        </w:r>
        <w:r w:rsidR="007018D2" w:rsidRPr="00CF3673">
          <w:rPr>
            <w:noProof/>
            <w:webHidden/>
          </w:rPr>
          <w:fldChar w:fldCharType="separate"/>
        </w:r>
        <w:r w:rsidR="007018D2" w:rsidRPr="00CF3673">
          <w:rPr>
            <w:noProof/>
            <w:webHidden/>
          </w:rPr>
          <w:t>10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80" w:history="1">
        <w:r w:rsidR="007018D2" w:rsidRPr="00CF3673">
          <w:rPr>
            <w:rStyle w:val="Hyperlink"/>
            <w:noProof/>
          </w:rPr>
          <w:t>1. Introduction</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_Toc360720380 \h </w:instrText>
        </w:r>
        <w:r w:rsidR="007018D2" w:rsidRPr="00CF3673">
          <w:rPr>
            <w:noProof/>
            <w:webHidden/>
          </w:rPr>
        </w:r>
        <w:r w:rsidR="007018D2" w:rsidRPr="00CF3673">
          <w:rPr>
            <w:noProof/>
            <w:webHidden/>
          </w:rPr>
          <w:fldChar w:fldCharType="separate"/>
        </w:r>
        <w:r w:rsidR="007018D2" w:rsidRPr="00CF3673">
          <w:rPr>
            <w:noProof/>
            <w:webHidden/>
          </w:rPr>
          <w:t>11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81" w:history="1">
        <w:r w:rsidR="007018D2" w:rsidRPr="00CF3673">
          <w:rPr>
            <w:rStyle w:val="Hyperlink"/>
            <w:noProof/>
          </w:rPr>
          <w:t>2. Data description, sampling and implementation</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_Toc360720381 \h </w:instrText>
        </w:r>
        <w:r w:rsidR="007018D2" w:rsidRPr="00CF3673">
          <w:rPr>
            <w:noProof/>
            <w:webHidden/>
          </w:rPr>
        </w:r>
        <w:r w:rsidR="007018D2" w:rsidRPr="00CF3673">
          <w:rPr>
            <w:noProof/>
            <w:webHidden/>
          </w:rPr>
          <w:fldChar w:fldCharType="separate"/>
        </w:r>
        <w:r w:rsidR="007018D2" w:rsidRPr="00CF3673">
          <w:rPr>
            <w:noProof/>
            <w:webHidden/>
          </w:rPr>
          <w:t>14</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82" w:history="1">
        <w:r w:rsidR="007018D2" w:rsidRPr="00CF3673">
          <w:rPr>
            <w:rStyle w:val="Hyperlink"/>
            <w:noProof/>
          </w:rPr>
          <w:t>2.1. Sampling strategy and questionnaire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_Toc360720382 \h </w:instrText>
        </w:r>
        <w:r w:rsidR="007018D2" w:rsidRPr="00CF3673">
          <w:rPr>
            <w:noProof/>
            <w:webHidden/>
          </w:rPr>
        </w:r>
        <w:r w:rsidR="007018D2" w:rsidRPr="00CF3673">
          <w:rPr>
            <w:noProof/>
            <w:webHidden/>
          </w:rPr>
          <w:fldChar w:fldCharType="separate"/>
        </w:r>
        <w:r w:rsidR="007018D2" w:rsidRPr="00CF3673">
          <w:rPr>
            <w:noProof/>
            <w:webHidden/>
          </w:rPr>
          <w:t>14</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83" w:history="1">
        <w:r w:rsidR="007018D2" w:rsidRPr="00CF3673">
          <w:rPr>
            <w:rStyle w:val="Hyperlink"/>
            <w:noProof/>
          </w:rPr>
          <w:t>2.2. Implementation and validation</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_Toc360720383 \h </w:instrText>
        </w:r>
        <w:r w:rsidR="007018D2" w:rsidRPr="00CF3673">
          <w:rPr>
            <w:noProof/>
            <w:webHidden/>
          </w:rPr>
        </w:r>
        <w:r w:rsidR="007018D2" w:rsidRPr="00CF3673">
          <w:rPr>
            <w:noProof/>
            <w:webHidden/>
          </w:rPr>
          <w:fldChar w:fldCharType="separate"/>
        </w:r>
        <w:r w:rsidR="007018D2" w:rsidRPr="00CF3673">
          <w:rPr>
            <w:noProof/>
            <w:webHidden/>
          </w:rPr>
          <w:t>21</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84" w:history="1">
        <w:r w:rsidR="007018D2" w:rsidRPr="00CF3673">
          <w:rPr>
            <w:rStyle w:val="Hyperlink"/>
            <w:noProof/>
          </w:rPr>
          <w:t>2.3. Data description</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_Toc360720384 \h </w:instrText>
        </w:r>
        <w:r w:rsidR="007018D2" w:rsidRPr="00CF3673">
          <w:rPr>
            <w:noProof/>
            <w:webHidden/>
          </w:rPr>
        </w:r>
        <w:r w:rsidR="007018D2" w:rsidRPr="00CF3673">
          <w:rPr>
            <w:noProof/>
            <w:webHidden/>
          </w:rPr>
          <w:fldChar w:fldCharType="separate"/>
        </w:r>
        <w:r w:rsidR="007018D2" w:rsidRPr="00CF3673">
          <w:rPr>
            <w:noProof/>
            <w:webHidden/>
          </w:rPr>
          <w:t>22</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85" w:history="1">
        <w:r w:rsidR="007018D2" w:rsidRPr="00CF3673">
          <w:rPr>
            <w:rStyle w:val="Hyperlink"/>
            <w:noProof/>
          </w:rPr>
          <w:t>3. Firm dynamics and constraints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_Toc360720385 \h </w:instrText>
        </w:r>
        <w:r w:rsidR="007018D2" w:rsidRPr="00CF3673">
          <w:rPr>
            <w:noProof/>
            <w:webHidden/>
          </w:rPr>
        </w:r>
        <w:r w:rsidR="007018D2" w:rsidRPr="00CF3673">
          <w:rPr>
            <w:noProof/>
            <w:webHidden/>
          </w:rPr>
          <w:fldChar w:fldCharType="separate"/>
        </w:r>
        <w:r w:rsidR="007018D2" w:rsidRPr="00CF3673">
          <w:rPr>
            <w:noProof/>
            <w:webHidden/>
          </w:rPr>
          <w:t>30</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86" w:history="1">
        <w:r w:rsidR="007018D2" w:rsidRPr="00CF3673">
          <w:rPr>
            <w:rStyle w:val="Hyperlink"/>
            <w:noProof/>
          </w:rPr>
          <w:t>3.1. Firm growth</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_Toc360720386 \h </w:instrText>
        </w:r>
        <w:r w:rsidR="007018D2" w:rsidRPr="00CF3673">
          <w:rPr>
            <w:noProof/>
            <w:webHidden/>
          </w:rPr>
        </w:r>
        <w:r w:rsidR="007018D2" w:rsidRPr="00CF3673">
          <w:rPr>
            <w:noProof/>
            <w:webHidden/>
          </w:rPr>
          <w:fldChar w:fldCharType="separate"/>
        </w:r>
        <w:r w:rsidR="007018D2" w:rsidRPr="00CF3673">
          <w:rPr>
            <w:noProof/>
            <w:webHidden/>
          </w:rPr>
          <w:t>30</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87" w:history="1">
        <w:r w:rsidR="007018D2" w:rsidRPr="00CF3673">
          <w:rPr>
            <w:rStyle w:val="Hyperlink"/>
            <w:noProof/>
          </w:rPr>
          <w:t>3.2. Firm exit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_Toc360720387 \h </w:instrText>
        </w:r>
        <w:r w:rsidR="007018D2" w:rsidRPr="00CF3673">
          <w:rPr>
            <w:noProof/>
            <w:webHidden/>
          </w:rPr>
        </w:r>
        <w:r w:rsidR="007018D2" w:rsidRPr="00CF3673">
          <w:rPr>
            <w:noProof/>
            <w:webHidden/>
          </w:rPr>
          <w:fldChar w:fldCharType="separate"/>
        </w:r>
        <w:r w:rsidR="007018D2" w:rsidRPr="00CF3673">
          <w:rPr>
            <w:noProof/>
            <w:webHidden/>
          </w:rPr>
          <w:t>34</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88" w:history="1">
        <w:r w:rsidR="007018D2" w:rsidRPr="00CF3673">
          <w:rPr>
            <w:rStyle w:val="Hyperlink"/>
            <w:noProof/>
          </w:rPr>
          <w:t>3.3. Constraints to growth</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_Toc360720388 \h </w:instrText>
        </w:r>
        <w:r w:rsidR="007018D2" w:rsidRPr="00CF3673">
          <w:rPr>
            <w:noProof/>
            <w:webHidden/>
          </w:rPr>
        </w:r>
        <w:r w:rsidR="007018D2" w:rsidRPr="00CF3673">
          <w:rPr>
            <w:noProof/>
            <w:webHidden/>
          </w:rPr>
          <w:fldChar w:fldCharType="separate"/>
        </w:r>
        <w:r w:rsidR="007018D2" w:rsidRPr="00CF3673">
          <w:rPr>
            <w:noProof/>
            <w:webHidden/>
          </w:rPr>
          <w:t>38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89" w:history="1">
        <w:r w:rsidR="007018D2" w:rsidRPr="00CF3673">
          <w:rPr>
            <w:rStyle w:val="Hyperlink"/>
            <w:noProof/>
          </w:rPr>
          <w:t>4. Employment and education</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_Toc360720389 \h </w:instrText>
        </w:r>
        <w:r w:rsidR="007018D2" w:rsidRPr="00CF3673">
          <w:rPr>
            <w:noProof/>
            <w:webHidden/>
          </w:rPr>
        </w:r>
        <w:r w:rsidR="007018D2" w:rsidRPr="00CF3673">
          <w:rPr>
            <w:noProof/>
            <w:webHidden/>
          </w:rPr>
          <w:fldChar w:fldCharType="separate"/>
        </w:r>
        <w:r w:rsidR="007018D2" w:rsidRPr="00CF3673">
          <w:rPr>
            <w:noProof/>
            <w:webHidden/>
          </w:rPr>
          <w:t>46</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90" w:history="1">
        <w:r w:rsidR="007018D2" w:rsidRPr="00CF3673">
          <w:rPr>
            <w:rStyle w:val="Hyperlink"/>
            <w:noProof/>
          </w:rPr>
          <w:t>4.1. Workers and working conditions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_Toc360720390 \h </w:instrText>
        </w:r>
        <w:r w:rsidR="007018D2" w:rsidRPr="00CF3673">
          <w:rPr>
            <w:noProof/>
            <w:webHidden/>
          </w:rPr>
        </w:r>
        <w:r w:rsidR="007018D2" w:rsidRPr="00CF3673">
          <w:rPr>
            <w:noProof/>
            <w:webHidden/>
          </w:rPr>
          <w:fldChar w:fldCharType="separate"/>
        </w:r>
        <w:r w:rsidR="007018D2" w:rsidRPr="00CF3673">
          <w:rPr>
            <w:noProof/>
            <w:webHidden/>
          </w:rPr>
          <w:t>46</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91" w:history="1">
        <w:r w:rsidR="007018D2" w:rsidRPr="00CF3673">
          <w:rPr>
            <w:rStyle w:val="Hyperlink"/>
            <w:noProof/>
          </w:rPr>
          <w:t>4.2. Hiring and firing</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_Toc360720391 \h </w:instrText>
        </w:r>
        <w:r w:rsidR="007018D2" w:rsidRPr="00CF3673">
          <w:rPr>
            <w:noProof/>
            <w:webHidden/>
          </w:rPr>
        </w:r>
        <w:r w:rsidR="007018D2" w:rsidRPr="00CF3673">
          <w:rPr>
            <w:noProof/>
            <w:webHidden/>
          </w:rPr>
          <w:fldChar w:fldCharType="separate"/>
        </w:r>
        <w:r w:rsidR="007018D2" w:rsidRPr="00CF3673">
          <w:rPr>
            <w:noProof/>
            <w:webHidden/>
          </w:rPr>
          <w:t>53</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92" w:history="1">
        <w:r w:rsidR="007018D2" w:rsidRPr="00CF3673">
          <w:rPr>
            <w:rStyle w:val="Hyperlink"/>
            <w:noProof/>
          </w:rPr>
          <w:t>4.3. Education and skills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_Toc360720392 \h </w:instrText>
        </w:r>
        <w:r w:rsidR="007018D2" w:rsidRPr="00CF3673">
          <w:rPr>
            <w:noProof/>
            <w:webHidden/>
          </w:rPr>
        </w:r>
        <w:r w:rsidR="007018D2" w:rsidRPr="00CF3673">
          <w:rPr>
            <w:noProof/>
            <w:webHidden/>
          </w:rPr>
          <w:fldChar w:fldCharType="separate"/>
        </w:r>
        <w:r w:rsidR="007018D2" w:rsidRPr="00CF3673">
          <w:rPr>
            <w:noProof/>
            <w:webHidden/>
          </w:rPr>
          <w:t>56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93" w:history="1">
        <w:r w:rsidR="007018D2" w:rsidRPr="00CF3673">
          <w:rPr>
            <w:rStyle w:val="Hyperlink"/>
            <w:noProof/>
          </w:rPr>
          <w:t>5. Productivity and investments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_Toc360720393 \h </w:instrText>
        </w:r>
        <w:r w:rsidR="007018D2" w:rsidRPr="00CF3673">
          <w:rPr>
            <w:noProof/>
            <w:webHidden/>
          </w:rPr>
        </w:r>
        <w:r w:rsidR="007018D2" w:rsidRPr="00CF3673">
          <w:rPr>
            <w:noProof/>
            <w:webHidden/>
          </w:rPr>
          <w:fldChar w:fldCharType="separate"/>
        </w:r>
        <w:r w:rsidR="007018D2" w:rsidRPr="00CF3673">
          <w:rPr>
            <w:noProof/>
            <w:webHidden/>
          </w:rPr>
          <w:t>60</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94" w:history="1">
        <w:r w:rsidR="007018D2" w:rsidRPr="00CF3673">
          <w:rPr>
            <w:rStyle w:val="Hyperlink"/>
            <w:noProof/>
          </w:rPr>
          <w:t>5.1. Labor productivity</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_Toc360720394 \h </w:instrText>
        </w:r>
        <w:r w:rsidR="007018D2" w:rsidRPr="00CF3673">
          <w:rPr>
            <w:noProof/>
            <w:webHidden/>
          </w:rPr>
        </w:r>
        <w:r w:rsidR="007018D2" w:rsidRPr="00CF3673">
          <w:rPr>
            <w:noProof/>
            <w:webHidden/>
          </w:rPr>
          <w:fldChar w:fldCharType="separate"/>
        </w:r>
        <w:r w:rsidR="007018D2" w:rsidRPr="00CF3673">
          <w:rPr>
            <w:noProof/>
            <w:webHidden/>
          </w:rPr>
          <w:t>60</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95" w:history="1">
        <w:r w:rsidR="007018D2" w:rsidRPr="00CF3673">
          <w:rPr>
            <w:rStyle w:val="Hyperlink"/>
            <w:noProof/>
          </w:rPr>
          <w:t>5.2. Investments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_Toc360720395 \h </w:instrText>
        </w:r>
        <w:r w:rsidR="007018D2" w:rsidRPr="00CF3673">
          <w:rPr>
            <w:noProof/>
            <w:webHidden/>
          </w:rPr>
        </w:r>
        <w:r w:rsidR="007018D2" w:rsidRPr="00CF3673">
          <w:rPr>
            <w:noProof/>
            <w:webHidden/>
          </w:rPr>
          <w:fldChar w:fldCharType="separate"/>
        </w:r>
        <w:r w:rsidR="007018D2" w:rsidRPr="00CF3673">
          <w:rPr>
            <w:noProof/>
            <w:webHidden/>
          </w:rPr>
          <w:t>61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96" w:history="1">
        <w:r w:rsidR="007018D2" w:rsidRPr="00CF3673">
          <w:rPr>
            <w:rStyle w:val="Hyperlink"/>
            <w:noProof/>
          </w:rPr>
          <w:t>6. Owner/manager characteristics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_Toc360720396 \h </w:instrText>
        </w:r>
        <w:r w:rsidR="007018D2" w:rsidRPr="00CF3673">
          <w:rPr>
            <w:noProof/>
            <w:webHidden/>
          </w:rPr>
        </w:r>
        <w:r w:rsidR="007018D2" w:rsidRPr="00CF3673">
          <w:rPr>
            <w:noProof/>
            <w:webHidden/>
          </w:rPr>
          <w:fldChar w:fldCharType="separate"/>
        </w:r>
        <w:r w:rsidR="007018D2" w:rsidRPr="00CF3673">
          <w:rPr>
            <w:noProof/>
            <w:webHidden/>
          </w:rPr>
          <w:t>66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397" w:history="1">
        <w:r w:rsidR="007018D2" w:rsidRPr="00CF3673">
          <w:rPr>
            <w:rStyle w:val="Hyperlink"/>
            <w:noProof/>
          </w:rPr>
          <w:t>7. Trade, inputs and sales structure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_Toc360720397 \h </w:instrText>
        </w:r>
        <w:r w:rsidR="007018D2" w:rsidRPr="00CF3673">
          <w:rPr>
            <w:noProof/>
            <w:webHidden/>
          </w:rPr>
        </w:r>
        <w:r w:rsidR="007018D2" w:rsidRPr="00CF3673">
          <w:rPr>
            <w:noProof/>
            <w:webHidden/>
          </w:rPr>
          <w:fldChar w:fldCharType="separate"/>
        </w:r>
        <w:r w:rsidR="007018D2" w:rsidRPr="00CF3673">
          <w:rPr>
            <w:noProof/>
            <w:webHidden/>
          </w:rPr>
          <w:t>71</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98" w:history="1">
        <w:r w:rsidR="007018D2" w:rsidRPr="00CF3673">
          <w:rPr>
            <w:rStyle w:val="Hyperlink"/>
            <w:noProof/>
          </w:rPr>
          <w:t>7.1. Export and exporters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_Toc360720398 \h </w:instrText>
        </w:r>
        <w:r w:rsidR="007018D2" w:rsidRPr="00CF3673">
          <w:rPr>
            <w:noProof/>
            <w:webHidden/>
          </w:rPr>
        </w:r>
        <w:r w:rsidR="007018D2" w:rsidRPr="00CF3673">
          <w:rPr>
            <w:noProof/>
            <w:webHidden/>
          </w:rPr>
          <w:fldChar w:fldCharType="separate"/>
        </w:r>
        <w:r w:rsidR="007018D2" w:rsidRPr="00CF3673">
          <w:rPr>
            <w:noProof/>
            <w:webHidden/>
          </w:rPr>
          <w:t>71</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399" w:history="1">
        <w:r w:rsidR="007018D2" w:rsidRPr="00CF3673">
          <w:rPr>
            <w:rStyle w:val="Hyperlink"/>
            <w:noProof/>
          </w:rPr>
          <w:t>7.2. Sales structure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_Toc360720399 \h </w:instrText>
        </w:r>
        <w:r w:rsidR="007018D2" w:rsidRPr="00CF3673">
          <w:rPr>
            <w:noProof/>
            <w:webHidden/>
          </w:rPr>
        </w:r>
        <w:r w:rsidR="007018D2" w:rsidRPr="00CF3673">
          <w:rPr>
            <w:noProof/>
            <w:webHidden/>
          </w:rPr>
          <w:fldChar w:fldCharType="separate"/>
        </w:r>
        <w:r w:rsidR="007018D2" w:rsidRPr="00CF3673">
          <w:rPr>
            <w:noProof/>
            <w:webHidden/>
          </w:rPr>
          <w:t>75</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400" w:history="1">
        <w:r w:rsidR="007018D2" w:rsidRPr="00CF3673">
          <w:rPr>
            <w:rStyle w:val="Hyperlink"/>
            <w:noProof/>
          </w:rPr>
          <w:t>7.3. Imports, inputs, and price setting</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_Toc360720400 \h </w:instrText>
        </w:r>
        <w:r w:rsidR="007018D2" w:rsidRPr="00CF3673">
          <w:rPr>
            <w:noProof/>
            <w:webHidden/>
          </w:rPr>
        </w:r>
        <w:r w:rsidR="007018D2" w:rsidRPr="00CF3673">
          <w:rPr>
            <w:noProof/>
            <w:webHidden/>
          </w:rPr>
          <w:fldChar w:fldCharType="separate"/>
        </w:r>
        <w:r w:rsidR="007018D2" w:rsidRPr="00CF3673">
          <w:rPr>
            <w:noProof/>
            <w:webHidden/>
          </w:rPr>
          <w:t>77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01" w:history="1">
        <w:r w:rsidR="007018D2" w:rsidRPr="00CF3673">
          <w:rPr>
            <w:rStyle w:val="Hyperlink"/>
            <w:noProof/>
          </w:rPr>
          <w:t>8. Social networks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_Toc360720401 \h </w:instrText>
        </w:r>
        <w:r w:rsidR="007018D2" w:rsidRPr="00CF3673">
          <w:rPr>
            <w:noProof/>
            <w:webHidden/>
          </w:rPr>
        </w:r>
        <w:r w:rsidR="007018D2" w:rsidRPr="00CF3673">
          <w:rPr>
            <w:noProof/>
            <w:webHidden/>
          </w:rPr>
          <w:fldChar w:fldCharType="separate"/>
        </w:r>
        <w:r w:rsidR="007018D2" w:rsidRPr="00CF3673">
          <w:rPr>
            <w:noProof/>
            <w:webHidden/>
          </w:rPr>
          <w:t>82</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402" w:history="1">
        <w:r w:rsidR="007018D2" w:rsidRPr="00CF3673">
          <w:rPr>
            <w:rStyle w:val="Hyperlink"/>
            <w:noProof/>
          </w:rPr>
          <w:t>8.1 Composition of firms’ business network</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_Toc360720402 \h </w:instrText>
        </w:r>
        <w:r w:rsidR="007018D2" w:rsidRPr="00CF3673">
          <w:rPr>
            <w:noProof/>
            <w:webHidden/>
          </w:rPr>
        </w:r>
        <w:r w:rsidR="007018D2" w:rsidRPr="00CF3673">
          <w:rPr>
            <w:noProof/>
            <w:webHidden/>
          </w:rPr>
          <w:fldChar w:fldCharType="separate"/>
        </w:r>
        <w:r w:rsidR="007018D2" w:rsidRPr="00CF3673">
          <w:rPr>
            <w:noProof/>
            <w:webHidden/>
          </w:rPr>
          <w:t>82</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403" w:history="1">
        <w:r w:rsidR="007018D2" w:rsidRPr="00CF3673">
          <w:rPr>
            <w:rStyle w:val="Hyperlink"/>
            <w:noProof/>
          </w:rPr>
          <w:t>8.2 Membership in business associations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_Toc360720403 \h </w:instrText>
        </w:r>
        <w:r w:rsidR="007018D2" w:rsidRPr="00CF3673">
          <w:rPr>
            <w:noProof/>
            <w:webHidden/>
          </w:rPr>
        </w:r>
        <w:r w:rsidR="007018D2" w:rsidRPr="00CF3673">
          <w:rPr>
            <w:noProof/>
            <w:webHidden/>
          </w:rPr>
          <w:fldChar w:fldCharType="separate"/>
        </w:r>
        <w:r w:rsidR="007018D2" w:rsidRPr="00CF3673">
          <w:rPr>
            <w:noProof/>
            <w:webHidden/>
          </w:rPr>
          <w:t>86</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404" w:history="1">
        <w:r w:rsidR="007018D2" w:rsidRPr="00CF3673">
          <w:rPr>
            <w:rStyle w:val="Hyperlink"/>
            <w:noProof/>
          </w:rPr>
          <w:t>8.3 The role of relationships on firm growth and innovativeness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_Toc360720404 \h </w:instrText>
        </w:r>
        <w:r w:rsidR="007018D2" w:rsidRPr="00CF3673">
          <w:rPr>
            <w:noProof/>
            <w:webHidden/>
          </w:rPr>
        </w:r>
        <w:r w:rsidR="007018D2" w:rsidRPr="00CF3673">
          <w:rPr>
            <w:noProof/>
            <w:webHidden/>
          </w:rPr>
          <w:fldChar w:fldCharType="separate"/>
        </w:r>
        <w:r w:rsidR="007018D2" w:rsidRPr="00CF3673">
          <w:rPr>
            <w:noProof/>
            <w:webHidden/>
          </w:rPr>
          <w:t>91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05" w:history="1">
        <w:r w:rsidR="007018D2" w:rsidRPr="00CF3673">
          <w:rPr>
            <w:rStyle w:val="Hyperlink"/>
            <w:noProof/>
          </w:rPr>
          <w:t>9. Credit and access to finance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_Toc360720405 \h </w:instrText>
        </w:r>
        <w:r w:rsidR="007018D2" w:rsidRPr="00CF3673">
          <w:rPr>
            <w:noProof/>
            <w:webHidden/>
          </w:rPr>
        </w:r>
        <w:r w:rsidR="007018D2" w:rsidRPr="00CF3673">
          <w:rPr>
            <w:noProof/>
            <w:webHidden/>
          </w:rPr>
          <w:fldChar w:fldCharType="separate"/>
        </w:r>
        <w:r w:rsidR="007018D2" w:rsidRPr="00CF3673">
          <w:rPr>
            <w:noProof/>
            <w:webHidden/>
          </w:rPr>
          <w:t>96</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406" w:history="1">
        <w:r w:rsidR="007018D2" w:rsidRPr="00CF3673">
          <w:rPr>
            <w:rStyle w:val="Hyperlink"/>
            <w:noProof/>
          </w:rPr>
          <w:t>9.1. Access to finance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_Toc360720406 \h </w:instrText>
        </w:r>
        <w:r w:rsidR="007018D2" w:rsidRPr="00CF3673">
          <w:rPr>
            <w:noProof/>
            <w:webHidden/>
          </w:rPr>
        </w:r>
        <w:r w:rsidR="007018D2" w:rsidRPr="00CF3673">
          <w:rPr>
            <w:noProof/>
            <w:webHidden/>
          </w:rPr>
          <w:fldChar w:fldCharType="separate"/>
        </w:r>
        <w:r w:rsidR="007018D2" w:rsidRPr="00CF3673">
          <w:rPr>
            <w:noProof/>
            <w:webHidden/>
          </w:rPr>
          <w:t>96</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407" w:history="1">
        <w:r w:rsidR="007018D2" w:rsidRPr="00CF3673">
          <w:rPr>
            <w:rStyle w:val="Hyperlink"/>
            <w:noProof/>
          </w:rPr>
          <w:t>9.2. Demand for external finance and credit constraints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_Toc360720407 \h </w:instrText>
        </w:r>
        <w:r w:rsidR="007018D2" w:rsidRPr="00CF3673">
          <w:rPr>
            <w:noProof/>
            <w:webHidden/>
          </w:rPr>
        </w:r>
        <w:r w:rsidR="007018D2" w:rsidRPr="00CF3673">
          <w:rPr>
            <w:noProof/>
            <w:webHidden/>
          </w:rPr>
          <w:fldChar w:fldCharType="separate"/>
        </w:r>
        <w:r w:rsidR="007018D2" w:rsidRPr="00CF3673">
          <w:rPr>
            <w:noProof/>
            <w:webHidden/>
          </w:rPr>
          <w:t>100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08" w:history="1">
        <w:r w:rsidR="007018D2" w:rsidRPr="00CF3673">
          <w:rPr>
            <w:rStyle w:val="Hyperlink"/>
            <w:noProof/>
          </w:rPr>
          <w:t>10. Informality and bribes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_Toc360720408 \h </w:instrText>
        </w:r>
        <w:r w:rsidR="007018D2" w:rsidRPr="00CF3673">
          <w:rPr>
            <w:noProof/>
            <w:webHidden/>
          </w:rPr>
        </w:r>
        <w:r w:rsidR="007018D2" w:rsidRPr="00CF3673">
          <w:rPr>
            <w:noProof/>
            <w:webHidden/>
          </w:rPr>
          <w:fldChar w:fldCharType="separate"/>
        </w:r>
        <w:r w:rsidR="007018D2" w:rsidRPr="00CF3673">
          <w:rPr>
            <w:noProof/>
            <w:webHidden/>
          </w:rPr>
          <w:t>106</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409" w:history="1">
        <w:r w:rsidR="007018D2" w:rsidRPr="00CF3673">
          <w:rPr>
            <w:rStyle w:val="Hyperlink"/>
            <w:noProof/>
          </w:rPr>
          <w:t>10.1. Informality</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_Toc360720409 \h </w:instrText>
        </w:r>
        <w:r w:rsidR="007018D2" w:rsidRPr="00CF3673">
          <w:rPr>
            <w:noProof/>
            <w:webHidden/>
          </w:rPr>
        </w:r>
        <w:r w:rsidR="007018D2" w:rsidRPr="00CF3673">
          <w:rPr>
            <w:noProof/>
            <w:webHidden/>
          </w:rPr>
          <w:fldChar w:fldCharType="separate"/>
        </w:r>
        <w:r w:rsidR="007018D2" w:rsidRPr="00CF3673">
          <w:rPr>
            <w:noProof/>
            <w:webHidden/>
          </w:rPr>
          <w:t>106</w:t>
        </w:r>
        <w:r w:rsidR="007018D2" w:rsidRPr="00CF3673">
          <w:rPr>
            <w:noProof/>
            <w:webHidden/>
          </w:rPr>
          <w:fldChar w:fldCharType="end"/>
        </w:r>
      </w:hyperlink>
    </w:p>
    <w:p w:rsidR="007018D2" w:rsidRPr="00CF3673" w:rsidRDefault="00E93501">
      <w:pPr>
        <w:pStyle w:val="TOC2"/>
        <w:tabs>
          <w:tab w:val="right" w:leader="dot" w:pos="9628"/>
        </w:tabs>
        <w:rPr>
          <w:rFonts w:eastAsiaTheme="minorEastAsia"/>
          <w:noProof/>
          <w:lang w:eastAsia="da-DK"/>
        </w:rPr>
      </w:pPr>
      <w:hyperlink w:anchor="_Toc360720410" w:history="1">
        <w:r w:rsidR="007018D2" w:rsidRPr="00CF3673">
          <w:rPr>
            <w:rStyle w:val="Hyperlink"/>
            <w:noProof/>
          </w:rPr>
          <w:t>10.2. Bribes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_Toc360720410 \h </w:instrText>
        </w:r>
        <w:r w:rsidR="007018D2" w:rsidRPr="00CF3673">
          <w:rPr>
            <w:noProof/>
            <w:webHidden/>
          </w:rPr>
        </w:r>
        <w:r w:rsidR="007018D2" w:rsidRPr="00CF3673">
          <w:rPr>
            <w:noProof/>
            <w:webHidden/>
          </w:rPr>
          <w:fldChar w:fldCharType="separate"/>
        </w:r>
        <w:r w:rsidR="007018D2" w:rsidRPr="00CF3673">
          <w:rPr>
            <w:noProof/>
            <w:webHidden/>
          </w:rPr>
          <w:t>110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11" w:history="1">
        <w:r w:rsidR="007018D2" w:rsidRPr="00CF3673">
          <w:rPr>
            <w:rStyle w:val="Hyperlink"/>
            <w:noProof/>
          </w:rPr>
          <w:t>11. Final comments and policy issues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_Toc360720411 \h </w:instrText>
        </w:r>
        <w:r w:rsidR="007018D2" w:rsidRPr="00CF3673">
          <w:rPr>
            <w:noProof/>
            <w:webHidden/>
          </w:rPr>
        </w:r>
        <w:r w:rsidR="007018D2" w:rsidRPr="00CF3673">
          <w:rPr>
            <w:noProof/>
            <w:webHidden/>
          </w:rPr>
          <w:fldChar w:fldCharType="separate"/>
        </w:r>
        <w:r w:rsidR="007018D2" w:rsidRPr="00CF3673">
          <w:rPr>
            <w:noProof/>
            <w:webHidden/>
          </w:rPr>
          <w:t>114</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12" w:history="1">
        <w:r w:rsidR="007018D2" w:rsidRPr="00CF3673">
          <w:rPr>
            <w:rStyle w:val="Hyperlink"/>
            <w:noProof/>
          </w:rPr>
          <w:t>Litterature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_Toc360720412 \h </w:instrText>
        </w:r>
        <w:r w:rsidR="007018D2" w:rsidRPr="00CF3673">
          <w:rPr>
            <w:noProof/>
            <w:webHidden/>
          </w:rPr>
        </w:r>
        <w:r w:rsidR="007018D2" w:rsidRPr="00CF3673">
          <w:rPr>
            <w:noProof/>
            <w:webHidden/>
          </w:rPr>
          <w:fldChar w:fldCharType="separate"/>
        </w:r>
        <w:r w:rsidR="007018D2" w:rsidRPr="00CF3673">
          <w:rPr>
            <w:noProof/>
            <w:webHidden/>
          </w:rPr>
          <w:t>118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13" w:history="1">
        <w:r w:rsidR="007018D2" w:rsidRPr="00CF3673">
          <w:rPr>
            <w:rStyle w:val="Hyperlink"/>
            <w:noProof/>
          </w:rPr>
          <w:t>Appendix 1: Map of Mozambique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_Toc360720413 \h </w:instrText>
        </w:r>
        <w:r w:rsidR="007018D2" w:rsidRPr="00CF3673">
          <w:rPr>
            <w:noProof/>
            <w:webHidden/>
          </w:rPr>
        </w:r>
        <w:r w:rsidR="007018D2" w:rsidRPr="00CF3673">
          <w:rPr>
            <w:noProof/>
            <w:webHidden/>
          </w:rPr>
          <w:fldChar w:fldCharType="separate"/>
        </w:r>
        <w:r w:rsidR="007018D2" w:rsidRPr="00CF3673">
          <w:rPr>
            <w:noProof/>
            <w:webHidden/>
          </w:rPr>
          <w:t>124</w:t>
        </w:r>
        <w:r w:rsidR="007018D2" w:rsidRPr="00CF3673">
          <w:rPr>
            <w:noProof/>
            <w:webHidden/>
          </w:rPr>
          <w:fldChar w:fldCharType="end"/>
        </w:r>
      </w:hyperlink>
    </w:p>
    <w:p w:rsidR="004C475B" w:rsidRPr="00CF3673" w:rsidRDefault="00F402D9" w:rsidP="00B2651F">
      <w:pPr>
        <w:pStyle w:val="TOC1"/>
        <w:tabs>
          <w:tab w:val="right" w:leader="dot" w:pos="9628"/>
        </w:tabs>
        <w:spacing w:after="0"/>
        <w:rPr>
          <w:b/>
          <w:u w:val="single"/>
        </w:rPr>
      </w:pPr>
      <w:r w:rsidRPr="00CF3673">
        <w:fldChar w:fldCharType="end"/>
      </w:r>
    </w:p>
    <w:p w:rsidR="007018D2" w:rsidRPr="00CF3673" w:rsidRDefault="007018D2">
      <w:pPr>
        <w:rPr>
          <w:rFonts w:asciiTheme="majorHAnsi" w:hAnsiTheme="majorHAnsi"/>
          <w:b/>
          <w:sz w:val="28"/>
        </w:rPr>
      </w:pPr>
      <w:bookmarkStart w:id="6" w:name="_Toc360720376"/>
      <w:r w:rsidRPr="00CF3673">
        <w:br w:type="page"/>
      </w:r>
    </w:p>
    <w:p w:rsidR="00D51413" w:rsidRPr="00CF3673" w:rsidRDefault="00D51413" w:rsidP="001E664B">
      <w:pPr>
        <w:pStyle w:val="ChapterTitle"/>
        <w:rPr>
          <w:lang w:val="pt-PT"/>
        </w:rPr>
      </w:pPr>
      <w:r w:rsidRPr="00CF3673">
        <w:rPr>
          <w:lang w:val="pt-PT"/>
        </w:rPr>
        <w:lastRenderedPageBreak/>
        <w:t>Abreviaturas e Acrónimos</w:t>
      </w:r>
    </w:p>
    <w:bookmarkEnd w:id="6"/>
    <w:p w:rsidR="0010397F" w:rsidRPr="00CF3673" w:rsidRDefault="0010397F" w:rsidP="009C585E">
      <w:pPr>
        <w:spacing w:after="0"/>
      </w:pPr>
      <w:r w:rsidRPr="00CF3673">
        <w:t>BAÚ</w:t>
      </w:r>
      <w:r w:rsidRPr="00CF3673">
        <w:tab/>
        <w:t xml:space="preserve"> Balcão</w:t>
      </w:r>
      <w:r w:rsidR="006C1975" w:rsidRPr="00CF3673">
        <w:t xml:space="preserve"> de </w:t>
      </w:r>
      <w:r w:rsidR="00B20E4D" w:rsidRPr="00CF3673">
        <w:t>Atendimento</w:t>
      </w:r>
      <w:r w:rsidRPr="00CF3673">
        <w:t xml:space="preserve"> Único</w:t>
      </w:r>
    </w:p>
    <w:p w:rsidR="00845E07" w:rsidRPr="00CF3673" w:rsidRDefault="00845E07" w:rsidP="009C585E">
      <w:pPr>
        <w:spacing w:after="0"/>
      </w:pPr>
      <w:r w:rsidRPr="00CF3673">
        <w:t xml:space="preserve">CEMPRE </w:t>
      </w:r>
      <w:r w:rsidRPr="00CF3673">
        <w:tab/>
      </w:r>
      <w:r w:rsidR="006C1975" w:rsidRPr="00CF3673">
        <w:t xml:space="preserve">Censo da Empresas do </w:t>
      </w:r>
      <w:r w:rsidRPr="00CF3673">
        <w:t>INE</w:t>
      </w:r>
    </w:p>
    <w:p w:rsidR="001B7A24" w:rsidRPr="00CF3673" w:rsidRDefault="001B7A24" w:rsidP="00DD3347">
      <w:pPr>
        <w:spacing w:after="0"/>
      </w:pPr>
      <w:r w:rsidRPr="00CF3673">
        <w:t>CAE</w:t>
      </w:r>
      <w:r w:rsidRPr="00CF3673">
        <w:tab/>
        <w:t>Código de Actividade Económica</w:t>
      </w:r>
    </w:p>
    <w:p w:rsidR="0010397F" w:rsidRPr="00CF3673" w:rsidRDefault="0010397F" w:rsidP="009C585E">
      <w:pPr>
        <w:spacing w:after="0"/>
      </w:pPr>
      <w:r w:rsidRPr="00CF3673">
        <w:t>CREL</w:t>
      </w:r>
      <w:r w:rsidRPr="00CF3673">
        <w:tab/>
        <w:t>Conservatória do Registo das Entidades Legais</w:t>
      </w:r>
    </w:p>
    <w:p w:rsidR="00845E07" w:rsidRPr="00CF3673" w:rsidRDefault="00845E07" w:rsidP="009C585E">
      <w:pPr>
        <w:spacing w:after="0"/>
      </w:pPr>
      <w:r w:rsidRPr="00CF3673">
        <w:t xml:space="preserve">CTA </w:t>
      </w:r>
      <w:r w:rsidRPr="00CF3673">
        <w:tab/>
      </w:r>
      <w:r w:rsidR="006C1975" w:rsidRPr="00CF3673">
        <w:t>Confederação das Associações Económicas de Moçambique</w:t>
      </w:r>
    </w:p>
    <w:p w:rsidR="00452C52" w:rsidRPr="00CF3673" w:rsidRDefault="007F1CB9" w:rsidP="009C585E">
      <w:pPr>
        <w:spacing w:after="0"/>
      </w:pPr>
      <w:r w:rsidRPr="00CF3673">
        <w:t>DANIDA</w:t>
      </w:r>
      <w:r w:rsidRPr="00CF3673">
        <w:tab/>
      </w:r>
      <w:r w:rsidR="006C1975" w:rsidRPr="00CF3673">
        <w:t>Agencia Dinamarquesa para Desenvolvimento Internacional</w:t>
      </w:r>
    </w:p>
    <w:p w:rsidR="007F1CB9" w:rsidRPr="00CF3673" w:rsidRDefault="00845E07" w:rsidP="006C1975">
      <w:pPr>
        <w:spacing w:after="0"/>
      </w:pPr>
      <w:r w:rsidRPr="00CF3673">
        <w:t xml:space="preserve">DNEAP </w:t>
      </w:r>
      <w:r w:rsidRPr="00CF3673">
        <w:tab/>
        <w:t>Direcção Nacional de Estudos e Análises de Política</w:t>
      </w:r>
    </w:p>
    <w:p w:rsidR="007F1CB9" w:rsidRPr="00CF3673" w:rsidRDefault="007F1CB9" w:rsidP="009C585E">
      <w:pPr>
        <w:spacing w:after="0"/>
      </w:pPr>
      <w:r w:rsidRPr="00CF3673">
        <w:t>DNEAP06</w:t>
      </w:r>
      <w:r w:rsidRPr="00CF3673">
        <w:tab/>
      </w:r>
      <w:r w:rsidR="00B20E4D" w:rsidRPr="00CF3673">
        <w:t>Inquérito</w:t>
      </w:r>
      <w:r w:rsidR="006C1975" w:rsidRPr="00CF3673">
        <w:t xml:space="preserve"> </w:t>
      </w:r>
      <w:r w:rsidR="00B20E4D" w:rsidRPr="00CF3673">
        <w:t>sim plicado</w:t>
      </w:r>
      <w:r w:rsidR="006C1975" w:rsidRPr="00CF3673">
        <w:t xml:space="preserve"> das empresas pela </w:t>
      </w:r>
      <w:r w:rsidRPr="00CF3673">
        <w:t>DNEAP in 2006</w:t>
      </w:r>
    </w:p>
    <w:p w:rsidR="007F1CB9" w:rsidRPr="00CF3673" w:rsidRDefault="007F1CB9" w:rsidP="006C1975">
      <w:pPr>
        <w:spacing w:after="0"/>
        <w:ind w:left="1304" w:hanging="1304"/>
      </w:pPr>
      <w:r w:rsidRPr="00CF3673">
        <w:t>DPIC</w:t>
      </w:r>
      <w:r w:rsidRPr="00CF3673">
        <w:tab/>
        <w:t>Direcção Pro</w:t>
      </w:r>
      <w:r w:rsidR="006C1975" w:rsidRPr="00CF3673">
        <w:t>vincial de Indústria e Comércio</w:t>
      </w:r>
    </w:p>
    <w:p w:rsidR="00594F6A" w:rsidRPr="00CF3673" w:rsidRDefault="00594F6A" w:rsidP="007707CD">
      <w:pPr>
        <w:spacing w:after="0"/>
        <w:ind w:left="1304" w:hanging="1304"/>
      </w:pPr>
      <w:r w:rsidRPr="00CF3673">
        <w:t>EDM</w:t>
      </w:r>
      <w:r w:rsidRPr="00CF3673">
        <w:tab/>
        <w:t>Electricidade de Moçambique</w:t>
      </w:r>
    </w:p>
    <w:p w:rsidR="0010397F" w:rsidRPr="00CF3673" w:rsidRDefault="0010397F" w:rsidP="009C585E">
      <w:pPr>
        <w:spacing w:after="0"/>
      </w:pPr>
      <w:r w:rsidRPr="00CF3673">
        <w:t>Frelimo</w:t>
      </w:r>
      <w:r w:rsidRPr="00CF3673">
        <w:tab/>
        <w:t>Frente de Liber</w:t>
      </w:r>
      <w:r w:rsidR="0001484F" w:rsidRPr="00CF3673">
        <w:t>t</w:t>
      </w:r>
      <w:r w:rsidRPr="00CF3673">
        <w:t>ação de Moçambique</w:t>
      </w:r>
    </w:p>
    <w:p w:rsidR="007F1CB9" w:rsidRPr="00CF3673" w:rsidRDefault="006C1975" w:rsidP="009C585E">
      <w:pPr>
        <w:spacing w:after="0"/>
      </w:pPr>
      <w:proofErr w:type="spellStart"/>
      <w:r w:rsidRPr="00CF3673">
        <w:t>Gd</w:t>
      </w:r>
      <w:r w:rsidR="007F1CB9" w:rsidRPr="00CF3673">
        <w:t>M</w:t>
      </w:r>
      <w:proofErr w:type="spellEnd"/>
      <w:r w:rsidR="007F1CB9" w:rsidRPr="00CF3673">
        <w:tab/>
      </w:r>
      <w:r w:rsidRPr="00CF3673">
        <w:t>Governo de Moçambique</w:t>
      </w:r>
    </w:p>
    <w:p w:rsidR="007F1CB9" w:rsidRPr="00CF3673" w:rsidRDefault="007F1CB9" w:rsidP="009C585E">
      <w:pPr>
        <w:spacing w:after="0"/>
      </w:pPr>
      <w:r w:rsidRPr="00CF3673">
        <w:t>ICA</w:t>
      </w:r>
      <w:r w:rsidRPr="00CF3673">
        <w:tab/>
      </w:r>
      <w:r w:rsidR="006C1975" w:rsidRPr="00CF3673">
        <w:t>Avaliação do Ambiente do Investimento</w:t>
      </w:r>
    </w:p>
    <w:p w:rsidR="007F1CB9" w:rsidRPr="00CF3673" w:rsidRDefault="00CA5E60" w:rsidP="009C585E">
      <w:pPr>
        <w:spacing w:after="0"/>
      </w:pPr>
      <w:r w:rsidRPr="00CF3673">
        <w:t>ICA09</w:t>
      </w:r>
      <w:r w:rsidR="007F1CB9" w:rsidRPr="00CF3673">
        <w:tab/>
      </w:r>
      <w:r w:rsidR="00B20E4D" w:rsidRPr="00CF3673">
        <w:t>Inquérito</w:t>
      </w:r>
      <w:r w:rsidR="006C1975" w:rsidRPr="00CF3673">
        <w:t xml:space="preserve"> </w:t>
      </w:r>
      <w:r w:rsidR="00B20E4D" w:rsidRPr="00CF3673">
        <w:t>implicado</w:t>
      </w:r>
      <w:r w:rsidR="006C1975" w:rsidRPr="00CF3673">
        <w:t xml:space="preserve"> das empresas pelo Banco </w:t>
      </w:r>
      <w:r w:rsidR="00B20E4D" w:rsidRPr="00CF3673">
        <w:t>Mundial</w:t>
      </w:r>
      <w:r w:rsidR="007F1CB9" w:rsidRPr="00CF3673">
        <w:t xml:space="preserve"> 2007-2008</w:t>
      </w:r>
    </w:p>
    <w:p w:rsidR="007F1CB9" w:rsidRPr="00CF3673" w:rsidRDefault="00090F3C" w:rsidP="009C585E">
      <w:pPr>
        <w:spacing w:after="0"/>
      </w:pPr>
      <w:r w:rsidRPr="00CF3673">
        <w:t>IIM 2012</w:t>
      </w:r>
      <w:r w:rsidRPr="00CF3673">
        <w:tab/>
        <w:t>Inquérito à</w:t>
      </w:r>
      <w:r w:rsidR="007F1CB9" w:rsidRPr="00CF3673">
        <w:t>s Indústrias Manufactureiras 2012 (</w:t>
      </w:r>
      <w:r w:rsidR="006C1975" w:rsidRPr="00CF3673">
        <w:t xml:space="preserve">este </w:t>
      </w:r>
      <w:r w:rsidR="00B20E4D" w:rsidRPr="00CF3673">
        <w:t>inquérito</w:t>
      </w:r>
      <w:r w:rsidR="007F1CB9" w:rsidRPr="00CF3673">
        <w:t>)</w:t>
      </w:r>
    </w:p>
    <w:p w:rsidR="00805CFA" w:rsidRPr="00CF3673" w:rsidRDefault="00805CFA" w:rsidP="009C585E">
      <w:pPr>
        <w:spacing w:after="0"/>
      </w:pPr>
      <w:r w:rsidRPr="00CF3673">
        <w:t>IMF</w:t>
      </w:r>
      <w:r w:rsidRPr="00CF3673">
        <w:tab/>
      </w:r>
      <w:r w:rsidR="006C1975" w:rsidRPr="00CF3673">
        <w:t>Fundo Monetário Internacional</w:t>
      </w:r>
    </w:p>
    <w:p w:rsidR="00845E07" w:rsidRPr="00CF3673" w:rsidRDefault="00845E07" w:rsidP="00DD3347">
      <w:pPr>
        <w:spacing w:after="0"/>
      </w:pPr>
      <w:r w:rsidRPr="00CF3673">
        <w:t xml:space="preserve">INE </w:t>
      </w:r>
      <w:r w:rsidRPr="00CF3673">
        <w:tab/>
        <w:t xml:space="preserve">Instituto </w:t>
      </w:r>
      <w:r w:rsidR="00B20E4D" w:rsidRPr="00CF3673">
        <w:t>Nacional</w:t>
      </w:r>
      <w:r w:rsidRPr="00CF3673">
        <w:t xml:space="preserve"> de </w:t>
      </w:r>
      <w:r w:rsidR="00B20E4D" w:rsidRPr="00CF3673">
        <w:t>Estatística</w:t>
      </w:r>
    </w:p>
    <w:p w:rsidR="000E276D" w:rsidRPr="00CF3673" w:rsidRDefault="000E276D" w:rsidP="00DD3347">
      <w:pPr>
        <w:spacing w:after="0"/>
      </w:pPr>
      <w:r w:rsidRPr="00CF3673">
        <w:t>IOF</w:t>
      </w:r>
      <w:r w:rsidRPr="00CF3673">
        <w:tab/>
        <w:t>Inquérito aos Orçamentos Familiares</w:t>
      </w:r>
      <w:r w:rsidR="006C1975" w:rsidRPr="00CF3673">
        <w:t xml:space="preserve"> 2008/09</w:t>
      </w:r>
    </w:p>
    <w:p w:rsidR="009C585E" w:rsidRPr="00CF3673" w:rsidRDefault="009C585E" w:rsidP="009C585E">
      <w:pPr>
        <w:spacing w:after="0"/>
      </w:pPr>
      <w:r w:rsidRPr="00CF3673">
        <w:t>IPEX</w:t>
      </w:r>
      <w:r w:rsidRPr="00CF3673">
        <w:tab/>
        <w:t>Instituto de Promoção de Exportações</w:t>
      </w:r>
    </w:p>
    <w:p w:rsidR="00845E07" w:rsidRPr="00CF3673" w:rsidRDefault="00845E07" w:rsidP="009C585E">
      <w:pPr>
        <w:spacing w:after="0"/>
      </w:pPr>
      <w:r w:rsidRPr="00CF3673">
        <w:t xml:space="preserve">ISIC </w:t>
      </w:r>
      <w:r w:rsidRPr="00CF3673">
        <w:tab/>
      </w:r>
      <w:r w:rsidR="00B20E4D" w:rsidRPr="00CF3673">
        <w:t>Padrão</w:t>
      </w:r>
      <w:r w:rsidR="006C1975" w:rsidRPr="00CF3673">
        <w:t xml:space="preserve"> Internacional de Classificação Industrial</w:t>
      </w:r>
    </w:p>
    <w:p w:rsidR="007F1CB9" w:rsidRPr="00CF3673" w:rsidRDefault="007F1CB9" w:rsidP="009C585E">
      <w:pPr>
        <w:spacing w:after="0"/>
      </w:pPr>
      <w:r w:rsidRPr="00CF3673">
        <w:t>MIC</w:t>
      </w:r>
      <w:r w:rsidRPr="00CF3673">
        <w:tab/>
        <w:t>Minist</w:t>
      </w:r>
      <w:r w:rsidR="006C1975" w:rsidRPr="00CF3673">
        <w:t>ério da Industria e</w:t>
      </w:r>
      <w:r w:rsidRPr="00CF3673">
        <w:t xml:space="preserve"> Com</w:t>
      </w:r>
      <w:r w:rsidR="006C1975" w:rsidRPr="00CF3673">
        <w:t>ércio em</w:t>
      </w:r>
      <w:r w:rsidRPr="00CF3673">
        <w:t xml:space="preserve"> Mo</w:t>
      </w:r>
      <w:r w:rsidR="006C1975" w:rsidRPr="00CF3673">
        <w:t>çambique</w:t>
      </w:r>
    </w:p>
    <w:p w:rsidR="007F1CB9" w:rsidRPr="00CF3673" w:rsidRDefault="006C1975" w:rsidP="009C585E">
      <w:pPr>
        <w:spacing w:after="0"/>
      </w:pPr>
      <w:r w:rsidRPr="00CF3673">
        <w:t>MPD</w:t>
      </w:r>
      <w:r w:rsidRPr="00CF3673">
        <w:tab/>
        <w:t xml:space="preserve">Ministério da </w:t>
      </w:r>
      <w:r w:rsidR="007F1CB9" w:rsidRPr="00CF3673">
        <w:t>Plan</w:t>
      </w:r>
      <w:r w:rsidRPr="00CF3673">
        <w:t>ificação e Desenvolvimento em Moçambique</w:t>
      </w:r>
    </w:p>
    <w:p w:rsidR="00845E07" w:rsidRPr="00323980" w:rsidRDefault="00845E07" w:rsidP="009C585E">
      <w:pPr>
        <w:spacing w:after="0"/>
        <w:rPr>
          <w:lang w:val="en-GB"/>
        </w:rPr>
      </w:pPr>
      <w:r w:rsidRPr="00323980">
        <w:rPr>
          <w:lang w:val="en-GB"/>
        </w:rPr>
        <w:t xml:space="preserve">NUIT </w:t>
      </w:r>
      <w:r w:rsidRPr="00323980">
        <w:rPr>
          <w:lang w:val="en-GB"/>
        </w:rPr>
        <w:tab/>
      </w:r>
      <w:r w:rsidR="006C1975" w:rsidRPr="00323980">
        <w:rPr>
          <w:lang w:val="en-GB"/>
        </w:rPr>
        <w:t xml:space="preserve">Numero </w:t>
      </w:r>
      <w:r w:rsidR="00B20E4D" w:rsidRPr="00323980">
        <w:rPr>
          <w:lang w:val="en-GB"/>
        </w:rPr>
        <w:t>Único</w:t>
      </w:r>
      <w:r w:rsidR="006C1975" w:rsidRPr="00323980">
        <w:rPr>
          <w:lang w:val="en-GB"/>
        </w:rPr>
        <w:t xml:space="preserve"> do Contribuinte</w:t>
      </w:r>
    </w:p>
    <w:p w:rsidR="007F1CB9" w:rsidRPr="00323980" w:rsidRDefault="007F1CB9" w:rsidP="009C585E">
      <w:pPr>
        <w:spacing w:after="0"/>
        <w:rPr>
          <w:lang w:val="en-GB"/>
        </w:rPr>
      </w:pPr>
      <w:r w:rsidRPr="00323980">
        <w:rPr>
          <w:lang w:val="en-GB"/>
        </w:rPr>
        <w:t>OLS</w:t>
      </w:r>
      <w:r w:rsidRPr="00323980">
        <w:rPr>
          <w:lang w:val="en-GB"/>
        </w:rPr>
        <w:tab/>
        <w:t>Ordinary Least Squares</w:t>
      </w:r>
    </w:p>
    <w:p w:rsidR="00845E07" w:rsidRPr="00323980" w:rsidRDefault="00845E07" w:rsidP="009C585E">
      <w:pPr>
        <w:spacing w:after="0"/>
        <w:rPr>
          <w:lang w:val="en-GB"/>
        </w:rPr>
      </w:pPr>
      <w:r w:rsidRPr="00323980">
        <w:rPr>
          <w:lang w:val="en-GB"/>
        </w:rPr>
        <w:t xml:space="preserve">R&amp;D </w:t>
      </w:r>
      <w:r w:rsidRPr="00323980">
        <w:rPr>
          <w:lang w:val="en-GB"/>
        </w:rPr>
        <w:tab/>
        <w:t>Research and Development</w:t>
      </w:r>
    </w:p>
    <w:p w:rsidR="009C585E" w:rsidRPr="00323980" w:rsidRDefault="007F1CB9" w:rsidP="009C585E">
      <w:pPr>
        <w:spacing w:after="0"/>
        <w:rPr>
          <w:lang w:val="en-GB"/>
        </w:rPr>
      </w:pPr>
      <w:r w:rsidRPr="00323980">
        <w:rPr>
          <w:lang w:val="en-GB"/>
        </w:rPr>
        <w:t xml:space="preserve">RPED </w:t>
      </w:r>
      <w:r w:rsidRPr="00323980">
        <w:rPr>
          <w:lang w:val="en-GB"/>
        </w:rPr>
        <w:tab/>
        <w:t>Regional Programme on Enterprise Development</w:t>
      </w:r>
    </w:p>
    <w:p w:rsidR="007F1CB9" w:rsidRPr="00CF3673" w:rsidRDefault="009C585E" w:rsidP="009C585E">
      <w:pPr>
        <w:spacing w:after="0"/>
      </w:pPr>
      <w:r w:rsidRPr="00CF3673">
        <w:t xml:space="preserve">SADC </w:t>
      </w:r>
      <w:r w:rsidRPr="00CF3673">
        <w:tab/>
      </w:r>
      <w:r w:rsidR="006C1975" w:rsidRPr="00CF3673">
        <w:t>Comunidade de Desenvolvimento da Africa Austral</w:t>
      </w:r>
    </w:p>
    <w:p w:rsidR="006C1975" w:rsidRPr="00CF3673" w:rsidRDefault="007F1CB9" w:rsidP="009C585E">
      <w:pPr>
        <w:spacing w:after="0"/>
      </w:pPr>
      <w:r w:rsidRPr="00CF3673">
        <w:t>SEZ</w:t>
      </w:r>
      <w:r w:rsidRPr="00CF3673">
        <w:tab/>
      </w:r>
      <w:r w:rsidR="006C1975" w:rsidRPr="00CF3673">
        <w:t>Zona Económica Especial</w:t>
      </w:r>
    </w:p>
    <w:p w:rsidR="00845E07" w:rsidRPr="00CF3673" w:rsidRDefault="006C1975" w:rsidP="009C585E">
      <w:pPr>
        <w:spacing w:after="0"/>
      </w:pPr>
      <w:r w:rsidRPr="00CF3673">
        <w:t>PMEs</w:t>
      </w:r>
      <w:r w:rsidR="00845E07" w:rsidRPr="00CF3673">
        <w:t xml:space="preserve"> </w:t>
      </w:r>
      <w:r w:rsidR="00845E07" w:rsidRPr="00CF3673">
        <w:tab/>
      </w:r>
      <w:r w:rsidRPr="00CF3673">
        <w:t>Pequenas e Médias Empresas</w:t>
      </w:r>
    </w:p>
    <w:p w:rsidR="007F1CB9" w:rsidRPr="00CF3673" w:rsidRDefault="007F1CB9" w:rsidP="009C585E">
      <w:pPr>
        <w:spacing w:after="0"/>
      </w:pPr>
      <w:proofErr w:type="spellStart"/>
      <w:r w:rsidRPr="00CF3673">
        <w:t>UoC</w:t>
      </w:r>
      <w:proofErr w:type="spellEnd"/>
      <w:r w:rsidRPr="00CF3673">
        <w:tab/>
        <w:t>Universi</w:t>
      </w:r>
      <w:r w:rsidR="006C1975" w:rsidRPr="00CF3673">
        <w:t>dade de</w:t>
      </w:r>
      <w:r w:rsidRPr="00CF3673">
        <w:t xml:space="preserve"> Copenhag</w:t>
      </w:r>
      <w:r w:rsidR="006C1975" w:rsidRPr="00CF3673">
        <w:t>a</w:t>
      </w:r>
    </w:p>
    <w:p w:rsidR="007F1CB9" w:rsidRPr="00CF3673" w:rsidRDefault="007F1CB9" w:rsidP="009C585E">
      <w:pPr>
        <w:spacing w:after="0"/>
      </w:pPr>
      <w:r w:rsidRPr="00CF3673">
        <w:t>ZEEN</w:t>
      </w:r>
      <w:r w:rsidRPr="00CF3673">
        <w:tab/>
        <w:t>Zona Económica Especial de Nacala</w:t>
      </w:r>
    </w:p>
    <w:p w:rsidR="00461403" w:rsidRPr="00CF3673" w:rsidRDefault="00461403">
      <w:r w:rsidRPr="00CF3673">
        <w:br w:type="page"/>
      </w:r>
    </w:p>
    <w:p w:rsidR="009C5FAE" w:rsidRPr="00CF3673" w:rsidRDefault="00B20E4D" w:rsidP="001E664B">
      <w:pPr>
        <w:pStyle w:val="ChapterTitle"/>
        <w:rPr>
          <w:lang w:val="pt-PT"/>
        </w:rPr>
      </w:pPr>
      <w:bookmarkStart w:id="7" w:name="_Toc360720377"/>
      <w:r w:rsidRPr="00CF3673">
        <w:rPr>
          <w:lang w:val="pt-PT"/>
        </w:rPr>
        <w:lastRenderedPageBreak/>
        <w:t xml:space="preserve">Lista </w:t>
      </w:r>
      <w:bookmarkEnd w:id="7"/>
      <w:r w:rsidRPr="00CF3673">
        <w:rPr>
          <w:lang w:val="pt-PT"/>
        </w:rPr>
        <w:t>de Tabelas</w:t>
      </w:r>
    </w:p>
    <w:p w:rsidR="007018D2" w:rsidRPr="00CF3673" w:rsidRDefault="00461403">
      <w:pPr>
        <w:pStyle w:val="TOC1"/>
        <w:tabs>
          <w:tab w:val="right" w:leader="dot" w:pos="9628"/>
        </w:tabs>
        <w:rPr>
          <w:rFonts w:eastAsiaTheme="minorEastAsia"/>
          <w:noProof/>
          <w:lang w:eastAsia="da-DK"/>
        </w:rPr>
      </w:pPr>
      <w:r w:rsidRPr="00CF3673">
        <w:fldChar w:fldCharType="begin"/>
      </w:r>
      <w:r w:rsidRPr="00CF3673">
        <w:instrText xml:space="preserve"> TOC \h \z \t "Table Title;1" </w:instrText>
      </w:r>
      <w:r w:rsidRPr="00CF3673">
        <w:fldChar w:fldCharType="separate"/>
      </w:r>
      <w:hyperlink w:anchor="_Toc360720433" w:history="1">
        <w:r w:rsidR="007018D2" w:rsidRPr="00CF3673">
          <w:rPr>
            <w:rStyle w:val="Hyperlink"/>
            <w:noProof/>
          </w:rPr>
          <w:t>Table 2.1: Population of manufacturing enterprises in Mozambique by province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_Toc360720433 \h </w:instrText>
        </w:r>
        <w:r w:rsidR="007018D2" w:rsidRPr="00CF3673">
          <w:rPr>
            <w:noProof/>
            <w:webHidden/>
          </w:rPr>
        </w:r>
        <w:r w:rsidR="007018D2" w:rsidRPr="00CF3673">
          <w:rPr>
            <w:noProof/>
            <w:webHidden/>
          </w:rPr>
          <w:fldChar w:fldCharType="separate"/>
        </w:r>
        <w:r w:rsidR="007018D2" w:rsidRPr="00CF3673">
          <w:rPr>
            <w:noProof/>
            <w:webHidden/>
          </w:rPr>
          <w:t>15</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34" w:history="1">
        <w:r w:rsidR="007018D2" w:rsidRPr="00CF3673">
          <w:rPr>
            <w:rStyle w:val="Hyperlink"/>
            <w:noProof/>
          </w:rPr>
          <w:t>Table 2.2: Cities to be included in the sample frame and number of firms in each city</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_Toc360720434 \h </w:instrText>
        </w:r>
        <w:r w:rsidR="007018D2" w:rsidRPr="00CF3673">
          <w:rPr>
            <w:noProof/>
            <w:webHidden/>
          </w:rPr>
        </w:r>
        <w:r w:rsidR="007018D2" w:rsidRPr="00CF3673">
          <w:rPr>
            <w:noProof/>
            <w:webHidden/>
          </w:rPr>
          <w:fldChar w:fldCharType="separate"/>
        </w:r>
        <w:r w:rsidR="007018D2" w:rsidRPr="00CF3673">
          <w:rPr>
            <w:noProof/>
            <w:webHidden/>
          </w:rPr>
          <w:t>16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35" w:history="1">
        <w:r w:rsidR="007018D2" w:rsidRPr="00CF3673">
          <w:rPr>
            <w:rStyle w:val="Hyperlink"/>
            <w:noProof/>
          </w:rPr>
          <w:t>Table 2.3: Population of manufacturing firms by size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_Toc360720435 \h </w:instrText>
        </w:r>
        <w:r w:rsidR="007018D2" w:rsidRPr="00CF3673">
          <w:rPr>
            <w:noProof/>
            <w:webHidden/>
          </w:rPr>
        </w:r>
        <w:r w:rsidR="007018D2" w:rsidRPr="00CF3673">
          <w:rPr>
            <w:noProof/>
            <w:webHidden/>
          </w:rPr>
          <w:fldChar w:fldCharType="separate"/>
        </w:r>
        <w:r w:rsidR="007018D2" w:rsidRPr="00CF3673">
          <w:rPr>
            <w:noProof/>
            <w:webHidden/>
          </w:rPr>
          <w:t>16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36" w:history="1">
        <w:r w:rsidR="007018D2" w:rsidRPr="00CF3673">
          <w:rPr>
            <w:rStyle w:val="Hyperlink"/>
            <w:noProof/>
          </w:rPr>
          <w:t>Table 2.4: Sampling strategy: Number of enterprises to be sampled by province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_Toc360720436 \h </w:instrText>
        </w:r>
        <w:r w:rsidR="007018D2" w:rsidRPr="00CF3673">
          <w:rPr>
            <w:noProof/>
            <w:webHidden/>
          </w:rPr>
        </w:r>
        <w:r w:rsidR="007018D2" w:rsidRPr="00CF3673">
          <w:rPr>
            <w:noProof/>
            <w:webHidden/>
          </w:rPr>
          <w:fldChar w:fldCharType="separate"/>
        </w:r>
        <w:r w:rsidR="007018D2" w:rsidRPr="00CF3673">
          <w:rPr>
            <w:noProof/>
            <w:webHidden/>
          </w:rPr>
          <w:t>17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37" w:history="1">
        <w:r w:rsidR="007018D2" w:rsidRPr="00CF3673">
          <w:rPr>
            <w:rStyle w:val="Hyperlink"/>
            <w:noProof/>
          </w:rPr>
          <w:t>Table 2.5: Status and tracking of firms from DNEAP06 and ICA09</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_Toc360720437 \h </w:instrText>
        </w:r>
        <w:r w:rsidR="007018D2" w:rsidRPr="00CF3673">
          <w:rPr>
            <w:noProof/>
            <w:webHidden/>
          </w:rPr>
        </w:r>
        <w:r w:rsidR="007018D2" w:rsidRPr="00CF3673">
          <w:rPr>
            <w:noProof/>
            <w:webHidden/>
          </w:rPr>
          <w:fldChar w:fldCharType="separate"/>
        </w:r>
        <w:r w:rsidR="007018D2" w:rsidRPr="00CF3673">
          <w:rPr>
            <w:noProof/>
            <w:webHidden/>
          </w:rPr>
          <w:t>19</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38" w:history="1">
        <w:r w:rsidR="007018D2" w:rsidRPr="00CF3673">
          <w:rPr>
            <w:rStyle w:val="Hyperlink"/>
            <w:noProof/>
          </w:rPr>
          <w:t>Table 2.6: Distribution of firms by city and firm type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_Toc360720438 \h </w:instrText>
        </w:r>
        <w:r w:rsidR="007018D2" w:rsidRPr="00CF3673">
          <w:rPr>
            <w:noProof/>
            <w:webHidden/>
          </w:rPr>
        </w:r>
        <w:r w:rsidR="007018D2" w:rsidRPr="00CF3673">
          <w:rPr>
            <w:noProof/>
            <w:webHidden/>
          </w:rPr>
          <w:fldChar w:fldCharType="separate"/>
        </w:r>
        <w:r w:rsidR="007018D2" w:rsidRPr="00CF3673">
          <w:rPr>
            <w:noProof/>
            <w:webHidden/>
          </w:rPr>
          <w:t>20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39" w:history="1">
        <w:r w:rsidR="007018D2" w:rsidRPr="00CF3673">
          <w:rPr>
            <w:rStyle w:val="Hyperlink"/>
            <w:noProof/>
          </w:rPr>
          <w:t>Table 2.7: Questionnaire structure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_Toc360720439 \h </w:instrText>
        </w:r>
        <w:r w:rsidR="007018D2" w:rsidRPr="00CF3673">
          <w:rPr>
            <w:noProof/>
            <w:webHidden/>
          </w:rPr>
        </w:r>
        <w:r w:rsidR="007018D2" w:rsidRPr="00CF3673">
          <w:rPr>
            <w:noProof/>
            <w:webHidden/>
          </w:rPr>
          <w:fldChar w:fldCharType="separate"/>
        </w:r>
        <w:r w:rsidR="007018D2" w:rsidRPr="00CF3673">
          <w:rPr>
            <w:noProof/>
            <w:webHidden/>
          </w:rPr>
          <w:t>21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40" w:history="1">
        <w:r w:rsidR="007018D2" w:rsidRPr="00CF3673">
          <w:rPr>
            <w:rStyle w:val="Hyperlink"/>
            <w:noProof/>
          </w:rPr>
          <w:t>Table 2.8: Mean number of workers, mean firm age and pct. of sample by firm type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_Toc360720440 \h </w:instrText>
        </w:r>
        <w:r w:rsidR="007018D2" w:rsidRPr="00CF3673">
          <w:rPr>
            <w:noProof/>
            <w:webHidden/>
          </w:rPr>
        </w:r>
        <w:r w:rsidR="007018D2" w:rsidRPr="00CF3673">
          <w:rPr>
            <w:noProof/>
            <w:webHidden/>
          </w:rPr>
          <w:fldChar w:fldCharType="separate"/>
        </w:r>
        <w:r w:rsidR="007018D2" w:rsidRPr="00CF3673">
          <w:rPr>
            <w:noProof/>
            <w:webHidden/>
          </w:rPr>
          <w:t>23</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41" w:history="1">
        <w:r w:rsidR="007018D2" w:rsidRPr="00CF3673">
          <w:rPr>
            <w:rStyle w:val="Hyperlink"/>
            <w:noProof/>
          </w:rPr>
          <w:t>Table 2.9: Number of enterprises by formality and size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_Toc360720441 \h </w:instrText>
        </w:r>
        <w:r w:rsidR="007018D2" w:rsidRPr="00CF3673">
          <w:rPr>
            <w:noProof/>
            <w:webHidden/>
          </w:rPr>
        </w:r>
        <w:r w:rsidR="007018D2" w:rsidRPr="00CF3673">
          <w:rPr>
            <w:noProof/>
            <w:webHidden/>
          </w:rPr>
          <w:fldChar w:fldCharType="separate"/>
        </w:r>
        <w:r w:rsidR="007018D2" w:rsidRPr="00CF3673">
          <w:rPr>
            <w:noProof/>
            <w:webHidden/>
          </w:rPr>
          <w:t>23</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42" w:history="1">
        <w:r w:rsidR="007018D2" w:rsidRPr="00CF3673">
          <w:rPr>
            <w:rStyle w:val="Hyperlink"/>
            <w:noProof/>
          </w:rPr>
          <w:t>Table 2.10: Number of enterprises by legal status and size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_Toc360720442 \h </w:instrText>
        </w:r>
        <w:r w:rsidR="007018D2" w:rsidRPr="00CF3673">
          <w:rPr>
            <w:noProof/>
            <w:webHidden/>
          </w:rPr>
        </w:r>
        <w:r w:rsidR="007018D2" w:rsidRPr="00CF3673">
          <w:rPr>
            <w:noProof/>
            <w:webHidden/>
          </w:rPr>
          <w:fldChar w:fldCharType="separate"/>
        </w:r>
        <w:r w:rsidR="007018D2" w:rsidRPr="00CF3673">
          <w:rPr>
            <w:noProof/>
            <w:webHidden/>
          </w:rPr>
          <w:t>24</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43" w:history="1">
        <w:r w:rsidR="007018D2" w:rsidRPr="00CF3673">
          <w:rPr>
            <w:rStyle w:val="Hyperlink"/>
            <w:noProof/>
          </w:rPr>
          <w:t>Table 2.11: Number of enterprises by location and size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_Toc360720443 \h </w:instrText>
        </w:r>
        <w:r w:rsidR="007018D2" w:rsidRPr="00CF3673">
          <w:rPr>
            <w:noProof/>
            <w:webHidden/>
          </w:rPr>
        </w:r>
        <w:r w:rsidR="007018D2" w:rsidRPr="00CF3673">
          <w:rPr>
            <w:noProof/>
            <w:webHidden/>
          </w:rPr>
          <w:fldChar w:fldCharType="separate"/>
        </w:r>
        <w:r w:rsidR="007018D2" w:rsidRPr="00CF3673">
          <w:rPr>
            <w:noProof/>
            <w:webHidden/>
          </w:rPr>
          <w:t>24</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44" w:history="1">
        <w:r w:rsidR="007018D2" w:rsidRPr="00CF3673">
          <w:rPr>
            <w:rStyle w:val="Hyperlink"/>
            <w:noProof/>
          </w:rPr>
          <w:t>Table 2.12: Number of enterprises by sector and size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_Toc360720444 \h </w:instrText>
        </w:r>
        <w:r w:rsidR="007018D2" w:rsidRPr="00CF3673">
          <w:rPr>
            <w:noProof/>
            <w:webHidden/>
          </w:rPr>
        </w:r>
        <w:r w:rsidR="007018D2" w:rsidRPr="00CF3673">
          <w:rPr>
            <w:noProof/>
            <w:webHidden/>
          </w:rPr>
          <w:fldChar w:fldCharType="separate"/>
        </w:r>
        <w:r w:rsidR="007018D2" w:rsidRPr="00CF3673">
          <w:rPr>
            <w:noProof/>
            <w:webHidden/>
          </w:rPr>
          <w:t>25</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45" w:history="1">
        <w:r w:rsidR="007018D2" w:rsidRPr="00CF3673">
          <w:rPr>
            <w:rStyle w:val="Hyperlink"/>
            <w:noProof/>
          </w:rPr>
          <w:t>Table 2.13: Number of firms by simplified sector and size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_Toc360720445 \h </w:instrText>
        </w:r>
        <w:r w:rsidR="007018D2" w:rsidRPr="00CF3673">
          <w:rPr>
            <w:noProof/>
            <w:webHidden/>
          </w:rPr>
        </w:r>
        <w:r w:rsidR="007018D2" w:rsidRPr="00CF3673">
          <w:rPr>
            <w:noProof/>
            <w:webHidden/>
          </w:rPr>
          <w:fldChar w:fldCharType="separate"/>
        </w:r>
        <w:r w:rsidR="007018D2" w:rsidRPr="00CF3673">
          <w:rPr>
            <w:noProof/>
            <w:webHidden/>
          </w:rPr>
          <w:t>27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46" w:history="1">
        <w:r w:rsidR="007018D2" w:rsidRPr="00CF3673">
          <w:rPr>
            <w:rStyle w:val="Hyperlink"/>
            <w:noProof/>
          </w:rPr>
          <w:t>Table 2.14: Number of firms by sector and location</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_Toc360720446 \h </w:instrText>
        </w:r>
        <w:r w:rsidR="007018D2" w:rsidRPr="00CF3673">
          <w:rPr>
            <w:noProof/>
            <w:webHidden/>
          </w:rPr>
        </w:r>
        <w:r w:rsidR="007018D2" w:rsidRPr="00CF3673">
          <w:rPr>
            <w:noProof/>
            <w:webHidden/>
          </w:rPr>
          <w:fldChar w:fldCharType="separate"/>
        </w:r>
        <w:r w:rsidR="007018D2" w:rsidRPr="00CF3673">
          <w:rPr>
            <w:noProof/>
            <w:webHidden/>
          </w:rPr>
          <w:t>27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47" w:history="1">
        <w:r w:rsidR="007018D2" w:rsidRPr="00CF3673">
          <w:rPr>
            <w:rStyle w:val="Hyperlink"/>
            <w:noProof/>
          </w:rPr>
          <w:t>Table 2.15: Composition of firms by size in panel, cross section and population,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_Toc360720447 \h </w:instrText>
        </w:r>
        <w:r w:rsidR="007018D2" w:rsidRPr="00CF3673">
          <w:rPr>
            <w:noProof/>
            <w:webHidden/>
          </w:rPr>
        </w:r>
        <w:r w:rsidR="007018D2" w:rsidRPr="00CF3673">
          <w:rPr>
            <w:noProof/>
            <w:webHidden/>
          </w:rPr>
          <w:fldChar w:fldCharType="separate"/>
        </w:r>
        <w:r w:rsidR="007018D2" w:rsidRPr="00CF3673">
          <w:rPr>
            <w:noProof/>
            <w:webHidden/>
          </w:rPr>
          <w:t>28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48" w:history="1">
        <w:r w:rsidR="007018D2" w:rsidRPr="00CF3673">
          <w:rPr>
            <w:rStyle w:val="Hyperlink"/>
            <w:noProof/>
          </w:rPr>
          <w:t>Table 2.16: Mean and median number of workers by firm size category for three surveys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_Toc360720448 \h </w:instrText>
        </w:r>
        <w:r w:rsidR="007018D2" w:rsidRPr="00CF3673">
          <w:rPr>
            <w:noProof/>
            <w:webHidden/>
          </w:rPr>
        </w:r>
        <w:r w:rsidR="007018D2" w:rsidRPr="00CF3673">
          <w:rPr>
            <w:noProof/>
            <w:webHidden/>
          </w:rPr>
          <w:fldChar w:fldCharType="separate"/>
        </w:r>
        <w:r w:rsidR="007018D2" w:rsidRPr="00CF3673">
          <w:rPr>
            <w:noProof/>
            <w:webHidden/>
          </w:rPr>
          <w:t>28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49" w:history="1">
        <w:r w:rsidR="007018D2" w:rsidRPr="00CF3673">
          <w:rPr>
            <w:rStyle w:val="Hyperlink"/>
            <w:noProof/>
          </w:rPr>
          <w:t>Table 3.1: Mean and median number of workers by size category and year</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_Toc360720449 \h </w:instrText>
        </w:r>
        <w:r w:rsidR="007018D2" w:rsidRPr="00CF3673">
          <w:rPr>
            <w:noProof/>
            <w:webHidden/>
          </w:rPr>
        </w:r>
        <w:r w:rsidR="007018D2" w:rsidRPr="00CF3673">
          <w:rPr>
            <w:noProof/>
            <w:webHidden/>
          </w:rPr>
          <w:fldChar w:fldCharType="separate"/>
        </w:r>
        <w:r w:rsidR="007018D2" w:rsidRPr="00CF3673">
          <w:rPr>
            <w:noProof/>
            <w:webHidden/>
          </w:rPr>
          <w:t>30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50" w:history="1">
        <w:r w:rsidR="007018D2" w:rsidRPr="00CF3673">
          <w:rPr>
            <w:rStyle w:val="Hyperlink"/>
            <w:noProof/>
          </w:rPr>
          <w:t>Table 3.2: Firm size category transition matrix, 2006-2011</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_Toc360720450 \h </w:instrText>
        </w:r>
        <w:r w:rsidR="007018D2" w:rsidRPr="00CF3673">
          <w:rPr>
            <w:noProof/>
            <w:webHidden/>
          </w:rPr>
        </w:r>
        <w:r w:rsidR="007018D2" w:rsidRPr="00CF3673">
          <w:rPr>
            <w:noProof/>
            <w:webHidden/>
          </w:rPr>
          <w:fldChar w:fldCharType="separate"/>
        </w:r>
        <w:r w:rsidR="007018D2" w:rsidRPr="00CF3673">
          <w:rPr>
            <w:noProof/>
            <w:webHidden/>
          </w:rPr>
          <w:t>31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51" w:history="1">
        <w:r w:rsidR="007018D2" w:rsidRPr="00CF3673">
          <w:rPr>
            <w:rStyle w:val="Hyperlink"/>
            <w:noProof/>
          </w:rPr>
          <w:t>Table 3.3: Employment growth 2006-2011 by firm size, formality, ownership and location,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_Toc360720451 \h </w:instrText>
        </w:r>
        <w:r w:rsidR="007018D2" w:rsidRPr="00CF3673">
          <w:rPr>
            <w:noProof/>
            <w:webHidden/>
          </w:rPr>
        </w:r>
        <w:r w:rsidR="007018D2" w:rsidRPr="00CF3673">
          <w:rPr>
            <w:noProof/>
            <w:webHidden/>
          </w:rPr>
          <w:fldChar w:fldCharType="separate"/>
        </w:r>
        <w:r w:rsidR="007018D2" w:rsidRPr="00CF3673">
          <w:rPr>
            <w:noProof/>
            <w:webHidden/>
          </w:rPr>
          <w:t>32</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52" w:history="1">
        <w:r w:rsidR="007018D2" w:rsidRPr="00CF3673">
          <w:rPr>
            <w:rStyle w:val="Hyperlink"/>
            <w:noProof/>
          </w:rPr>
          <w:t>Table 3.4: Employment growth 2006-2012 by sector,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_Toc360720452 \h </w:instrText>
        </w:r>
        <w:r w:rsidR="007018D2" w:rsidRPr="00CF3673">
          <w:rPr>
            <w:noProof/>
            <w:webHidden/>
          </w:rPr>
        </w:r>
        <w:r w:rsidR="007018D2" w:rsidRPr="00CF3673">
          <w:rPr>
            <w:noProof/>
            <w:webHidden/>
          </w:rPr>
          <w:fldChar w:fldCharType="separate"/>
        </w:r>
        <w:r w:rsidR="007018D2" w:rsidRPr="00CF3673">
          <w:rPr>
            <w:noProof/>
            <w:webHidden/>
          </w:rPr>
          <w:t>33</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53" w:history="1">
        <w:r w:rsidR="007018D2" w:rsidRPr="00CF3673">
          <w:rPr>
            <w:rStyle w:val="Hyperlink"/>
            <w:noProof/>
          </w:rPr>
          <w:t>Table 3.5: Employment growth determinants 2006-2011, OLS regression</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_Toc360720453 \h </w:instrText>
        </w:r>
        <w:r w:rsidR="007018D2" w:rsidRPr="00CF3673">
          <w:rPr>
            <w:noProof/>
            <w:webHidden/>
          </w:rPr>
        </w:r>
        <w:r w:rsidR="007018D2" w:rsidRPr="00CF3673">
          <w:rPr>
            <w:noProof/>
            <w:webHidden/>
          </w:rPr>
          <w:fldChar w:fldCharType="separate"/>
        </w:r>
        <w:r w:rsidR="007018D2" w:rsidRPr="00CF3673">
          <w:rPr>
            <w:noProof/>
            <w:webHidden/>
          </w:rPr>
          <w:t>34</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54" w:history="1">
        <w:r w:rsidR="007018D2" w:rsidRPr="00CF3673">
          <w:rPr>
            <w:rStyle w:val="Hyperlink"/>
            <w:noProof/>
          </w:rPr>
          <w:t>Table 3.6: Firm exits and annual exit rates 2006-2011,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_Toc360720454 \h </w:instrText>
        </w:r>
        <w:r w:rsidR="007018D2" w:rsidRPr="00CF3673">
          <w:rPr>
            <w:noProof/>
            <w:webHidden/>
          </w:rPr>
        </w:r>
        <w:r w:rsidR="007018D2" w:rsidRPr="00CF3673">
          <w:rPr>
            <w:noProof/>
            <w:webHidden/>
          </w:rPr>
          <w:fldChar w:fldCharType="separate"/>
        </w:r>
        <w:r w:rsidR="007018D2" w:rsidRPr="00CF3673">
          <w:rPr>
            <w:noProof/>
            <w:webHidden/>
          </w:rPr>
          <w:t>35</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55" w:history="1">
        <w:r w:rsidR="007018D2" w:rsidRPr="00CF3673">
          <w:rPr>
            <w:rStyle w:val="Hyperlink"/>
            <w:noProof/>
          </w:rPr>
          <w:t>Table 3.7: Firm exit and survival rates by sector,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_Toc360720455 \h </w:instrText>
        </w:r>
        <w:r w:rsidR="007018D2" w:rsidRPr="00CF3673">
          <w:rPr>
            <w:noProof/>
            <w:webHidden/>
          </w:rPr>
        </w:r>
        <w:r w:rsidR="007018D2" w:rsidRPr="00CF3673">
          <w:rPr>
            <w:noProof/>
            <w:webHidden/>
          </w:rPr>
          <w:fldChar w:fldCharType="separate"/>
        </w:r>
        <w:r w:rsidR="007018D2" w:rsidRPr="00CF3673">
          <w:rPr>
            <w:noProof/>
            <w:webHidden/>
          </w:rPr>
          <w:t>36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56" w:history="1">
        <w:r w:rsidR="007018D2" w:rsidRPr="00CF3673">
          <w:rPr>
            <w:rStyle w:val="Hyperlink"/>
            <w:noProof/>
          </w:rPr>
          <w:t>Table 3.8: Exit determinants, probit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_Toc360720456 \h </w:instrText>
        </w:r>
        <w:r w:rsidR="007018D2" w:rsidRPr="00CF3673">
          <w:rPr>
            <w:noProof/>
            <w:webHidden/>
          </w:rPr>
        </w:r>
        <w:r w:rsidR="007018D2" w:rsidRPr="00CF3673">
          <w:rPr>
            <w:noProof/>
            <w:webHidden/>
          </w:rPr>
          <w:fldChar w:fldCharType="separate"/>
        </w:r>
        <w:r w:rsidR="007018D2" w:rsidRPr="00CF3673">
          <w:rPr>
            <w:noProof/>
            <w:webHidden/>
          </w:rPr>
          <w:t>37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57" w:history="1">
        <w:r w:rsidR="007018D2" w:rsidRPr="00CF3673">
          <w:rPr>
            <w:rStyle w:val="Hyperlink"/>
            <w:noProof/>
          </w:rPr>
          <w:t>Table 3.9: Share of firms perceiving factors as constraints 2003-2012, unbalanced panel, pct.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_Toc360720457 \h </w:instrText>
        </w:r>
        <w:r w:rsidR="007018D2" w:rsidRPr="00CF3673">
          <w:rPr>
            <w:noProof/>
            <w:webHidden/>
          </w:rPr>
        </w:r>
        <w:r w:rsidR="007018D2" w:rsidRPr="00CF3673">
          <w:rPr>
            <w:noProof/>
            <w:webHidden/>
          </w:rPr>
          <w:fldChar w:fldCharType="separate"/>
        </w:r>
        <w:r w:rsidR="007018D2" w:rsidRPr="00CF3673">
          <w:rPr>
            <w:noProof/>
            <w:webHidden/>
          </w:rPr>
          <w:t>39</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58" w:history="1">
        <w:r w:rsidR="007018D2" w:rsidRPr="00CF3673">
          <w:rPr>
            <w:rStyle w:val="Hyperlink"/>
            <w:noProof/>
          </w:rPr>
          <w:t>Table 3.10: Share of firms perceiving factors as constraints 2006-2012, balanced panel, pct.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_Toc360720458 \h </w:instrText>
        </w:r>
        <w:r w:rsidR="007018D2" w:rsidRPr="00CF3673">
          <w:rPr>
            <w:noProof/>
            <w:webHidden/>
          </w:rPr>
        </w:r>
        <w:r w:rsidR="007018D2" w:rsidRPr="00CF3673">
          <w:rPr>
            <w:noProof/>
            <w:webHidden/>
          </w:rPr>
          <w:fldChar w:fldCharType="separate"/>
        </w:r>
        <w:r w:rsidR="007018D2" w:rsidRPr="00CF3673">
          <w:rPr>
            <w:noProof/>
            <w:webHidden/>
          </w:rPr>
          <w:t>40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59" w:history="1">
        <w:r w:rsidR="007018D2" w:rsidRPr="00CF3673">
          <w:rPr>
            <w:rStyle w:val="Hyperlink"/>
            <w:noProof/>
          </w:rPr>
          <w:t>Table 3.11: Share of firms constrained in 2006 by exit status in 2012,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_Toc360720459 \h </w:instrText>
        </w:r>
        <w:r w:rsidR="007018D2" w:rsidRPr="00CF3673">
          <w:rPr>
            <w:noProof/>
            <w:webHidden/>
          </w:rPr>
        </w:r>
        <w:r w:rsidR="007018D2" w:rsidRPr="00CF3673">
          <w:rPr>
            <w:noProof/>
            <w:webHidden/>
          </w:rPr>
          <w:fldChar w:fldCharType="separate"/>
        </w:r>
        <w:r w:rsidR="007018D2" w:rsidRPr="00CF3673">
          <w:rPr>
            <w:noProof/>
            <w:webHidden/>
          </w:rPr>
          <w:t>41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60" w:history="1">
        <w:r w:rsidR="007018D2" w:rsidRPr="00CF3673">
          <w:rPr>
            <w:rStyle w:val="Hyperlink"/>
            <w:noProof/>
          </w:rPr>
          <w:t>Table 3.12: Perceived constraints by firm size, pct. of firms constrained</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_Toc360720460 \h </w:instrText>
        </w:r>
        <w:r w:rsidR="007018D2" w:rsidRPr="00CF3673">
          <w:rPr>
            <w:noProof/>
            <w:webHidden/>
          </w:rPr>
        </w:r>
        <w:r w:rsidR="007018D2" w:rsidRPr="00CF3673">
          <w:rPr>
            <w:noProof/>
            <w:webHidden/>
          </w:rPr>
          <w:fldChar w:fldCharType="separate"/>
        </w:r>
        <w:r w:rsidR="007018D2" w:rsidRPr="00CF3673">
          <w:rPr>
            <w:noProof/>
            <w:webHidden/>
          </w:rPr>
          <w:t>42</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61" w:history="1">
        <w:r w:rsidR="007018D2" w:rsidRPr="00CF3673">
          <w:rPr>
            <w:rStyle w:val="Hyperlink"/>
            <w:noProof/>
          </w:rPr>
          <w:t>Table 3.13: Perceived constraints by formality and owner nationality, pct. of firms constrained</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_Toc360720461 \h </w:instrText>
        </w:r>
        <w:r w:rsidR="007018D2" w:rsidRPr="00CF3673">
          <w:rPr>
            <w:noProof/>
            <w:webHidden/>
          </w:rPr>
        </w:r>
        <w:r w:rsidR="007018D2" w:rsidRPr="00CF3673">
          <w:rPr>
            <w:noProof/>
            <w:webHidden/>
          </w:rPr>
          <w:fldChar w:fldCharType="separate"/>
        </w:r>
        <w:r w:rsidR="007018D2" w:rsidRPr="00CF3673">
          <w:rPr>
            <w:noProof/>
            <w:webHidden/>
          </w:rPr>
          <w:t>43</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62" w:history="1">
        <w:r w:rsidR="007018D2" w:rsidRPr="00CF3673">
          <w:rPr>
            <w:rStyle w:val="Hyperlink"/>
            <w:noProof/>
          </w:rPr>
          <w:t>Table 3.14: Constraints faced by region, pct. of firms constrained</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_Toc360720462 \h </w:instrText>
        </w:r>
        <w:r w:rsidR="007018D2" w:rsidRPr="00CF3673">
          <w:rPr>
            <w:noProof/>
            <w:webHidden/>
          </w:rPr>
        </w:r>
        <w:r w:rsidR="007018D2" w:rsidRPr="00CF3673">
          <w:rPr>
            <w:noProof/>
            <w:webHidden/>
          </w:rPr>
          <w:fldChar w:fldCharType="separate"/>
        </w:r>
        <w:r w:rsidR="007018D2" w:rsidRPr="00CF3673">
          <w:rPr>
            <w:noProof/>
            <w:webHidden/>
          </w:rPr>
          <w:t>44</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63" w:history="1">
        <w:r w:rsidR="007018D2" w:rsidRPr="00CF3673">
          <w:rPr>
            <w:rStyle w:val="Hyperlink"/>
            <w:noProof/>
          </w:rPr>
          <w:t>Table 3.15: Constraints faced by sector, pct. of firms constrained</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_Toc360720463 \h </w:instrText>
        </w:r>
        <w:r w:rsidR="007018D2" w:rsidRPr="00CF3673">
          <w:rPr>
            <w:noProof/>
            <w:webHidden/>
          </w:rPr>
        </w:r>
        <w:r w:rsidR="007018D2" w:rsidRPr="00CF3673">
          <w:rPr>
            <w:noProof/>
            <w:webHidden/>
          </w:rPr>
          <w:fldChar w:fldCharType="separate"/>
        </w:r>
        <w:r w:rsidR="007018D2" w:rsidRPr="00CF3673">
          <w:rPr>
            <w:noProof/>
            <w:webHidden/>
          </w:rPr>
          <w:t>45</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64" w:history="1">
        <w:r w:rsidR="007018D2" w:rsidRPr="00CF3673">
          <w:rPr>
            <w:rStyle w:val="Hyperlink"/>
            <w:noProof/>
          </w:rPr>
          <w:t>Table 4.1: Share of different kinds of workers by firm type,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_Toc360720464 \h </w:instrText>
        </w:r>
        <w:r w:rsidR="007018D2" w:rsidRPr="00CF3673">
          <w:rPr>
            <w:noProof/>
            <w:webHidden/>
          </w:rPr>
        </w:r>
        <w:r w:rsidR="007018D2" w:rsidRPr="00CF3673">
          <w:rPr>
            <w:noProof/>
            <w:webHidden/>
          </w:rPr>
          <w:fldChar w:fldCharType="separate"/>
        </w:r>
        <w:r w:rsidR="007018D2" w:rsidRPr="00CF3673">
          <w:rPr>
            <w:noProof/>
            <w:webHidden/>
          </w:rPr>
          <w:t>47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65" w:history="1">
        <w:r w:rsidR="007018D2" w:rsidRPr="00CF3673">
          <w:rPr>
            <w:rStyle w:val="Hyperlink"/>
            <w:noProof/>
          </w:rPr>
          <w:t>Table 4.2: Share of workers receiving min. wage and most important wage setting criterion,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_Toc360720465 \h </w:instrText>
        </w:r>
        <w:r w:rsidR="007018D2" w:rsidRPr="00CF3673">
          <w:rPr>
            <w:noProof/>
            <w:webHidden/>
          </w:rPr>
        </w:r>
        <w:r w:rsidR="007018D2" w:rsidRPr="00CF3673">
          <w:rPr>
            <w:noProof/>
            <w:webHidden/>
          </w:rPr>
          <w:fldChar w:fldCharType="separate"/>
        </w:r>
        <w:r w:rsidR="007018D2" w:rsidRPr="00CF3673">
          <w:rPr>
            <w:noProof/>
            <w:webHidden/>
          </w:rPr>
          <w:t>49</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66" w:history="1">
        <w:r w:rsidR="007018D2" w:rsidRPr="00CF3673">
          <w:rPr>
            <w:rStyle w:val="Hyperlink"/>
            <w:noProof/>
          </w:rPr>
          <w:t>Table 4.3: Share of workers receiving benefits by firm type,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_Toc360720466 \h </w:instrText>
        </w:r>
        <w:r w:rsidR="007018D2" w:rsidRPr="00CF3673">
          <w:rPr>
            <w:noProof/>
            <w:webHidden/>
          </w:rPr>
        </w:r>
        <w:r w:rsidR="007018D2" w:rsidRPr="00CF3673">
          <w:rPr>
            <w:noProof/>
            <w:webHidden/>
          </w:rPr>
          <w:fldChar w:fldCharType="separate"/>
        </w:r>
        <w:r w:rsidR="007018D2" w:rsidRPr="00CF3673">
          <w:rPr>
            <w:noProof/>
            <w:webHidden/>
          </w:rPr>
          <w:t>52</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67" w:history="1">
        <w:r w:rsidR="007018D2" w:rsidRPr="00CF3673">
          <w:rPr>
            <w:rStyle w:val="Hyperlink"/>
            <w:noProof/>
          </w:rPr>
          <w:t>Table 4.4: Employment growth 2009-2011 by firm type,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_Toc360720467 \h </w:instrText>
        </w:r>
        <w:r w:rsidR="007018D2" w:rsidRPr="00CF3673">
          <w:rPr>
            <w:noProof/>
            <w:webHidden/>
          </w:rPr>
        </w:r>
        <w:r w:rsidR="007018D2" w:rsidRPr="00CF3673">
          <w:rPr>
            <w:noProof/>
            <w:webHidden/>
          </w:rPr>
          <w:fldChar w:fldCharType="separate"/>
        </w:r>
        <w:r w:rsidR="007018D2" w:rsidRPr="00CF3673">
          <w:rPr>
            <w:noProof/>
            <w:webHidden/>
          </w:rPr>
          <w:t>54</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68" w:history="1">
        <w:r w:rsidR="007018D2" w:rsidRPr="00CF3673">
          <w:rPr>
            <w:rStyle w:val="Hyperlink"/>
            <w:noProof/>
          </w:rPr>
          <w:t>Table 4.5: Employment growth 2009-2011 by sector,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_Toc360720468 \h </w:instrText>
        </w:r>
        <w:r w:rsidR="007018D2" w:rsidRPr="00CF3673">
          <w:rPr>
            <w:noProof/>
            <w:webHidden/>
          </w:rPr>
        </w:r>
        <w:r w:rsidR="007018D2" w:rsidRPr="00CF3673">
          <w:rPr>
            <w:noProof/>
            <w:webHidden/>
          </w:rPr>
          <w:fldChar w:fldCharType="separate"/>
        </w:r>
        <w:r w:rsidR="007018D2" w:rsidRPr="00CF3673">
          <w:rPr>
            <w:noProof/>
            <w:webHidden/>
          </w:rPr>
          <w:t>55</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69" w:history="1">
        <w:r w:rsidR="007018D2" w:rsidRPr="00CF3673">
          <w:rPr>
            <w:rStyle w:val="Hyperlink"/>
            <w:noProof/>
          </w:rPr>
          <w:t>Table 4.6: Use of hiring methods by firm type, pct. of firms using the method.</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_Toc360720469 \h </w:instrText>
        </w:r>
        <w:r w:rsidR="007018D2" w:rsidRPr="00CF3673">
          <w:rPr>
            <w:noProof/>
            <w:webHidden/>
          </w:rPr>
        </w:r>
        <w:r w:rsidR="007018D2" w:rsidRPr="00CF3673">
          <w:rPr>
            <w:noProof/>
            <w:webHidden/>
          </w:rPr>
          <w:fldChar w:fldCharType="separate"/>
        </w:r>
        <w:r w:rsidR="007018D2" w:rsidRPr="00CF3673">
          <w:rPr>
            <w:noProof/>
            <w:webHidden/>
          </w:rPr>
          <w:t>55</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70" w:history="1">
        <w:r w:rsidR="007018D2" w:rsidRPr="00CF3673">
          <w:rPr>
            <w:rStyle w:val="Hyperlink"/>
            <w:noProof/>
          </w:rPr>
          <w:t>Table 4.7: Education level of workers by firm type, pct. of workers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_Toc360720470 \h </w:instrText>
        </w:r>
        <w:r w:rsidR="007018D2" w:rsidRPr="00CF3673">
          <w:rPr>
            <w:noProof/>
            <w:webHidden/>
          </w:rPr>
        </w:r>
        <w:r w:rsidR="007018D2" w:rsidRPr="00CF3673">
          <w:rPr>
            <w:noProof/>
            <w:webHidden/>
          </w:rPr>
          <w:fldChar w:fldCharType="separate"/>
        </w:r>
        <w:r w:rsidR="007018D2" w:rsidRPr="00CF3673">
          <w:rPr>
            <w:noProof/>
            <w:webHidden/>
          </w:rPr>
          <w:t>56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71" w:history="1">
        <w:r w:rsidR="007018D2" w:rsidRPr="00CF3673">
          <w:rPr>
            <w:rStyle w:val="Hyperlink"/>
            <w:noProof/>
          </w:rPr>
          <w:t>Table 4.8: Share of firms perceiving workers’ skills as insufficient and share providing training,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_Toc360720471 \h </w:instrText>
        </w:r>
        <w:r w:rsidR="007018D2" w:rsidRPr="00CF3673">
          <w:rPr>
            <w:noProof/>
            <w:webHidden/>
          </w:rPr>
        </w:r>
        <w:r w:rsidR="007018D2" w:rsidRPr="00CF3673">
          <w:rPr>
            <w:noProof/>
            <w:webHidden/>
          </w:rPr>
          <w:fldChar w:fldCharType="separate"/>
        </w:r>
        <w:r w:rsidR="007018D2" w:rsidRPr="00CF3673">
          <w:rPr>
            <w:noProof/>
            <w:webHidden/>
          </w:rPr>
          <w:t>57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72" w:history="1">
        <w:r w:rsidR="007018D2" w:rsidRPr="00CF3673">
          <w:rPr>
            <w:rStyle w:val="Hyperlink"/>
            <w:noProof/>
          </w:rPr>
          <w:t>Table 5.1: Share of firms that made investments during the last three years,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_Toc360720472 \h </w:instrText>
        </w:r>
        <w:r w:rsidR="007018D2" w:rsidRPr="00CF3673">
          <w:rPr>
            <w:noProof/>
            <w:webHidden/>
          </w:rPr>
        </w:r>
        <w:r w:rsidR="007018D2" w:rsidRPr="00CF3673">
          <w:rPr>
            <w:noProof/>
            <w:webHidden/>
          </w:rPr>
          <w:fldChar w:fldCharType="separate"/>
        </w:r>
        <w:r w:rsidR="007018D2" w:rsidRPr="00CF3673">
          <w:rPr>
            <w:noProof/>
            <w:webHidden/>
          </w:rPr>
          <w:t>62</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73" w:history="1">
        <w:r w:rsidR="007018D2" w:rsidRPr="00CF3673">
          <w:rPr>
            <w:rStyle w:val="Hyperlink"/>
            <w:noProof/>
          </w:rPr>
          <w:t>Table 5.2: Age of main machinery by firm type, pct.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_Toc360720473 \h </w:instrText>
        </w:r>
        <w:r w:rsidR="007018D2" w:rsidRPr="00CF3673">
          <w:rPr>
            <w:noProof/>
            <w:webHidden/>
          </w:rPr>
        </w:r>
        <w:r w:rsidR="007018D2" w:rsidRPr="00CF3673">
          <w:rPr>
            <w:noProof/>
            <w:webHidden/>
          </w:rPr>
          <w:fldChar w:fldCharType="separate"/>
        </w:r>
        <w:r w:rsidR="007018D2" w:rsidRPr="00CF3673">
          <w:rPr>
            <w:noProof/>
            <w:webHidden/>
          </w:rPr>
          <w:t>65</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74" w:history="1">
        <w:r w:rsidR="007018D2" w:rsidRPr="00CF3673">
          <w:rPr>
            <w:rStyle w:val="Hyperlink"/>
            <w:noProof/>
          </w:rPr>
          <w:t>Table 6.1: Gender and ethnicity of owner by firm type, pct.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_Toc360720474 \h </w:instrText>
        </w:r>
        <w:r w:rsidR="007018D2" w:rsidRPr="00CF3673">
          <w:rPr>
            <w:noProof/>
            <w:webHidden/>
          </w:rPr>
        </w:r>
        <w:r w:rsidR="007018D2" w:rsidRPr="00CF3673">
          <w:rPr>
            <w:noProof/>
            <w:webHidden/>
          </w:rPr>
          <w:fldChar w:fldCharType="separate"/>
        </w:r>
        <w:r w:rsidR="007018D2" w:rsidRPr="00CF3673">
          <w:rPr>
            <w:noProof/>
            <w:webHidden/>
          </w:rPr>
          <w:t>66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75" w:history="1">
        <w:r w:rsidR="007018D2" w:rsidRPr="00CF3673">
          <w:rPr>
            <w:rStyle w:val="Hyperlink"/>
            <w:noProof/>
          </w:rPr>
          <w:t>Table 6.2: Highest completed education of manager by firm type, pct.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_Toc360720475 \h </w:instrText>
        </w:r>
        <w:r w:rsidR="007018D2" w:rsidRPr="00CF3673">
          <w:rPr>
            <w:noProof/>
            <w:webHidden/>
          </w:rPr>
        </w:r>
        <w:r w:rsidR="007018D2" w:rsidRPr="00CF3673">
          <w:rPr>
            <w:noProof/>
            <w:webHidden/>
          </w:rPr>
          <w:fldChar w:fldCharType="separate"/>
        </w:r>
        <w:r w:rsidR="007018D2" w:rsidRPr="00CF3673">
          <w:rPr>
            <w:noProof/>
            <w:webHidden/>
          </w:rPr>
          <w:t>67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76" w:history="1">
        <w:r w:rsidR="007018D2" w:rsidRPr="00CF3673">
          <w:rPr>
            <w:rStyle w:val="Hyperlink"/>
            <w:noProof/>
          </w:rPr>
          <w:t>Table 6.3: Share of firms with managers with education and experience from abroad,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_Toc360720476 \h </w:instrText>
        </w:r>
        <w:r w:rsidR="007018D2" w:rsidRPr="00CF3673">
          <w:rPr>
            <w:noProof/>
            <w:webHidden/>
          </w:rPr>
        </w:r>
        <w:r w:rsidR="007018D2" w:rsidRPr="00CF3673">
          <w:rPr>
            <w:noProof/>
            <w:webHidden/>
          </w:rPr>
          <w:fldChar w:fldCharType="separate"/>
        </w:r>
        <w:r w:rsidR="007018D2" w:rsidRPr="00CF3673">
          <w:rPr>
            <w:noProof/>
            <w:webHidden/>
          </w:rPr>
          <w:t>67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77" w:history="1">
        <w:r w:rsidR="007018D2" w:rsidRPr="00CF3673">
          <w:rPr>
            <w:rStyle w:val="Hyperlink"/>
            <w:noProof/>
          </w:rPr>
          <w:t>Table 6.4: Owner’s political affiliation by firm type, pct.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_Toc360720477 \h </w:instrText>
        </w:r>
        <w:r w:rsidR="007018D2" w:rsidRPr="00CF3673">
          <w:rPr>
            <w:noProof/>
            <w:webHidden/>
          </w:rPr>
        </w:r>
        <w:r w:rsidR="007018D2" w:rsidRPr="00CF3673">
          <w:rPr>
            <w:noProof/>
            <w:webHidden/>
          </w:rPr>
          <w:fldChar w:fldCharType="separate"/>
        </w:r>
        <w:r w:rsidR="007018D2" w:rsidRPr="00CF3673">
          <w:rPr>
            <w:noProof/>
            <w:webHidden/>
          </w:rPr>
          <w:t>68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78" w:history="1">
        <w:r w:rsidR="007018D2" w:rsidRPr="00CF3673">
          <w:rPr>
            <w:rStyle w:val="Hyperlink"/>
            <w:noProof/>
          </w:rPr>
          <w:t>Table 6.5: Employment growth 2006-2011 and 2009-2011 by owner characteristics,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_Toc360720478 \h </w:instrText>
        </w:r>
        <w:r w:rsidR="007018D2" w:rsidRPr="00CF3673">
          <w:rPr>
            <w:noProof/>
            <w:webHidden/>
          </w:rPr>
        </w:r>
        <w:r w:rsidR="007018D2" w:rsidRPr="00CF3673">
          <w:rPr>
            <w:noProof/>
            <w:webHidden/>
          </w:rPr>
          <w:fldChar w:fldCharType="separate"/>
        </w:r>
        <w:r w:rsidR="007018D2" w:rsidRPr="00CF3673">
          <w:rPr>
            <w:noProof/>
            <w:webHidden/>
          </w:rPr>
          <w:t>69</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79" w:history="1">
        <w:r w:rsidR="007018D2" w:rsidRPr="00CF3673">
          <w:rPr>
            <w:rStyle w:val="Hyperlink"/>
            <w:noProof/>
          </w:rPr>
          <w:t>Table 7.1: Exporting transition matrix, 2006-2011</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_Toc360720479 \h </w:instrText>
        </w:r>
        <w:r w:rsidR="007018D2" w:rsidRPr="00CF3673">
          <w:rPr>
            <w:noProof/>
            <w:webHidden/>
          </w:rPr>
        </w:r>
        <w:r w:rsidR="007018D2" w:rsidRPr="00CF3673">
          <w:rPr>
            <w:noProof/>
            <w:webHidden/>
          </w:rPr>
          <w:fldChar w:fldCharType="separate"/>
        </w:r>
        <w:r w:rsidR="007018D2" w:rsidRPr="00CF3673">
          <w:rPr>
            <w:noProof/>
            <w:webHidden/>
          </w:rPr>
          <w:t>72</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80" w:history="1">
        <w:r w:rsidR="007018D2" w:rsidRPr="00CF3673">
          <w:rPr>
            <w:rStyle w:val="Hyperlink"/>
            <w:noProof/>
          </w:rPr>
          <w:t>Table 7.2: Exporter characteristics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_Toc360720480 \h </w:instrText>
        </w:r>
        <w:r w:rsidR="007018D2" w:rsidRPr="00CF3673">
          <w:rPr>
            <w:noProof/>
            <w:webHidden/>
          </w:rPr>
        </w:r>
        <w:r w:rsidR="007018D2" w:rsidRPr="00CF3673">
          <w:rPr>
            <w:noProof/>
            <w:webHidden/>
          </w:rPr>
          <w:fldChar w:fldCharType="separate"/>
        </w:r>
        <w:r w:rsidR="007018D2" w:rsidRPr="00CF3673">
          <w:rPr>
            <w:noProof/>
            <w:webHidden/>
          </w:rPr>
          <w:t>72</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81" w:history="1">
        <w:r w:rsidR="007018D2" w:rsidRPr="00CF3673">
          <w:rPr>
            <w:rStyle w:val="Hyperlink"/>
            <w:noProof/>
          </w:rPr>
          <w:t>Table 7.3: Export sector by main destination of exports, number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_Toc360720481 \h </w:instrText>
        </w:r>
        <w:r w:rsidR="007018D2" w:rsidRPr="00CF3673">
          <w:rPr>
            <w:noProof/>
            <w:webHidden/>
          </w:rPr>
        </w:r>
        <w:r w:rsidR="007018D2" w:rsidRPr="00CF3673">
          <w:rPr>
            <w:noProof/>
            <w:webHidden/>
          </w:rPr>
          <w:fldChar w:fldCharType="separate"/>
        </w:r>
        <w:r w:rsidR="007018D2" w:rsidRPr="00CF3673">
          <w:rPr>
            <w:noProof/>
            <w:webHidden/>
          </w:rPr>
          <w:t>73</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82" w:history="1">
        <w:r w:rsidR="007018D2" w:rsidRPr="00CF3673">
          <w:rPr>
            <w:rStyle w:val="Hyperlink"/>
            <w:noProof/>
          </w:rPr>
          <w:t>Table 7.4: Reason for not exporting by firm type,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_Toc360720482 \h </w:instrText>
        </w:r>
        <w:r w:rsidR="007018D2" w:rsidRPr="00CF3673">
          <w:rPr>
            <w:noProof/>
            <w:webHidden/>
          </w:rPr>
        </w:r>
        <w:r w:rsidR="007018D2" w:rsidRPr="00CF3673">
          <w:rPr>
            <w:noProof/>
            <w:webHidden/>
          </w:rPr>
          <w:fldChar w:fldCharType="separate"/>
        </w:r>
        <w:r w:rsidR="007018D2" w:rsidRPr="00CF3673">
          <w:rPr>
            <w:noProof/>
            <w:webHidden/>
          </w:rPr>
          <w:t>75</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83" w:history="1">
        <w:r w:rsidR="007018D2" w:rsidRPr="00CF3673">
          <w:rPr>
            <w:rStyle w:val="Hyperlink"/>
            <w:noProof/>
          </w:rPr>
          <w:t>Table 7.5: Regional distribution of sales by firm size, pct. of total sales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_Toc360720483 \h </w:instrText>
        </w:r>
        <w:r w:rsidR="007018D2" w:rsidRPr="00CF3673">
          <w:rPr>
            <w:noProof/>
            <w:webHidden/>
          </w:rPr>
        </w:r>
        <w:r w:rsidR="007018D2" w:rsidRPr="00CF3673">
          <w:rPr>
            <w:noProof/>
            <w:webHidden/>
          </w:rPr>
          <w:fldChar w:fldCharType="separate"/>
        </w:r>
        <w:r w:rsidR="007018D2" w:rsidRPr="00CF3673">
          <w:rPr>
            <w:noProof/>
            <w:webHidden/>
          </w:rPr>
          <w:t>76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84" w:history="1">
        <w:r w:rsidR="007018D2" w:rsidRPr="00CF3673">
          <w:rPr>
            <w:rStyle w:val="Hyperlink"/>
            <w:noProof/>
          </w:rPr>
          <w:t>Table 7.6: Price setting (most important criterion) by firm type, pct.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_Toc360720484 \h </w:instrText>
        </w:r>
        <w:r w:rsidR="007018D2" w:rsidRPr="00CF3673">
          <w:rPr>
            <w:noProof/>
            <w:webHidden/>
          </w:rPr>
        </w:r>
        <w:r w:rsidR="007018D2" w:rsidRPr="00CF3673">
          <w:rPr>
            <w:noProof/>
            <w:webHidden/>
          </w:rPr>
          <w:fldChar w:fldCharType="separate"/>
        </w:r>
        <w:r w:rsidR="007018D2" w:rsidRPr="00CF3673">
          <w:rPr>
            <w:noProof/>
            <w:webHidden/>
          </w:rPr>
          <w:t>77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85" w:history="1">
        <w:r w:rsidR="007018D2" w:rsidRPr="00CF3673">
          <w:rPr>
            <w:rStyle w:val="Hyperlink"/>
            <w:noProof/>
          </w:rPr>
          <w:t>Table 7.7: Imports as a share of inputs (intermediate goods), pct. of total inputs by value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_Toc360720485 \h </w:instrText>
        </w:r>
        <w:r w:rsidR="007018D2" w:rsidRPr="00CF3673">
          <w:rPr>
            <w:noProof/>
            <w:webHidden/>
          </w:rPr>
        </w:r>
        <w:r w:rsidR="007018D2" w:rsidRPr="00CF3673">
          <w:rPr>
            <w:noProof/>
            <w:webHidden/>
          </w:rPr>
          <w:fldChar w:fldCharType="separate"/>
        </w:r>
        <w:r w:rsidR="007018D2" w:rsidRPr="00CF3673">
          <w:rPr>
            <w:noProof/>
            <w:webHidden/>
          </w:rPr>
          <w:t>78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86" w:history="1">
        <w:r w:rsidR="007018D2" w:rsidRPr="00CF3673">
          <w:rPr>
            <w:rStyle w:val="Hyperlink"/>
            <w:noProof/>
          </w:rPr>
          <w:t>Table 7.8: Share of firms saying inputs are generally not available by firm type,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_Toc360720486 \h </w:instrText>
        </w:r>
        <w:r w:rsidR="007018D2" w:rsidRPr="00CF3673">
          <w:rPr>
            <w:noProof/>
            <w:webHidden/>
          </w:rPr>
        </w:r>
        <w:r w:rsidR="007018D2" w:rsidRPr="00CF3673">
          <w:rPr>
            <w:noProof/>
            <w:webHidden/>
          </w:rPr>
          <w:fldChar w:fldCharType="separate"/>
        </w:r>
        <w:r w:rsidR="007018D2" w:rsidRPr="00CF3673">
          <w:rPr>
            <w:noProof/>
            <w:webHidden/>
          </w:rPr>
          <w:t>80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87" w:history="1">
        <w:r w:rsidR="007018D2" w:rsidRPr="00CF3673">
          <w:rPr>
            <w:rStyle w:val="Hyperlink"/>
            <w:noProof/>
          </w:rPr>
          <w:t>Table 8.1: Number of people with whom the firm has regular contact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_Toc360720487 \h </w:instrText>
        </w:r>
        <w:r w:rsidR="007018D2" w:rsidRPr="00CF3673">
          <w:rPr>
            <w:noProof/>
            <w:webHidden/>
          </w:rPr>
        </w:r>
        <w:r w:rsidR="007018D2" w:rsidRPr="00CF3673">
          <w:rPr>
            <w:noProof/>
            <w:webHidden/>
          </w:rPr>
          <w:fldChar w:fldCharType="separate"/>
        </w:r>
        <w:r w:rsidR="007018D2" w:rsidRPr="00CF3673">
          <w:rPr>
            <w:noProof/>
            <w:webHidden/>
          </w:rPr>
          <w:t>83</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88" w:history="1">
        <w:r w:rsidR="007018D2" w:rsidRPr="00CF3673">
          <w:rPr>
            <w:rStyle w:val="Hyperlink"/>
            <w:noProof/>
          </w:rPr>
          <w:t>Table 8.2: Average number of contacts by location</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_Toc360720488 \h </w:instrText>
        </w:r>
        <w:r w:rsidR="007018D2" w:rsidRPr="00CF3673">
          <w:rPr>
            <w:noProof/>
            <w:webHidden/>
          </w:rPr>
        </w:r>
        <w:r w:rsidR="007018D2" w:rsidRPr="00CF3673">
          <w:rPr>
            <w:noProof/>
            <w:webHidden/>
          </w:rPr>
          <w:fldChar w:fldCharType="separate"/>
        </w:r>
        <w:r w:rsidR="007018D2" w:rsidRPr="00CF3673">
          <w:rPr>
            <w:noProof/>
            <w:webHidden/>
          </w:rPr>
          <w:t>84</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89" w:history="1">
        <w:r w:rsidR="007018D2" w:rsidRPr="00CF3673">
          <w:rPr>
            <w:rStyle w:val="Hyperlink"/>
            <w:noProof/>
          </w:rPr>
          <w:t>Table 8.3: Membership in formal business associations,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_Toc360720489 \h </w:instrText>
        </w:r>
        <w:r w:rsidR="007018D2" w:rsidRPr="00CF3673">
          <w:rPr>
            <w:noProof/>
            <w:webHidden/>
          </w:rPr>
        </w:r>
        <w:r w:rsidR="007018D2" w:rsidRPr="00CF3673">
          <w:rPr>
            <w:noProof/>
            <w:webHidden/>
          </w:rPr>
          <w:fldChar w:fldCharType="separate"/>
        </w:r>
        <w:r w:rsidR="007018D2" w:rsidRPr="00CF3673">
          <w:rPr>
            <w:noProof/>
            <w:webHidden/>
          </w:rPr>
          <w:t>87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90" w:history="1">
        <w:r w:rsidR="007018D2" w:rsidRPr="00CF3673">
          <w:rPr>
            <w:rStyle w:val="Hyperlink"/>
            <w:noProof/>
          </w:rPr>
          <w:t>Table 8.4: Determinants of membership in business associations, probit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_Toc360720490 \h </w:instrText>
        </w:r>
        <w:r w:rsidR="007018D2" w:rsidRPr="00CF3673">
          <w:rPr>
            <w:noProof/>
            <w:webHidden/>
          </w:rPr>
        </w:r>
        <w:r w:rsidR="007018D2" w:rsidRPr="00CF3673">
          <w:rPr>
            <w:noProof/>
            <w:webHidden/>
          </w:rPr>
          <w:fldChar w:fldCharType="separate"/>
        </w:r>
        <w:r w:rsidR="007018D2" w:rsidRPr="00CF3673">
          <w:rPr>
            <w:noProof/>
            <w:webHidden/>
          </w:rPr>
          <w:t>88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91" w:history="1">
        <w:r w:rsidR="007018D2" w:rsidRPr="00CF3673">
          <w:rPr>
            <w:rStyle w:val="Hyperlink"/>
            <w:noProof/>
          </w:rPr>
          <w:t>Table 8.5: Type of benefits that membership bring by firm size, pct.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_Toc360720491 \h </w:instrText>
        </w:r>
        <w:r w:rsidR="007018D2" w:rsidRPr="00CF3673">
          <w:rPr>
            <w:noProof/>
            <w:webHidden/>
          </w:rPr>
        </w:r>
        <w:r w:rsidR="007018D2" w:rsidRPr="00CF3673">
          <w:rPr>
            <w:noProof/>
            <w:webHidden/>
          </w:rPr>
          <w:fldChar w:fldCharType="separate"/>
        </w:r>
        <w:r w:rsidR="007018D2" w:rsidRPr="00CF3673">
          <w:rPr>
            <w:noProof/>
            <w:webHidden/>
          </w:rPr>
          <w:t>90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92" w:history="1">
        <w:r w:rsidR="007018D2" w:rsidRPr="00CF3673">
          <w:rPr>
            <w:rStyle w:val="Hyperlink"/>
            <w:noProof/>
          </w:rPr>
          <w:t>Table 8.6: Business with other co-members, pct.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_Toc360720492 \h </w:instrText>
        </w:r>
        <w:r w:rsidR="007018D2" w:rsidRPr="00CF3673">
          <w:rPr>
            <w:noProof/>
            <w:webHidden/>
          </w:rPr>
        </w:r>
        <w:r w:rsidR="007018D2" w:rsidRPr="00CF3673">
          <w:rPr>
            <w:noProof/>
            <w:webHidden/>
          </w:rPr>
          <w:fldChar w:fldCharType="separate"/>
        </w:r>
        <w:r w:rsidR="007018D2" w:rsidRPr="00CF3673">
          <w:rPr>
            <w:noProof/>
            <w:webHidden/>
          </w:rPr>
          <w:t>90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93" w:history="1">
        <w:r w:rsidR="007018D2" w:rsidRPr="00CF3673">
          <w:rPr>
            <w:rStyle w:val="Hyperlink"/>
            <w:noProof/>
          </w:rPr>
          <w:t>Table 8.7: Reasons for non-membership</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_Toc360720493 \h </w:instrText>
        </w:r>
        <w:r w:rsidR="007018D2" w:rsidRPr="00CF3673">
          <w:rPr>
            <w:noProof/>
            <w:webHidden/>
          </w:rPr>
        </w:r>
        <w:r w:rsidR="007018D2" w:rsidRPr="00CF3673">
          <w:rPr>
            <w:noProof/>
            <w:webHidden/>
          </w:rPr>
          <w:fldChar w:fldCharType="separate"/>
        </w:r>
        <w:r w:rsidR="007018D2" w:rsidRPr="00CF3673">
          <w:rPr>
            <w:noProof/>
            <w:webHidden/>
          </w:rPr>
          <w:t>91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94" w:history="1">
        <w:r w:rsidR="007018D2" w:rsidRPr="00CF3673">
          <w:rPr>
            <w:rStyle w:val="Hyperlink"/>
            <w:noProof/>
          </w:rPr>
          <w:t>Table 8.8: Employment growth determinants 2009-2011 (network variables), OLS regression</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_Toc360720494 \h </w:instrText>
        </w:r>
        <w:r w:rsidR="007018D2" w:rsidRPr="00CF3673">
          <w:rPr>
            <w:noProof/>
            <w:webHidden/>
          </w:rPr>
        </w:r>
        <w:r w:rsidR="007018D2" w:rsidRPr="00CF3673">
          <w:rPr>
            <w:noProof/>
            <w:webHidden/>
          </w:rPr>
          <w:fldChar w:fldCharType="separate"/>
        </w:r>
        <w:r w:rsidR="007018D2" w:rsidRPr="00CF3673">
          <w:rPr>
            <w:noProof/>
            <w:webHidden/>
          </w:rPr>
          <w:t>93</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95" w:history="1">
        <w:r w:rsidR="007018D2" w:rsidRPr="00CF3673">
          <w:rPr>
            <w:rStyle w:val="Hyperlink"/>
            <w:noProof/>
          </w:rPr>
          <w:t>Table 8.9: Firm innovativeness determinants, probit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_Toc360720495 \h </w:instrText>
        </w:r>
        <w:r w:rsidR="007018D2" w:rsidRPr="00CF3673">
          <w:rPr>
            <w:noProof/>
            <w:webHidden/>
          </w:rPr>
        </w:r>
        <w:r w:rsidR="007018D2" w:rsidRPr="00CF3673">
          <w:rPr>
            <w:noProof/>
            <w:webHidden/>
          </w:rPr>
          <w:fldChar w:fldCharType="separate"/>
        </w:r>
        <w:r w:rsidR="007018D2" w:rsidRPr="00CF3673">
          <w:rPr>
            <w:noProof/>
            <w:webHidden/>
          </w:rPr>
          <w:t>94</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96" w:history="1">
        <w:r w:rsidR="007018D2" w:rsidRPr="00CF3673">
          <w:rPr>
            <w:rStyle w:val="Hyperlink"/>
            <w:noProof/>
          </w:rPr>
          <w:t>Table 9.1: Use of financial instruments by firm type,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_Toc360720496 \h </w:instrText>
        </w:r>
        <w:r w:rsidR="007018D2" w:rsidRPr="00CF3673">
          <w:rPr>
            <w:noProof/>
            <w:webHidden/>
          </w:rPr>
        </w:r>
        <w:r w:rsidR="007018D2" w:rsidRPr="00CF3673">
          <w:rPr>
            <w:noProof/>
            <w:webHidden/>
          </w:rPr>
          <w:fldChar w:fldCharType="separate"/>
        </w:r>
        <w:r w:rsidR="007018D2" w:rsidRPr="00CF3673">
          <w:rPr>
            <w:noProof/>
            <w:webHidden/>
          </w:rPr>
          <w:t>97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97" w:history="1">
        <w:r w:rsidR="007018D2" w:rsidRPr="00CF3673">
          <w:rPr>
            <w:rStyle w:val="Hyperlink"/>
            <w:noProof/>
          </w:rPr>
          <w:t>Table 9.2: Use of financial instruments 2006-2011 by firm type,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_Toc360720497 \h </w:instrText>
        </w:r>
        <w:r w:rsidR="007018D2" w:rsidRPr="00CF3673">
          <w:rPr>
            <w:noProof/>
            <w:webHidden/>
          </w:rPr>
        </w:r>
        <w:r w:rsidR="007018D2" w:rsidRPr="00CF3673">
          <w:rPr>
            <w:noProof/>
            <w:webHidden/>
          </w:rPr>
          <w:fldChar w:fldCharType="separate"/>
        </w:r>
        <w:r w:rsidR="007018D2" w:rsidRPr="00CF3673">
          <w:rPr>
            <w:noProof/>
            <w:webHidden/>
          </w:rPr>
          <w:t>98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98" w:history="1">
        <w:r w:rsidR="007018D2" w:rsidRPr="00CF3673">
          <w:rPr>
            <w:rStyle w:val="Hyperlink"/>
            <w:noProof/>
          </w:rPr>
          <w:t>Table 9.3: Loan characteristics by loan type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_Toc360720498 \h </w:instrText>
        </w:r>
        <w:r w:rsidR="007018D2" w:rsidRPr="00CF3673">
          <w:rPr>
            <w:noProof/>
            <w:webHidden/>
          </w:rPr>
        </w:r>
        <w:r w:rsidR="007018D2" w:rsidRPr="00CF3673">
          <w:rPr>
            <w:noProof/>
            <w:webHidden/>
          </w:rPr>
          <w:fldChar w:fldCharType="separate"/>
        </w:r>
        <w:r w:rsidR="007018D2" w:rsidRPr="00CF3673">
          <w:rPr>
            <w:noProof/>
            <w:webHidden/>
          </w:rPr>
          <w:t>99</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499" w:history="1">
        <w:r w:rsidR="007018D2" w:rsidRPr="00CF3673">
          <w:rPr>
            <w:rStyle w:val="Hyperlink"/>
            <w:noProof/>
          </w:rPr>
          <w:t>Table 9.4: Share of credit constrained firms and share of firms with credit demand,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_Toc360720499 \h </w:instrText>
        </w:r>
        <w:r w:rsidR="007018D2" w:rsidRPr="00CF3673">
          <w:rPr>
            <w:noProof/>
            <w:webHidden/>
          </w:rPr>
        </w:r>
        <w:r w:rsidR="007018D2" w:rsidRPr="00CF3673">
          <w:rPr>
            <w:noProof/>
            <w:webHidden/>
          </w:rPr>
          <w:fldChar w:fldCharType="separate"/>
        </w:r>
        <w:r w:rsidR="007018D2" w:rsidRPr="00CF3673">
          <w:rPr>
            <w:noProof/>
            <w:webHidden/>
          </w:rPr>
          <w:t>100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00" w:history="1">
        <w:r w:rsidR="007018D2" w:rsidRPr="00CF3673">
          <w:rPr>
            <w:rStyle w:val="Hyperlink"/>
            <w:noProof/>
          </w:rPr>
          <w:t>Table 9.5: Reasons for rejection of loan application</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_Toc360720500 \h </w:instrText>
        </w:r>
        <w:r w:rsidR="007018D2" w:rsidRPr="00CF3673">
          <w:rPr>
            <w:noProof/>
            <w:webHidden/>
          </w:rPr>
        </w:r>
        <w:r w:rsidR="007018D2" w:rsidRPr="00CF3673">
          <w:rPr>
            <w:noProof/>
            <w:webHidden/>
          </w:rPr>
          <w:fldChar w:fldCharType="separate"/>
        </w:r>
        <w:r w:rsidR="007018D2" w:rsidRPr="00CF3673">
          <w:rPr>
            <w:noProof/>
            <w:webHidden/>
          </w:rPr>
          <w:t>102</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01" w:history="1">
        <w:r w:rsidR="007018D2" w:rsidRPr="00CF3673">
          <w:rPr>
            <w:rStyle w:val="Hyperlink"/>
            <w:noProof/>
          </w:rPr>
          <w:t>Table 9.6: Share of firms with credit demand and share credit constrained,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_Toc360720501 \h </w:instrText>
        </w:r>
        <w:r w:rsidR="007018D2" w:rsidRPr="00CF3673">
          <w:rPr>
            <w:noProof/>
            <w:webHidden/>
          </w:rPr>
        </w:r>
        <w:r w:rsidR="007018D2" w:rsidRPr="00CF3673">
          <w:rPr>
            <w:noProof/>
            <w:webHidden/>
          </w:rPr>
          <w:fldChar w:fldCharType="separate"/>
        </w:r>
        <w:r w:rsidR="007018D2" w:rsidRPr="00CF3673">
          <w:rPr>
            <w:noProof/>
            <w:webHidden/>
          </w:rPr>
          <w:t>103</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02" w:history="1">
        <w:r w:rsidR="007018D2" w:rsidRPr="00CF3673">
          <w:rPr>
            <w:rStyle w:val="Hyperlink"/>
            <w:noProof/>
          </w:rPr>
          <w:t>Table 9.7: Share of firms that are credit constrained, 2006-2011,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_Toc360720502 \h </w:instrText>
        </w:r>
        <w:r w:rsidR="007018D2" w:rsidRPr="00CF3673">
          <w:rPr>
            <w:noProof/>
            <w:webHidden/>
          </w:rPr>
        </w:r>
        <w:r w:rsidR="007018D2" w:rsidRPr="00CF3673">
          <w:rPr>
            <w:noProof/>
            <w:webHidden/>
          </w:rPr>
          <w:fldChar w:fldCharType="separate"/>
        </w:r>
        <w:r w:rsidR="007018D2" w:rsidRPr="00CF3673">
          <w:rPr>
            <w:noProof/>
            <w:webHidden/>
          </w:rPr>
          <w:t>103</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03" w:history="1">
        <w:r w:rsidR="007018D2" w:rsidRPr="00CF3673">
          <w:rPr>
            <w:rStyle w:val="Hyperlink"/>
            <w:noProof/>
          </w:rPr>
          <w:t>Table 9.8: Perceived credit constraint by actual credit constraint,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_Toc360720503 \h </w:instrText>
        </w:r>
        <w:r w:rsidR="007018D2" w:rsidRPr="00CF3673">
          <w:rPr>
            <w:noProof/>
            <w:webHidden/>
          </w:rPr>
        </w:r>
        <w:r w:rsidR="007018D2" w:rsidRPr="00CF3673">
          <w:rPr>
            <w:noProof/>
            <w:webHidden/>
          </w:rPr>
          <w:fldChar w:fldCharType="separate"/>
        </w:r>
        <w:r w:rsidR="007018D2" w:rsidRPr="00CF3673">
          <w:rPr>
            <w:noProof/>
            <w:webHidden/>
          </w:rPr>
          <w:t>104</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04" w:history="1">
        <w:r w:rsidR="007018D2" w:rsidRPr="00CF3673">
          <w:rPr>
            <w:rStyle w:val="Hyperlink"/>
            <w:noProof/>
          </w:rPr>
          <w:t>Table 10.1: Registration at CREL by possession of NUIT, number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_Toc360720504 \h </w:instrText>
        </w:r>
        <w:r w:rsidR="007018D2" w:rsidRPr="00CF3673">
          <w:rPr>
            <w:noProof/>
            <w:webHidden/>
          </w:rPr>
        </w:r>
        <w:r w:rsidR="007018D2" w:rsidRPr="00CF3673">
          <w:rPr>
            <w:noProof/>
            <w:webHidden/>
          </w:rPr>
          <w:fldChar w:fldCharType="separate"/>
        </w:r>
        <w:r w:rsidR="007018D2" w:rsidRPr="00CF3673">
          <w:rPr>
            <w:noProof/>
            <w:webHidden/>
          </w:rPr>
          <w:t>107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05" w:history="1">
        <w:r w:rsidR="007018D2" w:rsidRPr="00CF3673">
          <w:rPr>
            <w:rStyle w:val="Hyperlink"/>
            <w:noProof/>
          </w:rPr>
          <w:t>Table 10.2: Bribe incidence, pct. of firms and bribe value, avg. pct. of sales by firm type</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_Toc360720505 \h </w:instrText>
        </w:r>
        <w:r w:rsidR="007018D2" w:rsidRPr="00CF3673">
          <w:rPr>
            <w:noProof/>
            <w:webHidden/>
          </w:rPr>
        </w:r>
        <w:r w:rsidR="007018D2" w:rsidRPr="00CF3673">
          <w:rPr>
            <w:noProof/>
            <w:webHidden/>
          </w:rPr>
          <w:fldChar w:fldCharType="separate"/>
        </w:r>
        <w:r w:rsidR="007018D2" w:rsidRPr="00CF3673">
          <w:rPr>
            <w:noProof/>
            <w:webHidden/>
          </w:rPr>
          <w:t>111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06" w:history="1">
        <w:r w:rsidR="007018D2" w:rsidRPr="00CF3673">
          <w:rPr>
            <w:rStyle w:val="Hyperlink"/>
            <w:noProof/>
          </w:rPr>
          <w:t>Table 10.3: Bribe payments transition matrix, 2006-2012</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_Toc360720506 \h </w:instrText>
        </w:r>
        <w:r w:rsidR="007018D2" w:rsidRPr="00CF3673">
          <w:rPr>
            <w:noProof/>
            <w:webHidden/>
          </w:rPr>
        </w:r>
        <w:r w:rsidR="007018D2" w:rsidRPr="00CF3673">
          <w:rPr>
            <w:noProof/>
            <w:webHidden/>
          </w:rPr>
          <w:fldChar w:fldCharType="separate"/>
        </w:r>
        <w:r w:rsidR="007018D2" w:rsidRPr="00CF3673">
          <w:rPr>
            <w:noProof/>
            <w:webHidden/>
          </w:rPr>
          <w:t>112</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07" w:history="1">
        <w:r w:rsidR="007018D2" w:rsidRPr="00CF3673">
          <w:rPr>
            <w:rStyle w:val="Hyperlink"/>
            <w:noProof/>
          </w:rPr>
          <w:t>Table 10.4: Perceived corruption constraint by actual corruption constraint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_Toc360720507 \h </w:instrText>
        </w:r>
        <w:r w:rsidR="007018D2" w:rsidRPr="00CF3673">
          <w:rPr>
            <w:noProof/>
            <w:webHidden/>
          </w:rPr>
        </w:r>
        <w:r w:rsidR="007018D2" w:rsidRPr="00CF3673">
          <w:rPr>
            <w:noProof/>
            <w:webHidden/>
          </w:rPr>
          <w:fldChar w:fldCharType="separate"/>
        </w:r>
        <w:r w:rsidR="007018D2" w:rsidRPr="00CF3673">
          <w:rPr>
            <w:noProof/>
            <w:webHidden/>
          </w:rPr>
          <w:t>113</w:t>
        </w:r>
        <w:r w:rsidR="007018D2" w:rsidRPr="00CF3673">
          <w:rPr>
            <w:noProof/>
            <w:webHidden/>
          </w:rPr>
          <w:fldChar w:fldCharType="end"/>
        </w:r>
      </w:hyperlink>
    </w:p>
    <w:p w:rsidR="00461403" w:rsidRPr="00CF3673" w:rsidRDefault="00461403" w:rsidP="00E65FC3">
      <w:pPr>
        <w:spacing w:after="0"/>
      </w:pPr>
      <w:r w:rsidRPr="00CF3673">
        <w:fldChar w:fldCharType="end"/>
      </w:r>
    </w:p>
    <w:p w:rsidR="00937BF3" w:rsidRPr="00CF3673" w:rsidRDefault="00937BF3">
      <w:pPr>
        <w:rPr>
          <w:b/>
          <w:u w:val="single"/>
        </w:rPr>
      </w:pPr>
      <w:r w:rsidRPr="00CF3673">
        <w:br w:type="page"/>
      </w:r>
    </w:p>
    <w:p w:rsidR="00461403" w:rsidRPr="00CF3673" w:rsidRDefault="00B20E4D" w:rsidP="001E664B">
      <w:pPr>
        <w:pStyle w:val="ChapterTitle"/>
        <w:rPr>
          <w:lang w:val="pt-PT"/>
        </w:rPr>
      </w:pPr>
      <w:bookmarkStart w:id="8" w:name="_Toc360720378"/>
      <w:r w:rsidRPr="00CF3673">
        <w:rPr>
          <w:lang w:val="pt-PT"/>
        </w:rPr>
        <w:lastRenderedPageBreak/>
        <w:t>Lista de Figur</w:t>
      </w:r>
      <w:bookmarkEnd w:id="8"/>
      <w:r w:rsidRPr="00CF3673">
        <w:rPr>
          <w:lang w:val="pt-PT"/>
        </w:rPr>
        <w:t>as</w:t>
      </w:r>
    </w:p>
    <w:p w:rsidR="007018D2" w:rsidRPr="00CF3673" w:rsidRDefault="00461403">
      <w:pPr>
        <w:pStyle w:val="TOC1"/>
        <w:tabs>
          <w:tab w:val="right" w:leader="dot" w:pos="9628"/>
        </w:tabs>
        <w:rPr>
          <w:rFonts w:eastAsiaTheme="minorEastAsia"/>
          <w:noProof/>
          <w:lang w:eastAsia="da-DK"/>
        </w:rPr>
      </w:pPr>
      <w:r w:rsidRPr="00CF3673">
        <w:fldChar w:fldCharType="begin"/>
      </w:r>
      <w:r w:rsidRPr="00CF3673">
        <w:instrText xml:space="preserve"> TOC \h \z \t "Figure Title;1" </w:instrText>
      </w:r>
      <w:r w:rsidRPr="00CF3673">
        <w:fldChar w:fldCharType="separate"/>
      </w:r>
      <w:hyperlink w:anchor="_Toc360720508" w:history="1">
        <w:r w:rsidR="007018D2" w:rsidRPr="00CF3673">
          <w:rPr>
            <w:rStyle w:val="Hyperlink"/>
            <w:noProof/>
          </w:rPr>
          <w:t>Figure 2.1: Number of firms in most important subsectors by 2-digit ISIC sectors,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_Toc360720508 \h </w:instrText>
        </w:r>
        <w:r w:rsidR="007018D2" w:rsidRPr="00CF3673">
          <w:rPr>
            <w:noProof/>
            <w:webHidden/>
          </w:rPr>
        </w:r>
        <w:r w:rsidR="007018D2" w:rsidRPr="00CF3673">
          <w:rPr>
            <w:noProof/>
            <w:webHidden/>
          </w:rPr>
          <w:fldChar w:fldCharType="separate"/>
        </w:r>
        <w:r w:rsidR="007018D2" w:rsidRPr="00CF3673">
          <w:rPr>
            <w:noProof/>
            <w:webHidden/>
          </w:rPr>
          <w:t>26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09" w:history="1">
        <w:r w:rsidR="007018D2" w:rsidRPr="00CF3673">
          <w:rPr>
            <w:rStyle w:val="Hyperlink"/>
            <w:noProof/>
          </w:rPr>
          <w:t>Figure 4.1: Share of temporary workers in labor force by firm size, 2006-2011,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_Toc360720509 \h </w:instrText>
        </w:r>
        <w:r w:rsidR="007018D2" w:rsidRPr="00CF3673">
          <w:rPr>
            <w:noProof/>
            <w:webHidden/>
          </w:rPr>
        </w:r>
        <w:r w:rsidR="007018D2" w:rsidRPr="00CF3673">
          <w:rPr>
            <w:noProof/>
            <w:webHidden/>
          </w:rPr>
          <w:fldChar w:fldCharType="separate"/>
        </w:r>
        <w:r w:rsidR="007018D2" w:rsidRPr="00CF3673">
          <w:rPr>
            <w:noProof/>
            <w:webHidden/>
          </w:rPr>
          <w:t>47</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10" w:history="1">
        <w:r w:rsidR="007018D2" w:rsidRPr="00CF3673">
          <w:rPr>
            <w:rStyle w:val="Hyperlink"/>
            <w:noProof/>
          </w:rPr>
          <w:t>Figure 4.2: Share of workers receiving the minimum wage by firm size, 2006-2011,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_Toc360720510 \h </w:instrText>
        </w:r>
        <w:r w:rsidR="007018D2" w:rsidRPr="00CF3673">
          <w:rPr>
            <w:noProof/>
            <w:webHidden/>
          </w:rPr>
        </w:r>
        <w:r w:rsidR="007018D2" w:rsidRPr="00CF3673">
          <w:rPr>
            <w:noProof/>
            <w:webHidden/>
          </w:rPr>
          <w:fldChar w:fldCharType="separate"/>
        </w:r>
        <w:r w:rsidR="007018D2" w:rsidRPr="00CF3673">
          <w:rPr>
            <w:noProof/>
            <w:webHidden/>
          </w:rPr>
          <w:t>48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11" w:history="1">
        <w:r w:rsidR="007018D2" w:rsidRPr="00CF3673">
          <w:rPr>
            <w:rStyle w:val="Hyperlink"/>
            <w:noProof/>
          </w:rPr>
          <w:t>Figure 4.3: Histogram of monthly wages of workers in the manufacturing sector 2008/09, frequencies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_Toc360720511 \h </w:instrText>
        </w:r>
        <w:r w:rsidR="007018D2" w:rsidRPr="00CF3673">
          <w:rPr>
            <w:noProof/>
            <w:webHidden/>
          </w:rPr>
        </w:r>
        <w:r w:rsidR="007018D2" w:rsidRPr="00CF3673">
          <w:rPr>
            <w:noProof/>
            <w:webHidden/>
          </w:rPr>
          <w:fldChar w:fldCharType="separate"/>
        </w:r>
        <w:r w:rsidR="007018D2" w:rsidRPr="00CF3673">
          <w:rPr>
            <w:noProof/>
            <w:webHidden/>
          </w:rPr>
          <w:t>50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12" w:history="1">
        <w:r w:rsidR="007018D2" w:rsidRPr="00CF3673">
          <w:rPr>
            <w:rStyle w:val="Hyperlink"/>
            <w:noProof/>
          </w:rPr>
          <w:t>Figure 4.4: Value added per worker by formality, mean and median, 2011-meticais, micro firms only</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_Toc360720512 \h </w:instrText>
        </w:r>
        <w:r w:rsidR="007018D2" w:rsidRPr="00CF3673">
          <w:rPr>
            <w:noProof/>
            <w:webHidden/>
          </w:rPr>
        </w:r>
        <w:r w:rsidR="007018D2" w:rsidRPr="00CF3673">
          <w:rPr>
            <w:noProof/>
            <w:webHidden/>
          </w:rPr>
          <w:fldChar w:fldCharType="separate"/>
        </w:r>
        <w:r w:rsidR="007018D2" w:rsidRPr="00CF3673">
          <w:rPr>
            <w:noProof/>
            <w:webHidden/>
          </w:rPr>
          <w:t>51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13" w:history="1">
        <w:r w:rsidR="007018D2" w:rsidRPr="00CF3673">
          <w:rPr>
            <w:rStyle w:val="Hyperlink"/>
            <w:noProof/>
          </w:rPr>
          <w:t>Figure 4.5: Share of firms with unionized labor force,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_Toc360720513 \h </w:instrText>
        </w:r>
        <w:r w:rsidR="007018D2" w:rsidRPr="00CF3673">
          <w:rPr>
            <w:noProof/>
            <w:webHidden/>
          </w:rPr>
        </w:r>
        <w:r w:rsidR="007018D2" w:rsidRPr="00CF3673">
          <w:rPr>
            <w:noProof/>
            <w:webHidden/>
          </w:rPr>
          <w:fldChar w:fldCharType="separate"/>
        </w:r>
        <w:r w:rsidR="007018D2" w:rsidRPr="00CF3673">
          <w:rPr>
            <w:noProof/>
            <w:webHidden/>
          </w:rPr>
          <w:t>52</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14" w:history="1">
        <w:r w:rsidR="007018D2" w:rsidRPr="00CF3673">
          <w:rPr>
            <w:rStyle w:val="Hyperlink"/>
            <w:noProof/>
          </w:rPr>
          <w:t>Figure 4.6: Proportion of firms providing training by firm size, 2006-2011,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_Toc360720514 \h </w:instrText>
        </w:r>
        <w:r w:rsidR="007018D2" w:rsidRPr="00CF3673">
          <w:rPr>
            <w:noProof/>
            <w:webHidden/>
          </w:rPr>
        </w:r>
        <w:r w:rsidR="007018D2" w:rsidRPr="00CF3673">
          <w:rPr>
            <w:noProof/>
            <w:webHidden/>
          </w:rPr>
          <w:fldChar w:fldCharType="separate"/>
        </w:r>
        <w:r w:rsidR="007018D2" w:rsidRPr="00CF3673">
          <w:rPr>
            <w:noProof/>
            <w:webHidden/>
          </w:rPr>
          <w:t>58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15" w:history="1">
        <w:r w:rsidR="007018D2" w:rsidRPr="00CF3673">
          <w:rPr>
            <w:rStyle w:val="Hyperlink"/>
            <w:noProof/>
          </w:rPr>
          <w:t>Figure 5.1: Median revenue per worker in 2006 and 2011 by firm size, thousand 2011-meticais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_Toc360720515 \h </w:instrText>
        </w:r>
        <w:r w:rsidR="007018D2" w:rsidRPr="00CF3673">
          <w:rPr>
            <w:noProof/>
            <w:webHidden/>
          </w:rPr>
        </w:r>
        <w:r w:rsidR="007018D2" w:rsidRPr="00CF3673">
          <w:rPr>
            <w:noProof/>
            <w:webHidden/>
          </w:rPr>
          <w:fldChar w:fldCharType="separate"/>
        </w:r>
        <w:r w:rsidR="007018D2" w:rsidRPr="00CF3673">
          <w:rPr>
            <w:noProof/>
            <w:webHidden/>
          </w:rPr>
          <w:t>60</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16" w:history="1">
        <w:r w:rsidR="007018D2" w:rsidRPr="00CF3673">
          <w:rPr>
            <w:rStyle w:val="Hyperlink"/>
            <w:noProof/>
          </w:rPr>
          <w:t>Figure 5.2: Share of firms having made investments during last three years, 2006-2011,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_Toc360720516 \h </w:instrText>
        </w:r>
        <w:r w:rsidR="007018D2" w:rsidRPr="00CF3673">
          <w:rPr>
            <w:noProof/>
            <w:webHidden/>
          </w:rPr>
        </w:r>
        <w:r w:rsidR="007018D2" w:rsidRPr="00CF3673">
          <w:rPr>
            <w:noProof/>
            <w:webHidden/>
          </w:rPr>
          <w:fldChar w:fldCharType="separate"/>
        </w:r>
        <w:r w:rsidR="007018D2" w:rsidRPr="00CF3673">
          <w:rPr>
            <w:noProof/>
            <w:webHidden/>
          </w:rPr>
          <w:t>63</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17" w:history="1">
        <w:r w:rsidR="007018D2" w:rsidRPr="00CF3673">
          <w:rPr>
            <w:rStyle w:val="Hyperlink"/>
            <w:noProof/>
          </w:rPr>
          <w:t>Figure 5.3: Purpose of investment, pct. of investing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_Toc360720517 \h </w:instrText>
        </w:r>
        <w:r w:rsidR="007018D2" w:rsidRPr="00CF3673">
          <w:rPr>
            <w:noProof/>
            <w:webHidden/>
          </w:rPr>
        </w:r>
        <w:r w:rsidR="007018D2" w:rsidRPr="00CF3673">
          <w:rPr>
            <w:noProof/>
            <w:webHidden/>
          </w:rPr>
          <w:fldChar w:fldCharType="separate"/>
        </w:r>
        <w:r w:rsidR="007018D2" w:rsidRPr="00CF3673">
          <w:rPr>
            <w:noProof/>
            <w:webHidden/>
          </w:rPr>
          <w:t>64</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18" w:history="1">
        <w:r w:rsidR="007018D2" w:rsidRPr="00CF3673">
          <w:rPr>
            <w:rStyle w:val="Hyperlink"/>
            <w:noProof/>
          </w:rPr>
          <w:t>Figure 7.1: Share of exporters by firm size,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_Toc360720518 \h </w:instrText>
        </w:r>
        <w:r w:rsidR="007018D2" w:rsidRPr="00CF3673">
          <w:rPr>
            <w:noProof/>
            <w:webHidden/>
          </w:rPr>
        </w:r>
        <w:r w:rsidR="007018D2" w:rsidRPr="00CF3673">
          <w:rPr>
            <w:noProof/>
            <w:webHidden/>
          </w:rPr>
          <w:fldChar w:fldCharType="separate"/>
        </w:r>
        <w:r w:rsidR="007018D2" w:rsidRPr="00CF3673">
          <w:rPr>
            <w:noProof/>
            <w:webHidden/>
          </w:rPr>
          <w:t>71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19" w:history="1">
        <w:r w:rsidR="007018D2" w:rsidRPr="00CF3673">
          <w:rPr>
            <w:rStyle w:val="Hyperlink"/>
            <w:noProof/>
          </w:rPr>
          <w:t>Figure 7.2: Share of firms saying that exporting is not part of firm strategy, pct. of non-exporters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_Toc360720519 \h </w:instrText>
        </w:r>
        <w:r w:rsidR="007018D2" w:rsidRPr="00CF3673">
          <w:rPr>
            <w:noProof/>
            <w:webHidden/>
          </w:rPr>
        </w:r>
        <w:r w:rsidR="007018D2" w:rsidRPr="00CF3673">
          <w:rPr>
            <w:noProof/>
            <w:webHidden/>
          </w:rPr>
          <w:fldChar w:fldCharType="separate"/>
        </w:r>
        <w:r w:rsidR="007018D2" w:rsidRPr="00CF3673">
          <w:rPr>
            <w:noProof/>
            <w:webHidden/>
          </w:rPr>
          <w:t>74</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20" w:history="1">
        <w:r w:rsidR="007018D2" w:rsidRPr="00CF3673">
          <w:rPr>
            <w:rStyle w:val="Hyperlink"/>
            <w:noProof/>
          </w:rPr>
          <w:t>Figure 7.3: Sales by customer group by firm size, pct. of total sales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_Toc360720520 \h </w:instrText>
        </w:r>
        <w:r w:rsidR="007018D2" w:rsidRPr="00CF3673">
          <w:rPr>
            <w:noProof/>
            <w:webHidden/>
          </w:rPr>
        </w:r>
        <w:r w:rsidR="007018D2" w:rsidRPr="00CF3673">
          <w:rPr>
            <w:noProof/>
            <w:webHidden/>
          </w:rPr>
          <w:fldChar w:fldCharType="separate"/>
        </w:r>
        <w:r w:rsidR="007018D2" w:rsidRPr="00CF3673">
          <w:rPr>
            <w:noProof/>
            <w:webHidden/>
          </w:rPr>
          <w:t>76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21" w:history="1">
        <w:r w:rsidR="007018D2" w:rsidRPr="00CF3673">
          <w:rPr>
            <w:rStyle w:val="Hyperlink"/>
            <w:noProof/>
          </w:rPr>
          <w:t>Figure 7.4: Share of imports by firm size, 2006-2011, pct. of intermediate inputs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_Toc360720521 \h </w:instrText>
        </w:r>
        <w:r w:rsidR="007018D2" w:rsidRPr="00CF3673">
          <w:rPr>
            <w:noProof/>
            <w:webHidden/>
          </w:rPr>
        </w:r>
        <w:r w:rsidR="007018D2" w:rsidRPr="00CF3673">
          <w:rPr>
            <w:noProof/>
            <w:webHidden/>
          </w:rPr>
          <w:fldChar w:fldCharType="separate"/>
        </w:r>
        <w:r w:rsidR="007018D2" w:rsidRPr="00CF3673">
          <w:rPr>
            <w:noProof/>
            <w:webHidden/>
          </w:rPr>
          <w:t>79</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22" w:history="1">
        <w:r w:rsidR="007018D2" w:rsidRPr="00CF3673">
          <w:rPr>
            <w:rStyle w:val="Hyperlink"/>
            <w:noProof/>
          </w:rPr>
          <w:t>Figure 7.5: Share of firms saying inputs are generally not available, 2006-2011,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_Toc360720522 \h </w:instrText>
        </w:r>
        <w:r w:rsidR="007018D2" w:rsidRPr="00CF3673">
          <w:rPr>
            <w:noProof/>
            <w:webHidden/>
          </w:rPr>
        </w:r>
        <w:r w:rsidR="007018D2" w:rsidRPr="00CF3673">
          <w:rPr>
            <w:noProof/>
            <w:webHidden/>
          </w:rPr>
          <w:fldChar w:fldCharType="separate"/>
        </w:r>
        <w:r w:rsidR="007018D2" w:rsidRPr="00CF3673">
          <w:rPr>
            <w:noProof/>
            <w:webHidden/>
          </w:rPr>
          <w:t>81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23" w:history="1">
        <w:r w:rsidR="007018D2" w:rsidRPr="00CF3673">
          <w:rPr>
            <w:rStyle w:val="Hyperlink"/>
            <w:noProof/>
          </w:rPr>
          <w:t>Figure 8.1: Reason for business contacts’ value to firms by contact type,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_Toc360720523 \h </w:instrText>
        </w:r>
        <w:r w:rsidR="007018D2" w:rsidRPr="00CF3673">
          <w:rPr>
            <w:noProof/>
            <w:webHidden/>
          </w:rPr>
        </w:r>
        <w:r w:rsidR="007018D2" w:rsidRPr="00CF3673">
          <w:rPr>
            <w:noProof/>
            <w:webHidden/>
          </w:rPr>
          <w:fldChar w:fldCharType="separate"/>
        </w:r>
        <w:r w:rsidR="007018D2" w:rsidRPr="00CF3673">
          <w:rPr>
            <w:noProof/>
            <w:webHidden/>
          </w:rPr>
          <w:t>85</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24" w:history="1">
        <w:r w:rsidR="007018D2" w:rsidRPr="00CF3673">
          <w:rPr>
            <w:rStyle w:val="Hyperlink"/>
            <w:noProof/>
          </w:rPr>
          <w:t>Figure 8.2: Most important contact by firm type, pct. of firms</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_Toc360720524 \h </w:instrText>
        </w:r>
        <w:r w:rsidR="007018D2" w:rsidRPr="00CF3673">
          <w:rPr>
            <w:noProof/>
            <w:webHidden/>
          </w:rPr>
        </w:r>
        <w:r w:rsidR="007018D2" w:rsidRPr="00CF3673">
          <w:rPr>
            <w:noProof/>
            <w:webHidden/>
          </w:rPr>
          <w:fldChar w:fldCharType="separate"/>
        </w:r>
        <w:r w:rsidR="007018D2" w:rsidRPr="00CF3673">
          <w:rPr>
            <w:noProof/>
            <w:webHidden/>
          </w:rPr>
          <w:t>86</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25" w:history="1">
        <w:r w:rsidR="007018D2" w:rsidRPr="00CF3673">
          <w:rPr>
            <w:rStyle w:val="Hyperlink"/>
            <w:noProof/>
          </w:rPr>
          <w:t>Figure 9.1: Source of loan by loan type,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_Toc360720525 \h </w:instrText>
        </w:r>
        <w:r w:rsidR="007018D2" w:rsidRPr="00CF3673">
          <w:rPr>
            <w:noProof/>
            <w:webHidden/>
          </w:rPr>
        </w:r>
        <w:r w:rsidR="007018D2" w:rsidRPr="00CF3673">
          <w:rPr>
            <w:noProof/>
            <w:webHidden/>
          </w:rPr>
          <w:fldChar w:fldCharType="separate"/>
        </w:r>
        <w:r w:rsidR="007018D2" w:rsidRPr="00CF3673">
          <w:rPr>
            <w:noProof/>
            <w:webHidden/>
          </w:rPr>
          <w:t>98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26" w:history="1">
        <w:r w:rsidR="007018D2" w:rsidRPr="00CF3673">
          <w:rPr>
            <w:rStyle w:val="Hyperlink"/>
            <w:noProof/>
          </w:rPr>
          <w:t>Figure 9.2: Reason for not applying for credit by firm type,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_Toc360720526 \h </w:instrText>
        </w:r>
        <w:r w:rsidR="007018D2" w:rsidRPr="00CF3673">
          <w:rPr>
            <w:noProof/>
            <w:webHidden/>
          </w:rPr>
        </w:r>
        <w:r w:rsidR="007018D2" w:rsidRPr="00CF3673">
          <w:rPr>
            <w:noProof/>
            <w:webHidden/>
          </w:rPr>
          <w:fldChar w:fldCharType="separate"/>
        </w:r>
        <w:r w:rsidR="007018D2" w:rsidRPr="00CF3673">
          <w:rPr>
            <w:noProof/>
            <w:webHidden/>
          </w:rPr>
          <w:t>101</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27" w:history="1">
        <w:r w:rsidR="007018D2" w:rsidRPr="00CF3673">
          <w:rPr>
            <w:rStyle w:val="Hyperlink"/>
            <w:noProof/>
          </w:rPr>
          <w:t>Figure 10.1: Share of sales reported for tax purposes by firm size,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_Toc360720527 \h </w:instrText>
        </w:r>
        <w:r w:rsidR="007018D2" w:rsidRPr="00CF3673">
          <w:rPr>
            <w:noProof/>
            <w:webHidden/>
          </w:rPr>
        </w:r>
        <w:r w:rsidR="007018D2" w:rsidRPr="00CF3673">
          <w:rPr>
            <w:noProof/>
            <w:webHidden/>
          </w:rPr>
          <w:fldChar w:fldCharType="separate"/>
        </w:r>
        <w:r w:rsidR="007018D2" w:rsidRPr="00CF3673">
          <w:rPr>
            <w:noProof/>
            <w:webHidden/>
          </w:rPr>
          <w:t>108</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28" w:history="1">
        <w:r w:rsidR="007018D2" w:rsidRPr="00CF3673">
          <w:rPr>
            <w:rStyle w:val="Hyperlink"/>
            <w:noProof/>
          </w:rPr>
          <w:t>Figure 10.2: Proportion of sales reported for tax purposes by location, pct.</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_Toc360720528 \h </w:instrText>
        </w:r>
        <w:r w:rsidR="007018D2" w:rsidRPr="00CF3673">
          <w:rPr>
            <w:noProof/>
            <w:webHidden/>
          </w:rPr>
        </w:r>
        <w:r w:rsidR="007018D2" w:rsidRPr="00CF3673">
          <w:rPr>
            <w:noProof/>
            <w:webHidden/>
          </w:rPr>
          <w:fldChar w:fldCharType="separate"/>
        </w:r>
        <w:r w:rsidR="007018D2" w:rsidRPr="00CF3673">
          <w:rPr>
            <w:noProof/>
            <w:webHidden/>
          </w:rPr>
          <w:t>109</w:t>
        </w:r>
        <w:r w:rsidR="007018D2" w:rsidRPr="00CF3673">
          <w:rPr>
            <w:noProof/>
            <w:webHidden/>
          </w:rPr>
          <w:fldChar w:fldCharType="end"/>
        </w:r>
      </w:hyperlink>
    </w:p>
    <w:p w:rsidR="007018D2" w:rsidRPr="00CF3673" w:rsidRDefault="00E93501">
      <w:pPr>
        <w:pStyle w:val="TOC1"/>
        <w:tabs>
          <w:tab w:val="right" w:leader="dot" w:pos="9628"/>
        </w:tabs>
        <w:rPr>
          <w:rFonts w:eastAsiaTheme="minorEastAsia"/>
          <w:noProof/>
          <w:lang w:eastAsia="da-DK"/>
        </w:rPr>
      </w:pPr>
      <w:hyperlink w:anchor="_Toc360720529" w:history="1">
        <w:r w:rsidR="007018D2" w:rsidRPr="00CF3673">
          <w:rPr>
            <w:rStyle w:val="Hyperlink"/>
            <w:noProof/>
          </w:rPr>
          <w:t>Figure 10.3: Reason for being afraid to be shut down by the authorities by formality</w:t>
        </w:r>
        <w:r w:rsidR="007018D2" w:rsidRPr="00CF3673">
          <w:rPr>
            <w:noProof/>
            <w:webHidden/>
          </w:rPr>
          <w:tab/>
        </w:r>
        <w:r w:rsidR="007018D2" w:rsidRPr="00CF3673">
          <w:rPr>
            <w:noProof/>
            <w:webHidden/>
          </w:rPr>
          <w:fldChar w:fldCharType="begin"/>
        </w:r>
        <w:r w:rsidR="007018D2" w:rsidRPr="00CF3673">
          <w:rPr>
            <w:noProof/>
            <w:webHidden/>
          </w:rPr>
          <w:instrText xml:space="preserve"> PAGEREF _Toc360720529 \h </w:instrText>
        </w:r>
        <w:r w:rsidR="007018D2" w:rsidRPr="00CF3673">
          <w:rPr>
            <w:noProof/>
            <w:webHidden/>
          </w:rPr>
        </w:r>
        <w:r w:rsidR="007018D2" w:rsidRPr="00CF3673">
          <w:rPr>
            <w:noProof/>
            <w:webHidden/>
          </w:rPr>
          <w:fldChar w:fldCharType="separate"/>
        </w:r>
        <w:r w:rsidR="007018D2" w:rsidRPr="00CF3673">
          <w:rPr>
            <w:noProof/>
            <w:webHidden/>
          </w:rPr>
          <w:t>110</w:t>
        </w:r>
        <w:r w:rsidR="007018D2" w:rsidRPr="00CF3673">
          <w:rPr>
            <w:noProof/>
            <w:webHidden/>
          </w:rPr>
          <w:fldChar w:fldCharType="end"/>
        </w:r>
      </w:hyperlink>
    </w:p>
    <w:p w:rsidR="00461403" w:rsidRPr="00CF3673" w:rsidRDefault="00461403" w:rsidP="003F09AA">
      <w:pPr>
        <w:spacing w:after="0"/>
      </w:pPr>
      <w:r w:rsidRPr="00CF3673">
        <w:fldChar w:fldCharType="end"/>
      </w:r>
    </w:p>
    <w:p w:rsidR="00937BF3" w:rsidRPr="00CF3673" w:rsidRDefault="00937BF3">
      <w:pPr>
        <w:rPr>
          <w:b/>
          <w:u w:val="single"/>
        </w:rPr>
      </w:pPr>
      <w:r w:rsidRPr="00CF3673">
        <w:br w:type="page"/>
      </w:r>
    </w:p>
    <w:p w:rsidR="00D51413" w:rsidRPr="00CF3673" w:rsidRDefault="00D51413" w:rsidP="001E664B">
      <w:pPr>
        <w:pStyle w:val="ChapterTitle"/>
        <w:rPr>
          <w:lang w:val="pt-PT"/>
        </w:rPr>
      </w:pPr>
      <w:bookmarkStart w:id="9" w:name="_Toc360720379"/>
      <w:r w:rsidRPr="00CF3673">
        <w:rPr>
          <w:lang w:val="pt-PT"/>
        </w:rPr>
        <w:lastRenderedPageBreak/>
        <w:t>Agradecimentos</w:t>
      </w:r>
    </w:p>
    <w:bookmarkEnd w:id="9"/>
    <w:p w:rsidR="00D51413" w:rsidRPr="00CF3673" w:rsidRDefault="00B20E4D" w:rsidP="007E4B00">
      <w:pPr>
        <w:pStyle w:val="MainText"/>
        <w:rPr>
          <w:lang w:val="pt-PT"/>
        </w:rPr>
      </w:pPr>
      <w:r w:rsidRPr="00CF3673">
        <w:rPr>
          <w:lang w:val="pt-PT"/>
        </w:rPr>
        <w:t xml:space="preserve">Os professores </w:t>
      </w:r>
      <w:proofErr w:type="spellStart"/>
      <w:r w:rsidRPr="00CF3673">
        <w:rPr>
          <w:lang w:val="pt-PT"/>
        </w:rPr>
        <w:t>Finn</w:t>
      </w:r>
      <w:proofErr w:type="spellEnd"/>
      <w:r w:rsidRPr="00CF3673">
        <w:rPr>
          <w:lang w:val="pt-PT"/>
        </w:rPr>
        <w:t xml:space="preserve"> </w:t>
      </w:r>
      <w:proofErr w:type="spellStart"/>
      <w:r w:rsidRPr="00CF3673">
        <w:rPr>
          <w:lang w:val="pt-PT"/>
        </w:rPr>
        <w:t>Tarp</w:t>
      </w:r>
      <w:proofErr w:type="spellEnd"/>
      <w:r w:rsidRPr="00CF3673">
        <w:rPr>
          <w:lang w:val="pt-PT"/>
        </w:rPr>
        <w:t xml:space="preserve"> e John Rand (ambos pertencentes a DERG na Universidade de Copenhaga) coordenaram e supervisionaram o inquérito em todas as suas fases. </w:t>
      </w:r>
      <w:r w:rsidR="00A742E7" w:rsidRPr="00CF3673">
        <w:rPr>
          <w:lang w:val="pt-PT"/>
        </w:rPr>
        <w:t>O senhor Søren Schou foi fundamental em todas as fases do projecto, incluindo</w:t>
      </w:r>
      <w:r w:rsidR="00905618" w:rsidRPr="00CF3673">
        <w:rPr>
          <w:lang w:val="pt-PT"/>
        </w:rPr>
        <w:t xml:space="preserve"> na</w:t>
      </w:r>
      <w:r w:rsidR="00A742E7" w:rsidRPr="00CF3673">
        <w:rPr>
          <w:lang w:val="pt-PT"/>
        </w:rPr>
        <w:t xml:space="preserve"> administração, coordenação e implementação d</w:t>
      </w:r>
      <w:r w:rsidR="00905618" w:rsidRPr="00CF3673">
        <w:rPr>
          <w:lang w:val="pt-PT"/>
        </w:rPr>
        <w:t>o inquérito,</w:t>
      </w:r>
      <w:r w:rsidR="00A742E7" w:rsidRPr="00CF3673">
        <w:rPr>
          <w:lang w:val="pt-PT"/>
        </w:rPr>
        <w:t xml:space="preserve"> trabalho de campo, validação dos dados e </w:t>
      </w:r>
      <w:r w:rsidR="00905618" w:rsidRPr="00CF3673">
        <w:rPr>
          <w:lang w:val="pt-PT"/>
        </w:rPr>
        <w:t xml:space="preserve">documentação. </w:t>
      </w:r>
      <w:r w:rsidR="00A742E7" w:rsidRPr="00CF3673">
        <w:rPr>
          <w:lang w:val="pt-PT"/>
        </w:rPr>
        <w:t xml:space="preserve">Os senhores </w:t>
      </w:r>
      <w:proofErr w:type="spellStart"/>
      <w:r w:rsidR="00A742E7" w:rsidRPr="00CF3673">
        <w:rPr>
          <w:lang w:val="pt-PT"/>
        </w:rPr>
        <w:t>Benedikte</w:t>
      </w:r>
      <w:proofErr w:type="spellEnd"/>
      <w:r w:rsidR="00A742E7" w:rsidRPr="00CF3673">
        <w:rPr>
          <w:lang w:val="pt-PT"/>
        </w:rPr>
        <w:t xml:space="preserve"> </w:t>
      </w:r>
      <w:proofErr w:type="spellStart"/>
      <w:r w:rsidR="00A742E7" w:rsidRPr="00CF3673">
        <w:rPr>
          <w:lang w:val="pt-PT"/>
        </w:rPr>
        <w:t>Bjerge</w:t>
      </w:r>
      <w:proofErr w:type="spellEnd"/>
      <w:r w:rsidR="00A742E7" w:rsidRPr="00CF3673">
        <w:rPr>
          <w:lang w:val="pt-PT"/>
        </w:rPr>
        <w:t xml:space="preserve"> da BERG, Fausto </w:t>
      </w:r>
      <w:proofErr w:type="spellStart"/>
      <w:r w:rsidR="00A742E7" w:rsidRPr="00CF3673">
        <w:rPr>
          <w:lang w:val="pt-PT"/>
        </w:rPr>
        <w:t>Mafambissa</w:t>
      </w:r>
      <w:proofErr w:type="spellEnd"/>
      <w:r w:rsidR="00A742E7" w:rsidRPr="00CF3673">
        <w:rPr>
          <w:lang w:val="pt-PT"/>
        </w:rPr>
        <w:t xml:space="preserve">, Finório Castigo, Floriano Xavier da DNEAP, igualmente providenciaram valiosas contribuições </w:t>
      </w:r>
      <w:r w:rsidR="00905618" w:rsidRPr="00CF3673">
        <w:rPr>
          <w:lang w:val="pt-PT"/>
        </w:rPr>
        <w:t>ao inquérito</w:t>
      </w:r>
      <w:r w:rsidR="00A742E7" w:rsidRPr="00CF3673">
        <w:rPr>
          <w:lang w:val="pt-PT"/>
        </w:rPr>
        <w:t>.</w:t>
      </w:r>
    </w:p>
    <w:p w:rsidR="00A742E7" w:rsidRPr="00CF3673" w:rsidRDefault="00A742E7" w:rsidP="001E664B">
      <w:pPr>
        <w:pStyle w:val="MainText"/>
        <w:rPr>
          <w:lang w:val="pt-PT"/>
        </w:rPr>
      </w:pPr>
      <w:r w:rsidRPr="00CF3673">
        <w:rPr>
          <w:lang w:val="pt-PT"/>
        </w:rPr>
        <w:t xml:space="preserve">Os autores deste relatório estão agradecidos ao antigo Director da DNEAP, Dr. </w:t>
      </w:r>
      <w:r w:rsidR="00B20E4D" w:rsidRPr="00CF3673">
        <w:rPr>
          <w:lang w:val="pt-PT"/>
        </w:rPr>
        <w:t>António</w:t>
      </w:r>
      <w:r w:rsidRPr="00CF3673">
        <w:rPr>
          <w:lang w:val="pt-PT"/>
        </w:rPr>
        <w:t xml:space="preserve"> Cr</w:t>
      </w:r>
      <w:r w:rsidR="00905618" w:rsidRPr="00CF3673">
        <w:rPr>
          <w:lang w:val="pt-PT"/>
        </w:rPr>
        <w:t>uz, que conduziu o trabalho desd</w:t>
      </w:r>
      <w:r w:rsidRPr="00CF3673">
        <w:rPr>
          <w:lang w:val="pt-PT"/>
        </w:rPr>
        <w:t xml:space="preserve">e o início ao fim assegurando a colaboração entre </w:t>
      </w:r>
      <w:r w:rsidR="00905618" w:rsidRPr="00CF3673">
        <w:rPr>
          <w:lang w:val="pt-PT"/>
        </w:rPr>
        <w:t xml:space="preserve">actores </w:t>
      </w:r>
      <w:r w:rsidRPr="00CF3673">
        <w:rPr>
          <w:lang w:val="pt-PT"/>
        </w:rPr>
        <w:t xml:space="preserve">envolvidos. Os agradecimentos </w:t>
      </w:r>
      <w:r w:rsidR="00905618" w:rsidRPr="00CF3673">
        <w:rPr>
          <w:lang w:val="pt-PT"/>
        </w:rPr>
        <w:t>são igualmente extensivos</w:t>
      </w:r>
      <w:r w:rsidRPr="00CF3673">
        <w:rPr>
          <w:lang w:val="pt-PT"/>
        </w:rPr>
        <w:t xml:space="preserve"> para a equipa da CTA, especialmente ao senhor Eduardo </w:t>
      </w:r>
      <w:proofErr w:type="spellStart"/>
      <w:r w:rsidRPr="00CF3673">
        <w:rPr>
          <w:lang w:val="pt-PT"/>
        </w:rPr>
        <w:t>Macuacua</w:t>
      </w:r>
      <w:proofErr w:type="spellEnd"/>
      <w:r w:rsidRPr="00CF3673">
        <w:rPr>
          <w:lang w:val="pt-PT"/>
        </w:rPr>
        <w:t xml:space="preserve"> e ao senhor Eugénio </w:t>
      </w:r>
      <w:proofErr w:type="spellStart"/>
      <w:r w:rsidRPr="00CF3673">
        <w:rPr>
          <w:lang w:val="pt-PT"/>
        </w:rPr>
        <w:t>Chimbutane</w:t>
      </w:r>
      <w:proofErr w:type="spellEnd"/>
      <w:r w:rsidRPr="00CF3673">
        <w:rPr>
          <w:lang w:val="pt-PT"/>
        </w:rPr>
        <w:t xml:space="preserve">, </w:t>
      </w:r>
      <w:r w:rsidR="00AB33B1" w:rsidRPr="00CF3673">
        <w:rPr>
          <w:lang w:val="pt-PT"/>
        </w:rPr>
        <w:t xml:space="preserve">sem </w:t>
      </w:r>
      <w:r w:rsidRPr="00CF3673">
        <w:rPr>
          <w:lang w:val="pt-PT"/>
        </w:rPr>
        <w:t>o incansável esforço durante a implementação d</w:t>
      </w:r>
      <w:r w:rsidR="00AB33B1" w:rsidRPr="00CF3673">
        <w:rPr>
          <w:lang w:val="pt-PT"/>
        </w:rPr>
        <w:t>o</w:t>
      </w:r>
      <w:r w:rsidRPr="00CF3673">
        <w:rPr>
          <w:lang w:val="pt-PT"/>
        </w:rPr>
        <w:t xml:space="preserve"> </w:t>
      </w:r>
      <w:r w:rsidR="00AB33B1" w:rsidRPr="00CF3673">
        <w:rPr>
          <w:lang w:val="pt-PT"/>
        </w:rPr>
        <w:t>inquérito</w:t>
      </w:r>
      <w:r w:rsidRPr="00CF3673">
        <w:rPr>
          <w:lang w:val="pt-PT"/>
        </w:rPr>
        <w:t xml:space="preserve">, esta não teria sido possível. Gostaríamos igualmente de agradecer o Embaixador da Dinamarca em Moçambique, o senhor </w:t>
      </w:r>
      <w:proofErr w:type="spellStart"/>
      <w:r w:rsidRPr="00CF3673">
        <w:rPr>
          <w:lang w:val="pt-PT"/>
        </w:rPr>
        <w:t>Mogens</w:t>
      </w:r>
      <w:proofErr w:type="spellEnd"/>
      <w:r w:rsidRPr="00CF3673">
        <w:rPr>
          <w:lang w:val="pt-PT"/>
        </w:rPr>
        <w:t xml:space="preserve"> </w:t>
      </w:r>
      <w:proofErr w:type="spellStart"/>
      <w:r w:rsidRPr="00CF3673">
        <w:rPr>
          <w:lang w:val="pt-PT"/>
        </w:rPr>
        <w:t>Pedersen</w:t>
      </w:r>
      <w:proofErr w:type="spellEnd"/>
      <w:r w:rsidRPr="00CF3673">
        <w:rPr>
          <w:lang w:val="pt-PT"/>
        </w:rPr>
        <w:t xml:space="preserve"> e</w:t>
      </w:r>
      <w:r w:rsidR="00AB33B1" w:rsidRPr="00CF3673">
        <w:rPr>
          <w:lang w:val="pt-PT"/>
        </w:rPr>
        <w:t xml:space="preserve"> o seu pessoal. Eles apoiaram o inquérito</w:t>
      </w:r>
      <w:r w:rsidRPr="00CF3673">
        <w:rPr>
          <w:lang w:val="pt-PT"/>
        </w:rPr>
        <w:t xml:space="preserve"> nas suas variadas fases. O apoio financeiro da DANIDA é igualmente reconhecido com sinceros agradecimentos.</w:t>
      </w:r>
    </w:p>
    <w:p w:rsidR="00A742E7" w:rsidRPr="00CF3673" w:rsidRDefault="00AB33B1" w:rsidP="001E664B">
      <w:pPr>
        <w:pStyle w:val="MainText"/>
        <w:rPr>
          <w:lang w:val="pt-PT"/>
        </w:rPr>
      </w:pPr>
      <w:r w:rsidRPr="00CF3673">
        <w:rPr>
          <w:lang w:val="pt-PT"/>
        </w:rPr>
        <w:t>O inquérito</w:t>
      </w:r>
      <w:r w:rsidR="00A742E7" w:rsidRPr="00CF3673">
        <w:rPr>
          <w:lang w:val="pt-PT"/>
        </w:rPr>
        <w:t xml:space="preserve"> beneficiou grandemente da colaboração da equipa do INE liderada pelo senhor Eugé</w:t>
      </w:r>
      <w:r w:rsidR="00412237" w:rsidRPr="00CF3673">
        <w:rPr>
          <w:lang w:val="pt-PT"/>
        </w:rPr>
        <w:t>n</w:t>
      </w:r>
      <w:r w:rsidR="00A742E7" w:rsidRPr="00CF3673">
        <w:rPr>
          <w:lang w:val="pt-PT"/>
        </w:rPr>
        <w:t xml:space="preserve">io </w:t>
      </w:r>
      <w:proofErr w:type="spellStart"/>
      <w:r w:rsidR="00A742E7" w:rsidRPr="00CF3673">
        <w:rPr>
          <w:lang w:val="pt-PT"/>
        </w:rPr>
        <w:t>Matavele</w:t>
      </w:r>
      <w:proofErr w:type="spellEnd"/>
      <w:r w:rsidR="00A742E7" w:rsidRPr="00CF3673">
        <w:rPr>
          <w:lang w:val="pt-PT"/>
        </w:rPr>
        <w:t xml:space="preserve">. </w:t>
      </w:r>
      <w:r w:rsidR="006005DF" w:rsidRPr="00CF3673">
        <w:rPr>
          <w:lang w:val="pt-PT"/>
        </w:rPr>
        <w:t xml:space="preserve">Por outro lado, os agradecimentos vão para o Dr. Sam Jones, senhor David </w:t>
      </w:r>
      <w:proofErr w:type="spellStart"/>
      <w:r w:rsidR="006005DF" w:rsidRPr="00CF3673">
        <w:rPr>
          <w:lang w:val="pt-PT"/>
        </w:rPr>
        <w:t>Rosenfeld</w:t>
      </w:r>
      <w:proofErr w:type="spellEnd"/>
      <w:r w:rsidR="006005DF" w:rsidRPr="00CF3673">
        <w:rPr>
          <w:lang w:val="pt-PT"/>
        </w:rPr>
        <w:t xml:space="preserve">, Dr. Vincenzo </w:t>
      </w:r>
      <w:proofErr w:type="spellStart"/>
      <w:r w:rsidR="006005DF" w:rsidRPr="00CF3673">
        <w:rPr>
          <w:lang w:val="pt-PT"/>
        </w:rPr>
        <w:t>Salvucci</w:t>
      </w:r>
      <w:proofErr w:type="spellEnd"/>
      <w:r w:rsidR="006005DF" w:rsidRPr="00CF3673">
        <w:rPr>
          <w:lang w:val="pt-PT"/>
        </w:rPr>
        <w:t xml:space="preserve"> e o senhor Peter </w:t>
      </w:r>
      <w:proofErr w:type="spellStart"/>
      <w:r w:rsidR="006005DF" w:rsidRPr="00CF3673">
        <w:rPr>
          <w:lang w:val="pt-PT"/>
        </w:rPr>
        <w:t>Fisker</w:t>
      </w:r>
      <w:proofErr w:type="spellEnd"/>
      <w:r w:rsidR="006005DF" w:rsidRPr="00CF3673">
        <w:rPr>
          <w:lang w:val="pt-PT"/>
        </w:rPr>
        <w:t xml:space="preserve"> que providenciaram apoio e comentários valiosos.</w:t>
      </w:r>
    </w:p>
    <w:p w:rsidR="006005DF" w:rsidRPr="00CF3673" w:rsidRDefault="00AB33B1" w:rsidP="001E664B">
      <w:pPr>
        <w:pStyle w:val="MainText"/>
        <w:rPr>
          <w:lang w:val="pt-PT"/>
        </w:rPr>
      </w:pPr>
      <w:r w:rsidRPr="00CF3673">
        <w:rPr>
          <w:lang w:val="pt-PT"/>
        </w:rPr>
        <w:t>G</w:t>
      </w:r>
      <w:r w:rsidR="006005DF" w:rsidRPr="00CF3673">
        <w:rPr>
          <w:lang w:val="pt-PT"/>
        </w:rPr>
        <w:t>ostaríamos</w:t>
      </w:r>
      <w:r w:rsidRPr="00CF3673">
        <w:rPr>
          <w:lang w:val="pt-PT"/>
        </w:rPr>
        <w:t xml:space="preserve"> igualmente</w:t>
      </w:r>
      <w:r w:rsidR="006005DF" w:rsidRPr="00CF3673">
        <w:rPr>
          <w:lang w:val="pt-PT"/>
        </w:rPr>
        <w:t xml:space="preserve"> de expressar o nosso reconhecimento aos gestores da</w:t>
      </w:r>
      <w:r w:rsidRPr="00CF3673">
        <w:rPr>
          <w:lang w:val="pt-PT"/>
        </w:rPr>
        <w:t>s</w:t>
      </w:r>
      <w:r w:rsidR="006005DF" w:rsidRPr="00CF3673">
        <w:rPr>
          <w:lang w:val="pt-PT"/>
        </w:rPr>
        <w:t xml:space="preserve"> PME</w:t>
      </w:r>
      <w:r w:rsidRPr="00CF3673">
        <w:rPr>
          <w:lang w:val="pt-PT"/>
        </w:rPr>
        <w:t>s</w:t>
      </w:r>
      <w:r w:rsidR="006005DF" w:rsidRPr="00CF3673">
        <w:rPr>
          <w:lang w:val="pt-PT"/>
        </w:rPr>
        <w:t xml:space="preserve"> </w:t>
      </w:r>
      <w:r w:rsidRPr="00CF3673">
        <w:rPr>
          <w:lang w:val="pt-PT"/>
        </w:rPr>
        <w:t>entrevistadas</w:t>
      </w:r>
      <w:r w:rsidR="006005DF" w:rsidRPr="00CF3673">
        <w:rPr>
          <w:lang w:val="pt-PT"/>
        </w:rPr>
        <w:t xml:space="preserve"> pela disponibilidade e tempo concedido</w:t>
      </w:r>
      <w:r w:rsidRPr="00CF3673">
        <w:rPr>
          <w:lang w:val="pt-PT"/>
        </w:rPr>
        <w:t>s</w:t>
      </w:r>
      <w:r w:rsidR="006005DF" w:rsidRPr="00CF3673">
        <w:rPr>
          <w:lang w:val="pt-PT"/>
        </w:rPr>
        <w:t xml:space="preserve"> para a realização das entrevistas. Estamos esperançados que este relatório </w:t>
      </w:r>
      <w:r w:rsidRPr="00CF3673">
        <w:rPr>
          <w:lang w:val="pt-PT"/>
        </w:rPr>
        <w:t>poderá ser útil no processo de f</w:t>
      </w:r>
      <w:r w:rsidR="006005DF" w:rsidRPr="00CF3673">
        <w:rPr>
          <w:lang w:val="pt-PT"/>
        </w:rPr>
        <w:t>ormulação de políticas e melhoria do ambiente de Negócios.</w:t>
      </w:r>
    </w:p>
    <w:p w:rsidR="006005DF" w:rsidRPr="00CF3673" w:rsidRDefault="006005DF" w:rsidP="001E664B">
      <w:pPr>
        <w:pStyle w:val="MainText"/>
        <w:rPr>
          <w:lang w:val="pt-PT"/>
        </w:rPr>
      </w:pPr>
      <w:r w:rsidRPr="00CF3673">
        <w:rPr>
          <w:lang w:val="pt-PT"/>
        </w:rPr>
        <w:t>Finalmente, reconhecendo que este Estudo beneficiou de comentários de vários colegas e amig</w:t>
      </w:r>
      <w:r w:rsidR="00AB33B1" w:rsidRPr="00CF3673">
        <w:rPr>
          <w:lang w:val="pt-PT"/>
        </w:rPr>
        <w:t>os, a equipa que realizou este e</w:t>
      </w:r>
      <w:r w:rsidRPr="00CF3673">
        <w:rPr>
          <w:lang w:val="pt-PT"/>
        </w:rPr>
        <w:t xml:space="preserve">studo é responsável pelos erros e inadequada interpretação dos dados. </w:t>
      </w:r>
    </w:p>
    <w:p w:rsidR="00937BF3" w:rsidRPr="00CF3673" w:rsidRDefault="00937BF3">
      <w:pPr>
        <w:rPr>
          <w:b/>
          <w:u w:val="single"/>
        </w:rPr>
      </w:pPr>
      <w:r w:rsidRPr="00CF3673">
        <w:br w:type="page"/>
      </w:r>
    </w:p>
    <w:p w:rsidR="0063409C" w:rsidRPr="00CF3673" w:rsidRDefault="00386F76" w:rsidP="001E664B">
      <w:pPr>
        <w:pStyle w:val="ChapterTitle"/>
        <w:rPr>
          <w:lang w:val="pt-PT"/>
        </w:rPr>
      </w:pPr>
      <w:bookmarkStart w:id="10" w:name="_Toc360720380"/>
      <w:r w:rsidRPr="00CF3673">
        <w:rPr>
          <w:lang w:val="pt-PT"/>
        </w:rPr>
        <w:lastRenderedPageBreak/>
        <w:t xml:space="preserve">1. </w:t>
      </w:r>
      <w:r w:rsidR="0063409C" w:rsidRPr="00CF3673">
        <w:rPr>
          <w:lang w:val="pt-PT"/>
        </w:rPr>
        <w:t>Introdu</w:t>
      </w:r>
      <w:r w:rsidR="00AB33B1" w:rsidRPr="00CF3673">
        <w:rPr>
          <w:lang w:val="pt-PT"/>
        </w:rPr>
        <w:t>ção</w:t>
      </w:r>
      <w:bookmarkEnd w:id="10"/>
    </w:p>
    <w:p w:rsidR="00AB33B1" w:rsidRPr="00CF3673" w:rsidRDefault="00AB33B1" w:rsidP="00AB33B1">
      <w:pPr>
        <w:pStyle w:val="MainText"/>
        <w:spacing w:after="0" w:line="240" w:lineRule="auto"/>
        <w:rPr>
          <w:lang w:val="pt-PT"/>
        </w:rPr>
      </w:pPr>
    </w:p>
    <w:p w:rsidR="00354490" w:rsidRPr="00CF3673" w:rsidRDefault="00FB69CF" w:rsidP="001E664B">
      <w:pPr>
        <w:pStyle w:val="MainText"/>
        <w:rPr>
          <w:lang w:val="pt-PT"/>
        </w:rPr>
      </w:pPr>
      <w:r w:rsidRPr="00CF3673">
        <w:rPr>
          <w:lang w:val="pt-PT"/>
        </w:rPr>
        <w:t>Desde o fim da Guerra em 1992, Moçambique tem</w:t>
      </w:r>
      <w:r w:rsidR="00677F15" w:rsidRPr="00CF3673">
        <w:rPr>
          <w:lang w:val="pt-PT"/>
        </w:rPr>
        <w:t xml:space="preserve"> vindo</w:t>
      </w:r>
      <w:r w:rsidRPr="00CF3673">
        <w:rPr>
          <w:lang w:val="pt-PT"/>
        </w:rPr>
        <w:t xml:space="preserve"> </w:t>
      </w:r>
      <w:r w:rsidR="00B20E4D" w:rsidRPr="00CF3673">
        <w:rPr>
          <w:lang w:val="pt-PT"/>
        </w:rPr>
        <w:t>experimentar</w:t>
      </w:r>
      <w:r w:rsidRPr="00CF3673">
        <w:rPr>
          <w:lang w:val="pt-PT"/>
        </w:rPr>
        <w:t xml:space="preserve"> um forte e sustentado crescimento económico, com uma média </w:t>
      </w:r>
      <w:r w:rsidR="00677F15" w:rsidRPr="00CF3673">
        <w:rPr>
          <w:lang w:val="pt-PT"/>
        </w:rPr>
        <w:t xml:space="preserve">anual de </w:t>
      </w:r>
      <w:r w:rsidRPr="00CF3673">
        <w:rPr>
          <w:lang w:val="pt-PT"/>
        </w:rPr>
        <w:t>7% (veja po</w:t>
      </w:r>
      <w:r w:rsidR="00677F15" w:rsidRPr="00CF3673">
        <w:rPr>
          <w:lang w:val="pt-PT"/>
        </w:rPr>
        <w:t xml:space="preserve">r exemplo KPMG, 2011). Depois da colheita de poucos frutos </w:t>
      </w:r>
      <w:r w:rsidRPr="00CF3673">
        <w:rPr>
          <w:lang w:val="pt-PT"/>
        </w:rPr>
        <w:t>do período de reconstrução pós-guerra,</w:t>
      </w:r>
      <w:r w:rsidR="00677F15" w:rsidRPr="00CF3673">
        <w:rPr>
          <w:lang w:val="pt-PT"/>
        </w:rPr>
        <w:t xml:space="preserve"> o </w:t>
      </w:r>
      <w:r w:rsidRPr="00CF3673">
        <w:rPr>
          <w:lang w:val="pt-PT"/>
        </w:rPr>
        <w:t>crescimento</w:t>
      </w:r>
      <w:r w:rsidR="00677F15" w:rsidRPr="00CF3673">
        <w:rPr>
          <w:lang w:val="pt-PT"/>
        </w:rPr>
        <w:t xml:space="preserve"> económico</w:t>
      </w:r>
      <w:r w:rsidRPr="00CF3673">
        <w:rPr>
          <w:lang w:val="pt-PT"/>
        </w:rPr>
        <w:t xml:space="preserve"> tem sido </w:t>
      </w:r>
      <w:r w:rsidR="00B20E4D" w:rsidRPr="00CF3673">
        <w:rPr>
          <w:lang w:val="pt-PT"/>
        </w:rPr>
        <w:t>influenciado</w:t>
      </w:r>
      <w:r w:rsidR="00677F15" w:rsidRPr="00CF3673">
        <w:rPr>
          <w:lang w:val="pt-PT"/>
        </w:rPr>
        <w:t xml:space="preserve"> sobretudo</w:t>
      </w:r>
      <w:r w:rsidRPr="00CF3673">
        <w:rPr>
          <w:lang w:val="pt-PT"/>
        </w:rPr>
        <w:t xml:space="preserve"> pelo investimento</w:t>
      </w:r>
      <w:r w:rsidR="00677F15" w:rsidRPr="00CF3673">
        <w:rPr>
          <w:lang w:val="pt-PT"/>
        </w:rPr>
        <w:t xml:space="preserve"> estrangeiro através dos chamados-</w:t>
      </w:r>
      <w:r w:rsidRPr="00CF3673">
        <w:rPr>
          <w:lang w:val="pt-PT"/>
        </w:rPr>
        <w:t xml:space="preserve"> </w:t>
      </w:r>
      <w:r w:rsidR="00354490" w:rsidRPr="00CF3673">
        <w:rPr>
          <w:lang w:val="pt-PT"/>
        </w:rPr>
        <w:t>megaprojectos</w:t>
      </w:r>
      <w:r w:rsidRPr="00CF3673">
        <w:rPr>
          <w:lang w:val="pt-PT"/>
        </w:rPr>
        <w:t xml:space="preserve"> (grandes, de capital-intensivo</w:t>
      </w:r>
      <w:r w:rsidR="00354490" w:rsidRPr="00CF3673">
        <w:rPr>
          <w:lang w:val="pt-PT"/>
        </w:rPr>
        <w:t xml:space="preserve"> e detido pelo capital estrangeiro</w:t>
      </w:r>
      <w:r w:rsidRPr="00CF3673">
        <w:rPr>
          <w:lang w:val="pt-PT"/>
        </w:rPr>
        <w:t>)</w:t>
      </w:r>
      <w:r w:rsidR="00354490" w:rsidRPr="00CF3673">
        <w:rPr>
          <w:lang w:val="pt-PT"/>
        </w:rPr>
        <w:t xml:space="preserve"> e </w:t>
      </w:r>
      <w:r w:rsidR="00677F15" w:rsidRPr="00CF3673">
        <w:rPr>
          <w:lang w:val="pt-PT"/>
        </w:rPr>
        <w:t xml:space="preserve">estes </w:t>
      </w:r>
      <w:r w:rsidR="00354490" w:rsidRPr="00CF3673">
        <w:rPr>
          <w:lang w:val="pt-PT"/>
        </w:rPr>
        <w:t>não t</w:t>
      </w:r>
      <w:r w:rsidR="00677F15" w:rsidRPr="00CF3673">
        <w:rPr>
          <w:lang w:val="pt-PT"/>
        </w:rPr>
        <w:t>ê</w:t>
      </w:r>
      <w:r w:rsidR="00354490" w:rsidRPr="00CF3673">
        <w:rPr>
          <w:lang w:val="pt-PT"/>
        </w:rPr>
        <w:t>m sido acompanhado</w:t>
      </w:r>
      <w:r w:rsidR="00677F15" w:rsidRPr="00CF3673">
        <w:rPr>
          <w:lang w:val="pt-PT"/>
        </w:rPr>
        <w:t>s</w:t>
      </w:r>
      <w:r w:rsidR="00354490" w:rsidRPr="00CF3673">
        <w:rPr>
          <w:lang w:val="pt-PT"/>
        </w:rPr>
        <w:t xml:space="preserve"> por uma transformação estrutural (Jones e </w:t>
      </w:r>
      <w:proofErr w:type="spellStart"/>
      <w:r w:rsidR="00354490" w:rsidRPr="00CF3673">
        <w:rPr>
          <w:lang w:val="pt-PT"/>
        </w:rPr>
        <w:t>Tarp</w:t>
      </w:r>
      <w:proofErr w:type="spellEnd"/>
      <w:r w:rsidR="00354490" w:rsidRPr="00CF3673">
        <w:rPr>
          <w:lang w:val="pt-PT"/>
        </w:rPr>
        <w:t xml:space="preserve">, 2012; </w:t>
      </w:r>
      <w:r w:rsidR="003B0F70" w:rsidRPr="00CF3673">
        <w:rPr>
          <w:lang w:val="pt-PT"/>
        </w:rPr>
        <w:t xml:space="preserve">2012). </w:t>
      </w:r>
      <w:r w:rsidR="00354490" w:rsidRPr="00CF3673">
        <w:rPr>
          <w:lang w:val="pt-PT"/>
        </w:rPr>
        <w:t xml:space="preserve">Depois da guerra, paz e a estabilidade </w:t>
      </w:r>
      <w:r w:rsidR="00677F15" w:rsidRPr="00CF3673">
        <w:rPr>
          <w:lang w:val="pt-PT"/>
        </w:rPr>
        <w:t>Moçambique conseguiu com</w:t>
      </w:r>
      <w:r w:rsidR="00354490" w:rsidRPr="00CF3673">
        <w:rPr>
          <w:lang w:val="pt-PT"/>
        </w:rPr>
        <w:t xml:space="preserve"> sucesso </w:t>
      </w:r>
      <w:r w:rsidR="00EA10AC" w:rsidRPr="00CF3673">
        <w:rPr>
          <w:lang w:val="pt-PT"/>
        </w:rPr>
        <w:t>reduzir a pobreza, mas estes</w:t>
      </w:r>
      <w:r w:rsidR="00354490" w:rsidRPr="00CF3673">
        <w:rPr>
          <w:lang w:val="pt-PT"/>
        </w:rPr>
        <w:t xml:space="preserve"> registos não t</w:t>
      </w:r>
      <w:r w:rsidR="00EA10AC" w:rsidRPr="00CF3673">
        <w:rPr>
          <w:lang w:val="pt-PT"/>
        </w:rPr>
        <w:t>ê</w:t>
      </w:r>
      <w:r w:rsidR="00354490" w:rsidRPr="00CF3673">
        <w:rPr>
          <w:lang w:val="pt-PT"/>
        </w:rPr>
        <w:t>m sido impressionante</w:t>
      </w:r>
      <w:r w:rsidR="00EA10AC" w:rsidRPr="00CF3673">
        <w:rPr>
          <w:lang w:val="pt-PT"/>
        </w:rPr>
        <w:t>s no novo milénio</w:t>
      </w:r>
      <w:r w:rsidR="00354490" w:rsidRPr="00CF3673">
        <w:rPr>
          <w:lang w:val="pt-PT"/>
        </w:rPr>
        <w:t xml:space="preserve">. De acordo com a Terceira Avaliação sobre Pobreza (DNEAP, 2010), a pobreza reduziu substancialmente entre 1996 a 2002 e desde então estagnou </w:t>
      </w:r>
      <w:r w:rsidR="003B0F70" w:rsidRPr="00CF3673">
        <w:rPr>
          <w:lang w:val="pt-PT"/>
        </w:rPr>
        <w:t xml:space="preserve">e tem estado </w:t>
      </w:r>
      <w:r w:rsidR="00354490" w:rsidRPr="00CF3673">
        <w:rPr>
          <w:lang w:val="pt-PT"/>
        </w:rPr>
        <w:t>a volta d</w:t>
      </w:r>
      <w:r w:rsidR="003B0F70" w:rsidRPr="00CF3673">
        <w:rPr>
          <w:lang w:val="pt-PT"/>
        </w:rPr>
        <w:t>e</w:t>
      </w:r>
      <w:r w:rsidR="00354490" w:rsidRPr="00CF3673">
        <w:rPr>
          <w:lang w:val="pt-PT"/>
        </w:rPr>
        <w:t xml:space="preserve"> 55% da população.</w:t>
      </w:r>
    </w:p>
    <w:p w:rsidR="00354490" w:rsidRPr="00CF3673" w:rsidRDefault="00354490" w:rsidP="001E664B">
      <w:pPr>
        <w:pStyle w:val="MainText"/>
        <w:rPr>
          <w:lang w:val="pt-PT"/>
        </w:rPr>
      </w:pPr>
      <w:r w:rsidRPr="00CF3673">
        <w:rPr>
          <w:lang w:val="pt-PT"/>
        </w:rPr>
        <w:t>Assim, Moçambique enfrenta três desafios importantes: (i) diversificar a sua economia, (ii) iniciar um processo de transformação estrutural e (iii) e atingir ganhos consideráveis nos padrões d</w:t>
      </w:r>
      <w:r w:rsidR="003B0F70" w:rsidRPr="00CF3673">
        <w:rPr>
          <w:lang w:val="pt-PT"/>
        </w:rPr>
        <w:t>e</w:t>
      </w:r>
      <w:r w:rsidRPr="00CF3673">
        <w:rPr>
          <w:lang w:val="pt-PT"/>
        </w:rPr>
        <w:t xml:space="preserve"> qualidade de vida. Com a agricultura, a indústria (incluindo a manufact</w:t>
      </w:r>
      <w:r w:rsidR="003B0F70" w:rsidRPr="00CF3673">
        <w:rPr>
          <w:lang w:val="pt-PT"/>
        </w:rPr>
        <w:t>ureira) joga um papel central na</w:t>
      </w:r>
      <w:r w:rsidRPr="00CF3673">
        <w:rPr>
          <w:lang w:val="pt-PT"/>
        </w:rPr>
        <w:t xml:space="preserve"> respo</w:t>
      </w:r>
      <w:r w:rsidR="003B0F70" w:rsidRPr="00CF3673">
        <w:rPr>
          <w:lang w:val="pt-PT"/>
        </w:rPr>
        <w:t>sta</w:t>
      </w:r>
      <w:r w:rsidRPr="00CF3673">
        <w:rPr>
          <w:lang w:val="pt-PT"/>
        </w:rPr>
        <w:t xml:space="preserve"> a estes </w:t>
      </w:r>
      <w:r w:rsidR="003B0F70" w:rsidRPr="00CF3673">
        <w:rPr>
          <w:lang w:val="pt-PT"/>
        </w:rPr>
        <w:t xml:space="preserve">desafios. </w:t>
      </w:r>
      <w:r w:rsidR="00ED2EEC" w:rsidRPr="00CF3673">
        <w:rPr>
          <w:lang w:val="pt-PT"/>
        </w:rPr>
        <w:t>Este facto é reconhecido pelo Governo de Moçambique n</w:t>
      </w:r>
      <w:r w:rsidR="003B0F70" w:rsidRPr="00CF3673">
        <w:rPr>
          <w:lang w:val="pt-PT"/>
        </w:rPr>
        <w:t>a sua Estratégia da</w:t>
      </w:r>
      <w:r w:rsidR="00ED2EEC" w:rsidRPr="00CF3673">
        <w:rPr>
          <w:lang w:val="pt-PT"/>
        </w:rPr>
        <w:t xml:space="preserve"> Política Industrial (Governo de Moçambique; </w:t>
      </w:r>
      <w:proofErr w:type="spellStart"/>
      <w:r w:rsidR="00ED2EEC" w:rsidRPr="00CF3673">
        <w:rPr>
          <w:lang w:val="pt-PT"/>
        </w:rPr>
        <w:t>GdM</w:t>
      </w:r>
      <w:proofErr w:type="spellEnd"/>
      <w:r w:rsidR="00ED2EEC" w:rsidRPr="00CF3673">
        <w:rPr>
          <w:lang w:val="pt-PT"/>
        </w:rPr>
        <w:t xml:space="preserve">, 2007b), </w:t>
      </w:r>
      <w:r w:rsidR="003B0F70" w:rsidRPr="00CF3673">
        <w:rPr>
          <w:lang w:val="pt-PT"/>
        </w:rPr>
        <w:t xml:space="preserve">pelo </w:t>
      </w:r>
      <w:r w:rsidR="00ED2EEC" w:rsidRPr="00CF3673">
        <w:rPr>
          <w:lang w:val="pt-PT"/>
        </w:rPr>
        <w:t>Plano de Acção de Redução da Pobreza 2011-2014 (</w:t>
      </w:r>
      <w:proofErr w:type="spellStart"/>
      <w:r w:rsidR="00ED2EEC" w:rsidRPr="00CF3673">
        <w:rPr>
          <w:lang w:val="pt-PT"/>
        </w:rPr>
        <w:t>GdM</w:t>
      </w:r>
      <w:proofErr w:type="spellEnd"/>
      <w:r w:rsidR="00ED2EEC" w:rsidRPr="00CF3673">
        <w:rPr>
          <w:lang w:val="pt-PT"/>
        </w:rPr>
        <w:t>, 2011) e pelo Plano Económico e Social (</w:t>
      </w:r>
      <w:proofErr w:type="spellStart"/>
      <w:r w:rsidR="00ED2EEC" w:rsidRPr="00CF3673">
        <w:rPr>
          <w:lang w:val="pt-PT"/>
        </w:rPr>
        <w:t>GdM</w:t>
      </w:r>
      <w:proofErr w:type="spellEnd"/>
      <w:r w:rsidR="00ED2EEC" w:rsidRPr="00CF3673">
        <w:rPr>
          <w:lang w:val="pt-PT"/>
        </w:rPr>
        <w:t>, 2010).</w:t>
      </w:r>
    </w:p>
    <w:p w:rsidR="00ED2EEC" w:rsidRPr="00CF3673" w:rsidRDefault="00ED2EEC" w:rsidP="001E664B">
      <w:pPr>
        <w:pStyle w:val="MainText"/>
        <w:rPr>
          <w:lang w:val="pt-PT"/>
        </w:rPr>
      </w:pPr>
      <w:r w:rsidRPr="00CF3673">
        <w:rPr>
          <w:lang w:val="pt-PT"/>
        </w:rPr>
        <w:t>Existe um claro papel do sector manufactureiro para economia moçambicana, mas q</w:t>
      </w:r>
      <w:r w:rsidR="00C4744E" w:rsidRPr="00CF3673">
        <w:rPr>
          <w:lang w:val="pt-PT"/>
        </w:rPr>
        <w:t xml:space="preserve">ual é o desempenho do sector? A produção do sector manufactureiro </w:t>
      </w:r>
      <w:r w:rsidRPr="00CF3673">
        <w:rPr>
          <w:lang w:val="pt-PT"/>
        </w:rPr>
        <w:t>foi notável de 2000 até 2006, em parte devido a</w:t>
      </w:r>
      <w:r w:rsidR="00C4744E" w:rsidRPr="00CF3673">
        <w:rPr>
          <w:lang w:val="pt-PT"/>
        </w:rPr>
        <w:t xml:space="preserve"> grande contribuição da</w:t>
      </w:r>
      <w:r w:rsidRPr="00CF3673">
        <w:rPr>
          <w:lang w:val="pt-PT"/>
        </w:rPr>
        <w:t xml:space="preserve"> empresa de fundição de alumínio Mozal, um dos projectos que emprega cerca de 1,200 trabalhadores e representa 75% da produção no sector bem como 50% do total das exportações</w:t>
      </w:r>
      <w:r w:rsidRPr="00CF3673">
        <w:rPr>
          <w:rStyle w:val="FootnoteReference"/>
          <w:lang w:val="pt-PT"/>
        </w:rPr>
        <w:footnoteReference w:id="1"/>
      </w:r>
      <w:r w:rsidR="00E31B5D" w:rsidRPr="00CF3673">
        <w:rPr>
          <w:lang w:val="pt-PT"/>
        </w:rPr>
        <w:t>. Vinte anos após a guerra, a industria manu</w:t>
      </w:r>
      <w:r w:rsidR="00C4744E" w:rsidRPr="00CF3673">
        <w:rPr>
          <w:lang w:val="pt-PT"/>
        </w:rPr>
        <w:t>factureira ainda emprega 2.8% do total da</w:t>
      </w:r>
      <w:r w:rsidR="00E31B5D" w:rsidRPr="00CF3673">
        <w:rPr>
          <w:lang w:val="pt-PT"/>
        </w:rPr>
        <w:t xml:space="preserve"> força laboral (Jones e </w:t>
      </w:r>
      <w:proofErr w:type="spellStart"/>
      <w:r w:rsidR="00E31B5D" w:rsidRPr="00CF3673">
        <w:rPr>
          <w:lang w:val="pt-PT"/>
        </w:rPr>
        <w:t>Tarp</w:t>
      </w:r>
      <w:proofErr w:type="spellEnd"/>
      <w:r w:rsidR="00E31B5D" w:rsidRPr="00CF3673">
        <w:rPr>
          <w:lang w:val="pt-PT"/>
        </w:rPr>
        <w:t xml:space="preserve">, 2012), </w:t>
      </w:r>
      <w:r w:rsidR="00C4744E" w:rsidRPr="00CF3673">
        <w:rPr>
          <w:lang w:val="pt-PT"/>
        </w:rPr>
        <w:t>introduziu poucos novos produtos</w:t>
      </w:r>
      <w:r w:rsidR="00E31B5D" w:rsidRPr="00CF3673">
        <w:rPr>
          <w:lang w:val="pt-PT"/>
        </w:rPr>
        <w:t xml:space="preserve"> na última metade do século (Castelo-Branco, 2010) e tem crescido (excluindo Mozal) a uma taxa baixa do que o resto da economia na última década (KPMG, 2011)</w:t>
      </w:r>
      <w:r w:rsidR="00C4744E" w:rsidRPr="00CF3673">
        <w:rPr>
          <w:lang w:val="pt-PT"/>
        </w:rPr>
        <w:t>.</w:t>
      </w:r>
      <w:r w:rsidR="00E31B5D" w:rsidRPr="00CF3673">
        <w:rPr>
          <w:lang w:val="pt-PT"/>
        </w:rPr>
        <w:t xml:space="preserve"> </w:t>
      </w:r>
    </w:p>
    <w:p w:rsidR="00E31B5D" w:rsidRPr="00CF3673" w:rsidRDefault="00E31B5D" w:rsidP="001E664B">
      <w:pPr>
        <w:pStyle w:val="MainText"/>
        <w:rPr>
          <w:lang w:val="pt-PT"/>
        </w:rPr>
      </w:pPr>
      <w:r w:rsidRPr="00CF3673">
        <w:rPr>
          <w:lang w:val="pt-PT"/>
        </w:rPr>
        <w:t xml:space="preserve">Estudos anteriores sobre o sector da indústria manufactureira em Moçambique sugerem </w:t>
      </w:r>
      <w:r w:rsidR="00F40A6B" w:rsidRPr="00CF3673">
        <w:rPr>
          <w:lang w:val="pt-PT"/>
        </w:rPr>
        <w:t>que o se</w:t>
      </w:r>
      <w:r w:rsidR="00C4744E" w:rsidRPr="00CF3673">
        <w:rPr>
          <w:lang w:val="pt-PT"/>
        </w:rPr>
        <w:t>ctor tem estado a experimentar um</w:t>
      </w:r>
      <w:r w:rsidR="00F40A6B" w:rsidRPr="00CF3673">
        <w:rPr>
          <w:lang w:val="pt-PT"/>
        </w:rPr>
        <w:t xml:space="preserve"> enfraquecimento da base tecnológica e de </w:t>
      </w:r>
      <w:r w:rsidR="00C4744E" w:rsidRPr="00CF3673">
        <w:rPr>
          <w:lang w:val="pt-PT"/>
        </w:rPr>
        <w:t>capacidade</w:t>
      </w:r>
      <w:r w:rsidR="00F40A6B" w:rsidRPr="00CF3673">
        <w:rPr>
          <w:lang w:val="pt-PT"/>
        </w:rPr>
        <w:t xml:space="preserve"> (</w:t>
      </w:r>
      <w:proofErr w:type="spellStart"/>
      <w:r w:rsidR="00F40A6B" w:rsidRPr="00CF3673">
        <w:rPr>
          <w:lang w:val="pt-PT"/>
        </w:rPr>
        <w:t>Warren</w:t>
      </w:r>
      <w:proofErr w:type="spellEnd"/>
      <w:r w:rsidR="00F40A6B" w:rsidRPr="00CF3673">
        <w:rPr>
          <w:lang w:val="pt-PT"/>
        </w:rPr>
        <w:t xml:space="preserve">-Rodrigues, 2010) e que o crescimento da produtividade que foi alcançado é devido a grande capacidade </w:t>
      </w:r>
      <w:r w:rsidR="00F40A6B" w:rsidRPr="00CF3673">
        <w:rPr>
          <w:lang w:val="pt-PT"/>
        </w:rPr>
        <w:lastRenderedPageBreak/>
        <w:t xml:space="preserve">de utilização (Bila e Rand, 2001). Mais ainda, </w:t>
      </w:r>
      <w:proofErr w:type="spellStart"/>
      <w:r w:rsidR="00F40A6B" w:rsidRPr="00CF3673">
        <w:rPr>
          <w:lang w:val="pt-PT"/>
        </w:rPr>
        <w:t>Krause</w:t>
      </w:r>
      <w:proofErr w:type="spellEnd"/>
      <w:r w:rsidR="00F40A6B" w:rsidRPr="00CF3673">
        <w:rPr>
          <w:lang w:val="pt-PT"/>
        </w:rPr>
        <w:t xml:space="preserve"> e </w:t>
      </w:r>
      <w:proofErr w:type="spellStart"/>
      <w:r w:rsidR="00F40A6B" w:rsidRPr="00CF3673">
        <w:rPr>
          <w:lang w:val="pt-PT"/>
        </w:rPr>
        <w:t>Kaufmann</w:t>
      </w:r>
      <w:proofErr w:type="spellEnd"/>
      <w:r w:rsidR="00F40A6B" w:rsidRPr="00CF3673">
        <w:rPr>
          <w:lang w:val="pt-PT"/>
        </w:rPr>
        <w:t xml:space="preserve"> (2011) no seu trabalho investigativo sob</w:t>
      </w:r>
      <w:r w:rsidR="00DF4B9F" w:rsidRPr="00CF3673">
        <w:rPr>
          <w:lang w:val="pt-PT"/>
        </w:rPr>
        <w:t>r</w:t>
      </w:r>
      <w:r w:rsidR="00F40A6B" w:rsidRPr="00CF3673">
        <w:rPr>
          <w:lang w:val="pt-PT"/>
        </w:rPr>
        <w:t>e a Política Industrial em Moçambique sublinham a necessidade d</w:t>
      </w:r>
      <w:r w:rsidR="00DF4B9F" w:rsidRPr="00CF3673">
        <w:rPr>
          <w:lang w:val="pt-PT"/>
        </w:rPr>
        <w:t>a</w:t>
      </w:r>
      <w:r w:rsidR="00F40A6B" w:rsidRPr="00CF3673">
        <w:rPr>
          <w:lang w:val="pt-PT"/>
        </w:rPr>
        <w:t xml:space="preserve"> melhorar</w:t>
      </w:r>
      <w:r w:rsidR="00DF4B9F" w:rsidRPr="00CF3673">
        <w:rPr>
          <w:lang w:val="pt-PT"/>
        </w:rPr>
        <w:t xml:space="preserve"> substancial</w:t>
      </w:r>
      <w:r w:rsidR="00F40A6B" w:rsidRPr="00CF3673">
        <w:rPr>
          <w:lang w:val="pt-PT"/>
        </w:rPr>
        <w:t xml:space="preserve"> </w:t>
      </w:r>
      <w:r w:rsidR="00DF4B9F" w:rsidRPr="00CF3673">
        <w:rPr>
          <w:lang w:val="pt-PT"/>
        </w:rPr>
        <w:t>n</w:t>
      </w:r>
      <w:r w:rsidR="00F40A6B" w:rsidRPr="00CF3673">
        <w:rPr>
          <w:lang w:val="pt-PT"/>
        </w:rPr>
        <w:t xml:space="preserve">o desenho e implementação das políticas industriais. </w:t>
      </w:r>
    </w:p>
    <w:p w:rsidR="00F40A6B" w:rsidRPr="00CF3673" w:rsidRDefault="00F40A6B" w:rsidP="001E664B">
      <w:pPr>
        <w:pStyle w:val="MainText"/>
        <w:rPr>
          <w:lang w:val="pt-PT"/>
        </w:rPr>
      </w:pPr>
      <w:r w:rsidRPr="00CF3673">
        <w:rPr>
          <w:lang w:val="pt-PT"/>
        </w:rPr>
        <w:t xml:space="preserve">A descoberta de grandes quantidades de carvão mineral em Tete e </w:t>
      </w:r>
      <w:r w:rsidR="00BB0316" w:rsidRPr="00CF3673">
        <w:rPr>
          <w:lang w:val="pt-PT"/>
        </w:rPr>
        <w:t xml:space="preserve">de </w:t>
      </w:r>
      <w:r w:rsidRPr="00CF3673">
        <w:rPr>
          <w:lang w:val="pt-PT"/>
        </w:rPr>
        <w:t>Gás na Bacio de Cabo Delgado irá transformar</w:t>
      </w:r>
      <w:r w:rsidR="00BB0316" w:rsidRPr="00CF3673">
        <w:rPr>
          <w:lang w:val="pt-PT"/>
        </w:rPr>
        <w:t xml:space="preserve"> fundamentalmente</w:t>
      </w:r>
      <w:r w:rsidRPr="00CF3673">
        <w:rPr>
          <w:lang w:val="pt-PT"/>
        </w:rPr>
        <w:t xml:space="preserve"> a economia moçambicana nas próximas décadas. Dependendo das medidas de </w:t>
      </w:r>
      <w:r w:rsidR="00BB2346" w:rsidRPr="00CF3673">
        <w:rPr>
          <w:lang w:val="pt-PT"/>
        </w:rPr>
        <w:t>políticas</w:t>
      </w:r>
      <w:r w:rsidRPr="00CF3673">
        <w:rPr>
          <w:lang w:val="pt-PT"/>
        </w:rPr>
        <w:t xml:space="preserve"> tomadas, </w:t>
      </w:r>
      <w:r w:rsidR="00BB0316" w:rsidRPr="00CF3673">
        <w:rPr>
          <w:lang w:val="pt-PT"/>
        </w:rPr>
        <w:t xml:space="preserve">estas </w:t>
      </w:r>
      <w:r w:rsidRPr="00CF3673">
        <w:rPr>
          <w:lang w:val="pt-PT"/>
        </w:rPr>
        <w:t>irão colocar enormes desafios em termos de potencia</w:t>
      </w:r>
      <w:r w:rsidR="00BB2346" w:rsidRPr="00CF3673">
        <w:rPr>
          <w:lang w:val="pt-PT"/>
        </w:rPr>
        <w:t>is</w:t>
      </w:r>
      <w:r w:rsidRPr="00CF3673">
        <w:rPr>
          <w:lang w:val="pt-PT"/>
        </w:rPr>
        <w:t xml:space="preserve"> problemas</w:t>
      </w:r>
      <w:r w:rsidR="00BB0316" w:rsidRPr="00CF3673">
        <w:rPr>
          <w:lang w:val="pt-PT"/>
        </w:rPr>
        <w:t xml:space="preserve"> relacionados com a </w:t>
      </w:r>
      <w:r w:rsidR="00BB0316" w:rsidRPr="00CF3673">
        <w:rPr>
          <w:i/>
          <w:lang w:val="pt-PT"/>
        </w:rPr>
        <w:t>doença holandesa</w:t>
      </w:r>
      <w:r w:rsidRPr="00CF3673">
        <w:rPr>
          <w:lang w:val="pt-PT"/>
        </w:rPr>
        <w:t xml:space="preserve">, o que possivelmente poderá comprometer a competitividade do sector </w:t>
      </w:r>
      <w:r w:rsidR="00BB2346" w:rsidRPr="00CF3673">
        <w:rPr>
          <w:lang w:val="pt-PT"/>
        </w:rPr>
        <w:t xml:space="preserve">manufactureiro. Com estas questões a emergirem no horizonte, </w:t>
      </w:r>
      <w:r w:rsidR="00BB0316" w:rsidRPr="00CF3673">
        <w:rPr>
          <w:lang w:val="pt-PT"/>
        </w:rPr>
        <w:t xml:space="preserve">mais do que nunca </w:t>
      </w:r>
      <w:r w:rsidR="00BB2346" w:rsidRPr="00CF3673">
        <w:rPr>
          <w:lang w:val="pt-PT"/>
        </w:rPr>
        <w:t>é importante compreender as dinâmicas e os desafios que</w:t>
      </w:r>
      <w:r w:rsidR="008D034F" w:rsidRPr="00CF3673">
        <w:rPr>
          <w:lang w:val="pt-PT"/>
        </w:rPr>
        <w:t xml:space="preserve"> as empresas manufactureiras em Moçambique</w:t>
      </w:r>
      <w:r w:rsidR="00BB2346" w:rsidRPr="00CF3673">
        <w:rPr>
          <w:lang w:val="pt-PT"/>
        </w:rPr>
        <w:t xml:space="preserve"> enfrenta</w:t>
      </w:r>
      <w:r w:rsidR="00BB0316" w:rsidRPr="00CF3673">
        <w:rPr>
          <w:lang w:val="pt-PT"/>
        </w:rPr>
        <w:t>m</w:t>
      </w:r>
      <w:r w:rsidR="00BB2346" w:rsidRPr="00CF3673">
        <w:rPr>
          <w:lang w:val="pt-PT"/>
        </w:rPr>
        <w:t>. Felizmente, este é o propósito deste documento.</w:t>
      </w:r>
      <w:r w:rsidRPr="00CF3673">
        <w:rPr>
          <w:lang w:val="pt-PT"/>
        </w:rPr>
        <w:t xml:space="preserve">  </w:t>
      </w:r>
    </w:p>
    <w:p w:rsidR="00BB2346" w:rsidRPr="00CF3673" w:rsidRDefault="00BB2346" w:rsidP="001E664B">
      <w:pPr>
        <w:pStyle w:val="MainText"/>
        <w:rPr>
          <w:lang w:val="pt-PT"/>
        </w:rPr>
      </w:pPr>
      <w:r w:rsidRPr="00CF3673">
        <w:rPr>
          <w:lang w:val="pt-PT"/>
        </w:rPr>
        <w:t xml:space="preserve">Este relatório descreve o sector da </w:t>
      </w:r>
      <w:r w:rsidR="00040C6D" w:rsidRPr="00CF3673">
        <w:rPr>
          <w:lang w:val="pt-PT"/>
        </w:rPr>
        <w:t>indústria</w:t>
      </w:r>
      <w:r w:rsidRPr="00CF3673">
        <w:rPr>
          <w:lang w:val="pt-PT"/>
        </w:rPr>
        <w:t xml:space="preserve"> manufactureira em Moçambique usando a nova base de dados de cerca de 761 </w:t>
      </w:r>
      <w:r w:rsidR="00F73F26" w:rsidRPr="00CF3673">
        <w:rPr>
          <w:lang w:val="pt-PT"/>
        </w:rPr>
        <w:t>m</w:t>
      </w:r>
      <w:r w:rsidRPr="00CF3673">
        <w:rPr>
          <w:lang w:val="pt-PT"/>
        </w:rPr>
        <w:t xml:space="preserve">icro, </w:t>
      </w:r>
      <w:r w:rsidR="00F73F26" w:rsidRPr="00CF3673">
        <w:rPr>
          <w:lang w:val="pt-PT"/>
        </w:rPr>
        <w:t>p</w:t>
      </w:r>
      <w:r w:rsidRPr="00CF3673">
        <w:rPr>
          <w:lang w:val="pt-PT"/>
        </w:rPr>
        <w:t xml:space="preserve">equenas e </w:t>
      </w:r>
      <w:r w:rsidR="00F73F26" w:rsidRPr="00CF3673">
        <w:rPr>
          <w:lang w:val="pt-PT"/>
        </w:rPr>
        <w:t>m</w:t>
      </w:r>
      <w:r w:rsidRPr="00CF3673">
        <w:rPr>
          <w:lang w:val="pt-PT"/>
        </w:rPr>
        <w:t xml:space="preserve">édia </w:t>
      </w:r>
      <w:r w:rsidR="00F73F26" w:rsidRPr="00CF3673">
        <w:rPr>
          <w:lang w:val="pt-PT"/>
        </w:rPr>
        <w:t>e</w:t>
      </w:r>
      <w:r w:rsidRPr="00CF3673">
        <w:rPr>
          <w:lang w:val="pt-PT"/>
        </w:rPr>
        <w:t xml:space="preserve">mpresas operando em Moçambique. </w:t>
      </w:r>
      <w:r w:rsidR="00F73F26" w:rsidRPr="00CF3673">
        <w:rPr>
          <w:lang w:val="pt-PT"/>
        </w:rPr>
        <w:t xml:space="preserve">Estas </w:t>
      </w:r>
      <w:r w:rsidRPr="00CF3673">
        <w:rPr>
          <w:lang w:val="pt-PT"/>
        </w:rPr>
        <w:t>empresas estão localizadas nas grandes cidades de 7 províncias (</w:t>
      </w:r>
      <w:r w:rsidR="00040C6D" w:rsidRPr="00CF3673">
        <w:rPr>
          <w:lang w:val="pt-PT"/>
        </w:rPr>
        <w:t>Cidade de Maputo, Gaza, Sofala, Manica, Tete e Nampula</w:t>
      </w:r>
      <w:r w:rsidRPr="00CF3673">
        <w:rPr>
          <w:lang w:val="pt-PT"/>
        </w:rPr>
        <w:t>)</w:t>
      </w:r>
      <w:r w:rsidR="00040C6D" w:rsidRPr="00CF3673">
        <w:rPr>
          <w:lang w:val="pt-PT"/>
        </w:rPr>
        <w:t xml:space="preserve"> e compreende empresas tanto do sector informal bem como o sector formal. Das empresas entrevistadas, 216 já tinham sido entrevistadas nos dois inquéritos </w:t>
      </w:r>
      <w:r w:rsidR="00F73F26" w:rsidRPr="00CF3673">
        <w:rPr>
          <w:lang w:val="pt-PT"/>
        </w:rPr>
        <w:t>anteriores (</w:t>
      </w:r>
      <w:r w:rsidR="00040C6D" w:rsidRPr="00CF3673">
        <w:rPr>
          <w:lang w:val="pt-PT"/>
        </w:rPr>
        <w:t xml:space="preserve">o DNEAP- Inquérito às Empresas de 2006/ou os dados do ICA de 2009). </w:t>
      </w:r>
    </w:p>
    <w:p w:rsidR="00A8088D" w:rsidRPr="00CF3673" w:rsidRDefault="00FF1B6F" w:rsidP="001E664B">
      <w:pPr>
        <w:pStyle w:val="MainText"/>
        <w:rPr>
          <w:lang w:val="pt-PT"/>
        </w:rPr>
      </w:pPr>
      <w:r w:rsidRPr="00CF3673">
        <w:rPr>
          <w:lang w:val="pt-PT"/>
        </w:rPr>
        <w:t xml:space="preserve">Este </w:t>
      </w:r>
      <w:r w:rsidR="00040C6D" w:rsidRPr="00CF3673">
        <w:rPr>
          <w:lang w:val="pt-PT"/>
        </w:rPr>
        <w:t>inquérito tem dois</w:t>
      </w:r>
      <w:r w:rsidR="00124F06" w:rsidRPr="00CF3673">
        <w:rPr>
          <w:lang w:val="pt-PT"/>
        </w:rPr>
        <w:t xml:space="preserve"> objectivos</w:t>
      </w:r>
      <w:r w:rsidR="00040C6D" w:rsidRPr="00CF3673">
        <w:rPr>
          <w:lang w:val="pt-PT"/>
        </w:rPr>
        <w:t xml:space="preserve"> principais:</w:t>
      </w:r>
      <w:r w:rsidR="00A8088D" w:rsidRPr="00CF3673">
        <w:rPr>
          <w:lang w:val="pt-PT"/>
        </w:rPr>
        <w:t xml:space="preserve"> fazer seguimento das empresas inqueridas anteriormente por forma a ter ideia </w:t>
      </w:r>
      <w:r w:rsidR="00124F06" w:rsidRPr="00CF3673">
        <w:rPr>
          <w:lang w:val="pt-PT"/>
        </w:rPr>
        <w:t xml:space="preserve">sobre </w:t>
      </w:r>
      <w:r w:rsidR="00A8088D" w:rsidRPr="00CF3673">
        <w:rPr>
          <w:lang w:val="pt-PT"/>
        </w:rPr>
        <w:t>a sua taxa de sobrevivência e obter uma amostra representativa das PME</w:t>
      </w:r>
      <w:r w:rsidR="00124F06" w:rsidRPr="00CF3673">
        <w:rPr>
          <w:lang w:val="pt-PT"/>
        </w:rPr>
        <w:t>s</w:t>
      </w:r>
      <w:r w:rsidR="00A8088D" w:rsidRPr="00CF3673">
        <w:rPr>
          <w:lang w:val="pt-PT"/>
        </w:rPr>
        <w:t xml:space="preserve"> do sector manufactureiro. Pela sua natureza, o inquérito faz uma análise retrocedida, ou seja o passado. O IIM 2012 não inclui empresas que iniciaram operações depois de 2009. Isto pode ser importante, porque há desenvolvimentos recentes no sector manufactureiro em Moçambique, que não seria possível fazer a cobertura. Um exemplo claro </w:t>
      </w:r>
      <w:r w:rsidR="00CD39C5" w:rsidRPr="00CF3673">
        <w:rPr>
          <w:lang w:val="pt-PT"/>
        </w:rPr>
        <w:t>destes desenvolvimentos</w:t>
      </w:r>
      <w:r w:rsidR="00124F06" w:rsidRPr="00CF3673">
        <w:rPr>
          <w:lang w:val="pt-PT"/>
        </w:rPr>
        <w:t xml:space="preserve"> </w:t>
      </w:r>
      <w:r w:rsidR="00CD39C5" w:rsidRPr="00CF3673">
        <w:rPr>
          <w:lang w:val="pt-PT"/>
        </w:rPr>
        <w:t xml:space="preserve">é </w:t>
      </w:r>
      <w:r w:rsidR="00A8088D" w:rsidRPr="00CF3673">
        <w:rPr>
          <w:lang w:val="pt-PT"/>
        </w:rPr>
        <w:t>a Zona Especial Económica de Nacala (ZESN) que abriu ao investimento em 2009.</w:t>
      </w:r>
    </w:p>
    <w:p w:rsidR="00A8088D" w:rsidRPr="00CF3673" w:rsidRDefault="00CD39C5" w:rsidP="001E664B">
      <w:pPr>
        <w:pStyle w:val="MainText"/>
        <w:rPr>
          <w:lang w:val="pt-PT"/>
        </w:rPr>
      </w:pPr>
      <w:r w:rsidRPr="00CF3673">
        <w:rPr>
          <w:lang w:val="pt-PT"/>
        </w:rPr>
        <w:t>Este relatório tem uma e</w:t>
      </w:r>
      <w:r w:rsidR="00A8088D" w:rsidRPr="00CF3673">
        <w:rPr>
          <w:lang w:val="pt-PT"/>
        </w:rPr>
        <w:t xml:space="preserve">strutura em serie e paralela. A estrutura paralela consiste em três importantes dimensões que servem de guia para a descrição e </w:t>
      </w:r>
      <w:r w:rsidRPr="00CF3673">
        <w:rPr>
          <w:lang w:val="pt-PT"/>
        </w:rPr>
        <w:t>análise</w:t>
      </w:r>
      <w:r w:rsidR="00A8088D" w:rsidRPr="00CF3673">
        <w:rPr>
          <w:lang w:val="pt-PT"/>
        </w:rPr>
        <w:t xml:space="preserve"> dos capítulos seguintes. A ideia é de que as empresas</w:t>
      </w:r>
      <w:r w:rsidR="00315713" w:rsidRPr="00CF3673">
        <w:rPr>
          <w:lang w:val="pt-PT"/>
        </w:rPr>
        <w:t xml:space="preserve"> que</w:t>
      </w:r>
      <w:r w:rsidR="00A8088D" w:rsidRPr="00CF3673">
        <w:rPr>
          <w:lang w:val="pt-PT"/>
        </w:rPr>
        <w:t xml:space="preserve"> diferem exactamente nestas dimensões</w:t>
      </w:r>
      <w:r w:rsidR="00315713" w:rsidRPr="00CF3673">
        <w:rPr>
          <w:lang w:val="pt-PT"/>
        </w:rPr>
        <w:t xml:space="preserve"> podem sofrer de diferentes problemas e tem características diferentes. </w:t>
      </w:r>
      <w:r w:rsidR="00A8088D" w:rsidRPr="00CF3673">
        <w:rPr>
          <w:lang w:val="pt-PT"/>
        </w:rPr>
        <w:t xml:space="preserve">   </w:t>
      </w:r>
    </w:p>
    <w:p w:rsidR="00315713" w:rsidRPr="00CF3673" w:rsidRDefault="00315713" w:rsidP="001E664B">
      <w:pPr>
        <w:pStyle w:val="MainText"/>
        <w:rPr>
          <w:lang w:val="pt-PT"/>
        </w:rPr>
      </w:pPr>
      <w:r w:rsidRPr="00CF3673">
        <w:rPr>
          <w:lang w:val="pt-PT"/>
        </w:rPr>
        <w:t xml:space="preserve">Em primeiro lugar, o tamanho da empresa é importante. Grandes empresas são mais poderosas nas negociações, são mais resistentes aos choques e tem maior musculatura financeira, permitindo </w:t>
      </w:r>
      <w:r w:rsidR="00CD39C5" w:rsidRPr="00CF3673">
        <w:rPr>
          <w:lang w:val="pt-PT"/>
        </w:rPr>
        <w:t xml:space="preserve">facilmente a </w:t>
      </w:r>
      <w:r w:rsidRPr="00CF3673">
        <w:rPr>
          <w:lang w:val="pt-PT"/>
        </w:rPr>
        <w:t xml:space="preserve">realização de investimentos. Por outro lado, as pequenas empresas são mais ágeis e podem </w:t>
      </w:r>
      <w:r w:rsidRPr="00CF3673">
        <w:rPr>
          <w:lang w:val="pt-PT"/>
        </w:rPr>
        <w:lastRenderedPageBreak/>
        <w:t>ser mais flexíveis. As dimensões do tamanho estão divididas em três categorias usando a defi</w:t>
      </w:r>
      <w:r w:rsidR="00CD39C5" w:rsidRPr="00CF3673">
        <w:rPr>
          <w:lang w:val="pt-PT"/>
        </w:rPr>
        <w:t>nição padrão do Banco Mundial; micro (1-9 trabalhadores); p</w:t>
      </w:r>
      <w:r w:rsidRPr="00CF3673">
        <w:rPr>
          <w:lang w:val="pt-PT"/>
        </w:rPr>
        <w:t xml:space="preserve">equena (10-49 trabalhadores); e média (50-299 trabalhadores), contando apenas trabalhadores a tempo inteiro.  </w:t>
      </w:r>
    </w:p>
    <w:p w:rsidR="00315713" w:rsidRPr="00CF3673" w:rsidRDefault="00315713" w:rsidP="001E664B">
      <w:pPr>
        <w:pStyle w:val="MainText"/>
        <w:rPr>
          <w:lang w:val="pt-PT"/>
        </w:rPr>
      </w:pPr>
      <w:r w:rsidRPr="00CF3673">
        <w:rPr>
          <w:lang w:val="pt-PT"/>
        </w:rPr>
        <w:t>Segundo, Moçambique é um país enorme e diversificado. O ambiente de n</w:t>
      </w:r>
      <w:r w:rsidR="00CD39C5" w:rsidRPr="00CF3673">
        <w:rPr>
          <w:lang w:val="pt-PT"/>
        </w:rPr>
        <w:t>egócios e acesso aos mercados, varia consideravelmente das</w:t>
      </w:r>
      <w:r w:rsidRPr="00CF3673">
        <w:rPr>
          <w:lang w:val="pt-PT"/>
        </w:rPr>
        <w:t xml:space="preserve"> cidades do</w:t>
      </w:r>
      <w:r w:rsidR="00CD39C5" w:rsidRPr="00CF3673">
        <w:rPr>
          <w:lang w:val="pt-PT"/>
        </w:rPr>
        <w:t xml:space="preserve"> interior como são os casos de T</w:t>
      </w:r>
      <w:r w:rsidRPr="00CF3673">
        <w:rPr>
          <w:lang w:val="pt-PT"/>
        </w:rPr>
        <w:t xml:space="preserve">ete e Chimoio para as cidades mais urbanizadas e melhor ligadas à costa como são os casos da Beira e Maputo. </w:t>
      </w:r>
      <w:r w:rsidR="00D96B40" w:rsidRPr="00CF3673">
        <w:rPr>
          <w:lang w:val="pt-PT"/>
        </w:rPr>
        <w:t>A dimensão geográfica está dividida pela localização</w:t>
      </w:r>
      <w:r w:rsidR="00CD39C5" w:rsidRPr="00CF3673">
        <w:rPr>
          <w:lang w:val="pt-PT"/>
        </w:rPr>
        <w:t xml:space="preserve"> da sede</w:t>
      </w:r>
      <w:r w:rsidR="00D96B40" w:rsidRPr="00CF3673">
        <w:rPr>
          <w:lang w:val="pt-PT"/>
        </w:rPr>
        <w:t xml:space="preserve"> da</w:t>
      </w:r>
      <w:r w:rsidR="00CD39C5" w:rsidRPr="00CF3673">
        <w:rPr>
          <w:lang w:val="pt-PT"/>
        </w:rPr>
        <w:t>s</w:t>
      </w:r>
      <w:r w:rsidR="00D96B40" w:rsidRPr="00CF3673">
        <w:rPr>
          <w:lang w:val="pt-PT"/>
        </w:rPr>
        <w:t xml:space="preserve"> empresa</w:t>
      </w:r>
      <w:r w:rsidR="00CD39C5" w:rsidRPr="00CF3673">
        <w:rPr>
          <w:lang w:val="pt-PT"/>
        </w:rPr>
        <w:t>s</w:t>
      </w:r>
      <w:r w:rsidR="00D96B40" w:rsidRPr="00CF3673">
        <w:rPr>
          <w:lang w:val="pt-PT"/>
        </w:rPr>
        <w:t xml:space="preserve"> (10 no total): Maputo, Matola, beira, Nampula, Nacala, Chimoio, Tete, </w:t>
      </w:r>
      <w:proofErr w:type="spellStart"/>
      <w:r w:rsidR="00D96B40" w:rsidRPr="00CF3673">
        <w:rPr>
          <w:lang w:val="pt-PT"/>
        </w:rPr>
        <w:t>Moatize</w:t>
      </w:r>
      <w:proofErr w:type="spellEnd"/>
      <w:r w:rsidR="00D96B40" w:rsidRPr="00CF3673">
        <w:rPr>
          <w:lang w:val="pt-PT"/>
        </w:rPr>
        <w:t xml:space="preserve">, </w:t>
      </w:r>
      <w:proofErr w:type="spellStart"/>
      <w:r w:rsidR="00D96B40" w:rsidRPr="00CF3673">
        <w:rPr>
          <w:lang w:val="pt-PT"/>
        </w:rPr>
        <w:t>Xai-Xai</w:t>
      </w:r>
      <w:proofErr w:type="spellEnd"/>
      <w:r w:rsidR="00D96B40" w:rsidRPr="00CF3673">
        <w:rPr>
          <w:lang w:val="pt-PT"/>
        </w:rPr>
        <w:t xml:space="preserve"> e </w:t>
      </w:r>
      <w:proofErr w:type="spellStart"/>
      <w:r w:rsidR="00D96B40" w:rsidRPr="00CF3673">
        <w:rPr>
          <w:lang w:val="pt-PT"/>
        </w:rPr>
        <w:t>Chókwe</w:t>
      </w:r>
      <w:proofErr w:type="spellEnd"/>
      <w:r w:rsidR="00D96B40" w:rsidRPr="00CF3673">
        <w:rPr>
          <w:lang w:val="pt-PT"/>
        </w:rPr>
        <w:t>.</w:t>
      </w:r>
      <w:r w:rsidRPr="00CF3673">
        <w:rPr>
          <w:lang w:val="pt-PT"/>
        </w:rPr>
        <w:t xml:space="preserve"> </w:t>
      </w:r>
    </w:p>
    <w:p w:rsidR="00F22A23" w:rsidRPr="00CF3673" w:rsidRDefault="00320023" w:rsidP="001E664B">
      <w:pPr>
        <w:pStyle w:val="MainText"/>
        <w:rPr>
          <w:lang w:val="pt-PT"/>
        </w:rPr>
      </w:pPr>
      <w:r w:rsidRPr="00CF3673">
        <w:rPr>
          <w:lang w:val="pt-PT"/>
        </w:rPr>
        <w:t xml:space="preserve">Terceiro, o sector informal tem estado no centro da atenção nos últimos dias, tanto do ponto de vista académico (veja por exemplo </w:t>
      </w:r>
      <w:proofErr w:type="spellStart"/>
      <w:r w:rsidRPr="00CF3673">
        <w:rPr>
          <w:lang w:val="pt-PT"/>
        </w:rPr>
        <w:t>Byiers</w:t>
      </w:r>
      <w:proofErr w:type="spellEnd"/>
      <w:r w:rsidRPr="00CF3673">
        <w:rPr>
          <w:lang w:val="pt-PT"/>
        </w:rPr>
        <w:t xml:space="preserve">, 2009) </w:t>
      </w:r>
      <w:r w:rsidR="005B7529" w:rsidRPr="00CF3673">
        <w:rPr>
          <w:lang w:val="pt-PT"/>
        </w:rPr>
        <w:t>como</w:t>
      </w:r>
      <w:r w:rsidRPr="00CF3673">
        <w:rPr>
          <w:lang w:val="pt-PT"/>
        </w:rPr>
        <w:t xml:space="preserve"> também politicamente</w:t>
      </w:r>
      <w:r w:rsidRPr="00CF3673">
        <w:rPr>
          <w:rStyle w:val="FootnoteReference"/>
          <w:lang w:val="pt-PT"/>
        </w:rPr>
        <w:footnoteReference w:id="2"/>
      </w:r>
      <w:r w:rsidRPr="00CF3673">
        <w:rPr>
          <w:lang w:val="pt-PT"/>
        </w:rPr>
        <w:t>. Ser informal pode</w:t>
      </w:r>
      <w:r w:rsidR="005B7529" w:rsidRPr="00CF3673">
        <w:rPr>
          <w:lang w:val="pt-PT"/>
        </w:rPr>
        <w:t xml:space="preserve"> tornar algumas</w:t>
      </w:r>
      <w:r w:rsidRPr="00CF3673">
        <w:rPr>
          <w:lang w:val="pt-PT"/>
        </w:rPr>
        <w:t xml:space="preserve"> coisas mais difíceis (como por exemplo</w:t>
      </w:r>
      <w:r w:rsidR="005B7529" w:rsidRPr="00CF3673">
        <w:rPr>
          <w:lang w:val="pt-PT"/>
        </w:rPr>
        <w:t xml:space="preserve"> o</w:t>
      </w:r>
      <w:r w:rsidRPr="00CF3673">
        <w:rPr>
          <w:lang w:val="pt-PT"/>
        </w:rPr>
        <w:t xml:space="preserve"> acesso ao crédito e realizar negócios com o sector público) mas também outras coisas mais fáceis (por exemplo baixos impostos e fica “sob radar” das autoridades do sector publico e dos regulamentos). A dimensão da formalidade é medida pela poss</w:t>
      </w:r>
      <w:r w:rsidR="00513560" w:rsidRPr="00CF3673">
        <w:rPr>
          <w:lang w:val="pt-PT"/>
        </w:rPr>
        <w:t>e</w:t>
      </w:r>
      <w:r w:rsidR="005B7529" w:rsidRPr="00CF3673">
        <w:rPr>
          <w:lang w:val="pt-PT"/>
        </w:rPr>
        <w:t xml:space="preserve"> d</w:t>
      </w:r>
      <w:r w:rsidR="00513560" w:rsidRPr="00CF3673">
        <w:rPr>
          <w:lang w:val="pt-PT"/>
        </w:rPr>
        <w:t>e</w:t>
      </w:r>
      <w:r w:rsidR="005B7529" w:rsidRPr="00CF3673">
        <w:rPr>
          <w:lang w:val="pt-PT"/>
        </w:rPr>
        <w:t xml:space="preserve"> NUIT</w:t>
      </w:r>
      <w:r w:rsidR="00513560" w:rsidRPr="00CF3673">
        <w:rPr>
          <w:lang w:val="pt-PT"/>
        </w:rPr>
        <w:t xml:space="preserve"> (Numero Único de Identificação Tributária) pela empresa</w:t>
      </w:r>
      <w:r w:rsidR="005B7529" w:rsidRPr="00CF3673">
        <w:rPr>
          <w:lang w:val="pt-PT"/>
        </w:rPr>
        <w:t>.</w:t>
      </w:r>
      <w:r w:rsidRPr="00CF3673">
        <w:rPr>
          <w:lang w:val="pt-PT"/>
        </w:rPr>
        <w:t xml:space="preserve"> </w:t>
      </w:r>
    </w:p>
    <w:p w:rsidR="00320023" w:rsidRPr="00CF3673" w:rsidRDefault="00FA32FB" w:rsidP="001E664B">
      <w:pPr>
        <w:pStyle w:val="MainText"/>
        <w:rPr>
          <w:lang w:val="pt-PT"/>
        </w:rPr>
      </w:pPr>
      <w:r w:rsidRPr="00CF3673">
        <w:rPr>
          <w:lang w:val="pt-PT"/>
        </w:rPr>
        <w:t xml:space="preserve">Junto </w:t>
      </w:r>
      <w:r w:rsidR="00F22A23" w:rsidRPr="00CF3673">
        <w:rPr>
          <w:lang w:val="pt-PT"/>
        </w:rPr>
        <w:t>a</w:t>
      </w:r>
      <w:r w:rsidRPr="00CF3673">
        <w:rPr>
          <w:lang w:val="pt-PT"/>
        </w:rPr>
        <w:t xml:space="preserve"> estas dimensões, algumas tabelas</w:t>
      </w:r>
      <w:r w:rsidR="00F22A23" w:rsidRPr="00CF3673">
        <w:rPr>
          <w:lang w:val="pt-PT"/>
        </w:rPr>
        <w:t xml:space="preserve"> neste relatório</w:t>
      </w:r>
      <w:r w:rsidRPr="00CF3673">
        <w:rPr>
          <w:lang w:val="pt-PT"/>
        </w:rPr>
        <w:t xml:space="preserve"> irão de vez em quando ser divididas em propriedade estrangeira (definido como</w:t>
      </w:r>
      <w:r w:rsidR="00F22A23" w:rsidRPr="00CF3673">
        <w:rPr>
          <w:lang w:val="pt-PT"/>
        </w:rPr>
        <w:t xml:space="preserve"> sendo o caso em que</w:t>
      </w:r>
      <w:r w:rsidRPr="00CF3673">
        <w:rPr>
          <w:lang w:val="pt-PT"/>
        </w:rPr>
        <w:t xml:space="preserve"> o proprietário </w:t>
      </w:r>
      <w:r w:rsidR="00F22A23" w:rsidRPr="00CF3673">
        <w:rPr>
          <w:lang w:val="pt-PT"/>
        </w:rPr>
        <w:t>é</w:t>
      </w:r>
      <w:r w:rsidRPr="00CF3673">
        <w:rPr>
          <w:lang w:val="pt-PT"/>
        </w:rPr>
        <w:t xml:space="preserve"> de nacionalidade estrangeira e/ ou </w:t>
      </w:r>
      <w:r w:rsidR="00F22A23" w:rsidRPr="00CF3673">
        <w:rPr>
          <w:lang w:val="pt-PT"/>
        </w:rPr>
        <w:t xml:space="preserve">mais de </w:t>
      </w:r>
      <w:r w:rsidR="008E3FF9" w:rsidRPr="00CF3673">
        <w:rPr>
          <w:lang w:val="pt-PT"/>
        </w:rPr>
        <w:t>50% da empresa pertencer a estrangeiros</w:t>
      </w:r>
      <w:r w:rsidRPr="00CF3673">
        <w:rPr>
          <w:lang w:val="pt-PT"/>
        </w:rPr>
        <w:t>)</w:t>
      </w:r>
      <w:r w:rsidR="008E3FF9" w:rsidRPr="00CF3673">
        <w:rPr>
          <w:lang w:val="pt-PT"/>
        </w:rPr>
        <w:t xml:space="preserve"> e o sector industrial (usando a revisão ISC 3</w:t>
      </w:r>
      <w:r w:rsidR="00F22A23" w:rsidRPr="00CF3673">
        <w:rPr>
          <w:lang w:val="pt-PT"/>
        </w:rPr>
        <w:t xml:space="preserve"> </w:t>
      </w:r>
      <w:r w:rsidR="008E3FF9" w:rsidRPr="00CF3673">
        <w:rPr>
          <w:lang w:val="pt-PT"/>
        </w:rPr>
        <w:t>2-dígitos da classificação industrial).</w:t>
      </w:r>
      <w:r w:rsidR="00320023" w:rsidRPr="00CF3673">
        <w:rPr>
          <w:lang w:val="pt-PT"/>
        </w:rPr>
        <w:t xml:space="preserve"> </w:t>
      </w:r>
    </w:p>
    <w:p w:rsidR="008E3FF9" w:rsidRPr="00CF3673" w:rsidRDefault="00F22A23" w:rsidP="001E664B">
      <w:pPr>
        <w:pStyle w:val="MainText"/>
        <w:rPr>
          <w:lang w:val="pt-PT"/>
        </w:rPr>
      </w:pPr>
      <w:r w:rsidRPr="00CF3673">
        <w:rPr>
          <w:lang w:val="pt-PT"/>
        </w:rPr>
        <w:t xml:space="preserve">Além </w:t>
      </w:r>
      <w:r w:rsidR="008E3FF9" w:rsidRPr="00CF3673">
        <w:rPr>
          <w:lang w:val="pt-PT"/>
        </w:rPr>
        <w:t>d</w:t>
      </w:r>
      <w:r w:rsidRPr="00CF3673">
        <w:rPr>
          <w:lang w:val="pt-PT"/>
        </w:rPr>
        <w:t>a</w:t>
      </w:r>
      <w:r w:rsidR="008E3FF9" w:rsidRPr="00CF3673">
        <w:rPr>
          <w:lang w:val="pt-PT"/>
        </w:rPr>
        <w:t xml:space="preserve"> </w:t>
      </w:r>
      <w:r w:rsidRPr="00CF3673">
        <w:rPr>
          <w:lang w:val="pt-PT"/>
        </w:rPr>
        <w:t>e</w:t>
      </w:r>
      <w:r w:rsidR="008E3FF9" w:rsidRPr="00CF3673">
        <w:rPr>
          <w:lang w:val="pt-PT"/>
        </w:rPr>
        <w:t xml:space="preserve">strutura paralela, este relatório é guiado por uma serie de </w:t>
      </w:r>
      <w:r w:rsidRPr="00CF3673">
        <w:rPr>
          <w:lang w:val="pt-PT"/>
        </w:rPr>
        <w:t>e</w:t>
      </w:r>
      <w:r w:rsidR="008E3FF9" w:rsidRPr="00CF3673">
        <w:rPr>
          <w:lang w:val="pt-PT"/>
        </w:rPr>
        <w:t xml:space="preserve">strutura temática </w:t>
      </w:r>
      <w:r w:rsidRPr="00CF3673">
        <w:rPr>
          <w:lang w:val="pt-PT"/>
        </w:rPr>
        <w:t>da seguinte forma</w:t>
      </w:r>
      <w:r w:rsidR="008E3FF9" w:rsidRPr="00CF3673">
        <w:rPr>
          <w:lang w:val="pt-PT"/>
        </w:rPr>
        <w:t>. Capítulo 1-3 d</w:t>
      </w:r>
      <w:r w:rsidRPr="00CF3673">
        <w:rPr>
          <w:lang w:val="pt-PT"/>
        </w:rPr>
        <w:t>á contextualização, a par da</w:t>
      </w:r>
      <w:r w:rsidR="008E3FF9" w:rsidRPr="00CF3673">
        <w:rPr>
          <w:lang w:val="pt-PT"/>
        </w:rPr>
        <w:t xml:space="preserve"> introdução, a descrição dos dados, da operacionalização da amostra</w:t>
      </w:r>
      <w:r w:rsidR="00BB1DE6" w:rsidRPr="00CF3673">
        <w:rPr>
          <w:lang w:val="pt-PT"/>
        </w:rPr>
        <w:t xml:space="preserve"> e da implementação (capítulo 2) e da análise do crescimento das empresas, dinâmica e o ranking dos principais constrangimentos (capítulo 3). </w:t>
      </w:r>
      <w:r w:rsidRPr="00CF3673">
        <w:rPr>
          <w:lang w:val="pt-PT"/>
        </w:rPr>
        <w:t>Depois</w:t>
      </w:r>
      <w:r w:rsidR="00BB1DE6" w:rsidRPr="00CF3673">
        <w:rPr>
          <w:lang w:val="pt-PT"/>
        </w:rPr>
        <w:t>, os dados são analisados em relação duas áreas principais de desempenho das empresas- capítulo 4 descreve a situação do emprego e educação enquanto capítulo 5 é relativo à produtividade.</w:t>
      </w:r>
      <w:r w:rsidR="008E3FF9" w:rsidRPr="00CF3673">
        <w:rPr>
          <w:lang w:val="pt-PT"/>
        </w:rPr>
        <w:t xml:space="preserve"> </w:t>
      </w:r>
    </w:p>
    <w:p w:rsidR="00BB1DE6" w:rsidRPr="00CF3673" w:rsidRDefault="00BB1DE6" w:rsidP="001E664B">
      <w:pPr>
        <w:pStyle w:val="MainText"/>
        <w:rPr>
          <w:lang w:val="pt-PT"/>
        </w:rPr>
      </w:pPr>
      <w:r w:rsidRPr="00CF3673">
        <w:rPr>
          <w:lang w:val="pt-PT"/>
        </w:rPr>
        <w:t>Capítulos 6-8 ampliam três principais áreas de int</w:t>
      </w:r>
      <w:r w:rsidR="006424E9" w:rsidRPr="00CF3673">
        <w:rPr>
          <w:lang w:val="pt-PT"/>
        </w:rPr>
        <w:t>eresse: capítulo 6 descreve as c</w:t>
      </w:r>
      <w:r w:rsidRPr="00CF3673">
        <w:rPr>
          <w:lang w:val="pt-PT"/>
        </w:rPr>
        <w:t xml:space="preserve">aracterísticas dos proprietários; capítulo 7 analisa o </w:t>
      </w:r>
      <w:r w:rsidR="00CA14BD" w:rsidRPr="00CF3673">
        <w:rPr>
          <w:lang w:val="pt-PT"/>
        </w:rPr>
        <w:t>comércio</w:t>
      </w:r>
      <w:r w:rsidRPr="00CF3673">
        <w:rPr>
          <w:lang w:val="pt-PT"/>
        </w:rPr>
        <w:t xml:space="preserve">, estrutura de vendas e competição; e capítulo 8 investiga questões relativas às redes sociais. </w:t>
      </w:r>
      <w:r w:rsidR="00CA14BD" w:rsidRPr="00CF3673">
        <w:rPr>
          <w:lang w:val="pt-PT"/>
        </w:rPr>
        <w:t>Capítulos 9-10 apresentam</w:t>
      </w:r>
      <w:r w:rsidR="006424E9" w:rsidRPr="00CF3673">
        <w:rPr>
          <w:lang w:val="pt-PT"/>
        </w:rPr>
        <w:t xml:space="preserve"> a</w:t>
      </w:r>
      <w:r w:rsidRPr="00CF3673">
        <w:rPr>
          <w:lang w:val="pt-PT"/>
        </w:rPr>
        <w:t xml:space="preserve"> discussão sobr</w:t>
      </w:r>
      <w:r w:rsidR="00CA14BD" w:rsidRPr="00CF3673">
        <w:rPr>
          <w:lang w:val="pt-PT"/>
        </w:rPr>
        <w:t>e os dois maiores constrangimentos que confrontam a empresas manufactureiras moçambicanas. Capítulo 9 analisa acesso ao financiamento enquanto o capítulo 10 investiga a informalidade, burocracia e a corrupção.</w:t>
      </w:r>
      <w:r w:rsidRPr="00CF3673">
        <w:rPr>
          <w:lang w:val="pt-PT"/>
        </w:rPr>
        <w:t xml:space="preserve">  </w:t>
      </w:r>
    </w:p>
    <w:p w:rsidR="00CA14BD" w:rsidRPr="00CF3673" w:rsidRDefault="00CA14BD" w:rsidP="001E664B">
      <w:pPr>
        <w:pStyle w:val="MainText"/>
        <w:rPr>
          <w:lang w:val="pt-PT"/>
        </w:rPr>
      </w:pPr>
      <w:r w:rsidRPr="00CF3673">
        <w:rPr>
          <w:lang w:val="pt-PT"/>
        </w:rPr>
        <w:lastRenderedPageBreak/>
        <w:t>Este relatório termina com algumas conclusões e recomendações de políticas no capítulo 11</w:t>
      </w:r>
    </w:p>
    <w:p w:rsidR="00782418" w:rsidRPr="00CF3673" w:rsidRDefault="00386F76" w:rsidP="001E664B">
      <w:pPr>
        <w:pStyle w:val="ChapterTitle"/>
        <w:rPr>
          <w:lang w:val="pt-PT"/>
        </w:rPr>
      </w:pPr>
      <w:bookmarkStart w:id="11" w:name="_Toc360720381"/>
      <w:r w:rsidRPr="00CF3673">
        <w:rPr>
          <w:lang w:val="pt-PT"/>
        </w:rPr>
        <w:t xml:space="preserve">2. </w:t>
      </w:r>
      <w:r w:rsidR="00782418" w:rsidRPr="00CF3673">
        <w:rPr>
          <w:lang w:val="pt-PT"/>
        </w:rPr>
        <w:t>Descrição de dados, amostragem e Implementação</w:t>
      </w:r>
    </w:p>
    <w:bookmarkEnd w:id="11"/>
    <w:p w:rsidR="00093D34" w:rsidRPr="00CF3673" w:rsidRDefault="00782418" w:rsidP="001E664B">
      <w:pPr>
        <w:pStyle w:val="MainText"/>
        <w:rPr>
          <w:lang w:val="pt-PT"/>
        </w:rPr>
      </w:pPr>
      <w:r w:rsidRPr="00CF3673">
        <w:rPr>
          <w:lang w:val="pt-PT"/>
        </w:rPr>
        <w:t xml:space="preserve">O objectivo deste capítulo é providenciar uma descrição detalhada dos dados </w:t>
      </w:r>
      <w:r w:rsidR="00093D34" w:rsidRPr="00CF3673">
        <w:rPr>
          <w:lang w:val="pt-PT"/>
        </w:rPr>
        <w:t xml:space="preserve">e do </w:t>
      </w:r>
      <w:r w:rsidRPr="00CF3673">
        <w:rPr>
          <w:lang w:val="pt-PT"/>
        </w:rPr>
        <w:t xml:space="preserve">processo </w:t>
      </w:r>
      <w:r w:rsidR="00093D34" w:rsidRPr="00CF3673">
        <w:rPr>
          <w:lang w:val="pt-PT"/>
        </w:rPr>
        <w:t xml:space="preserve">de </w:t>
      </w:r>
      <w:r w:rsidRPr="00CF3673">
        <w:rPr>
          <w:lang w:val="pt-PT"/>
        </w:rPr>
        <w:t xml:space="preserve">recolha de informação. Este </w:t>
      </w:r>
      <w:r w:rsidR="00BF1D48" w:rsidRPr="00CF3673">
        <w:rPr>
          <w:lang w:val="pt-PT"/>
        </w:rPr>
        <w:t>capítulo</w:t>
      </w:r>
      <w:r w:rsidRPr="00CF3673">
        <w:rPr>
          <w:lang w:val="pt-PT"/>
        </w:rPr>
        <w:t xml:space="preserve"> </w:t>
      </w:r>
      <w:r w:rsidR="00BF1D48" w:rsidRPr="00CF3673">
        <w:rPr>
          <w:lang w:val="pt-PT"/>
        </w:rPr>
        <w:t xml:space="preserve">inicia </w:t>
      </w:r>
      <w:r w:rsidRPr="00CF3673">
        <w:rPr>
          <w:lang w:val="pt-PT"/>
        </w:rPr>
        <w:t xml:space="preserve">com a descrição da </w:t>
      </w:r>
      <w:r w:rsidR="00BF1D48" w:rsidRPr="00CF3673">
        <w:rPr>
          <w:lang w:val="pt-PT"/>
        </w:rPr>
        <w:t>estratégia</w:t>
      </w:r>
      <w:r w:rsidRPr="00CF3673">
        <w:rPr>
          <w:lang w:val="pt-PT"/>
        </w:rPr>
        <w:t xml:space="preserve"> de amostragem e do questionário na secção 2.1. </w:t>
      </w:r>
      <w:r w:rsidR="00BF1D48" w:rsidRPr="00CF3673">
        <w:rPr>
          <w:lang w:val="pt-PT"/>
        </w:rPr>
        <w:t xml:space="preserve">Na secção 2.2, é apresentada a </w:t>
      </w:r>
      <w:r w:rsidRPr="00CF3673">
        <w:rPr>
          <w:lang w:val="pt-PT"/>
        </w:rPr>
        <w:t>implementação e</w:t>
      </w:r>
      <w:r w:rsidR="00093D34" w:rsidRPr="00CF3673">
        <w:rPr>
          <w:lang w:val="pt-PT"/>
        </w:rPr>
        <w:t xml:space="preserve"> a</w:t>
      </w:r>
      <w:r w:rsidRPr="00CF3673">
        <w:rPr>
          <w:lang w:val="pt-PT"/>
        </w:rPr>
        <w:t xml:space="preserve"> validação</w:t>
      </w:r>
      <w:r w:rsidR="00BF1D48" w:rsidRPr="00CF3673">
        <w:rPr>
          <w:lang w:val="pt-PT"/>
        </w:rPr>
        <w:t xml:space="preserve"> do inquérito. A secção 2.3 pr</w:t>
      </w:r>
      <w:r w:rsidR="00093D34" w:rsidRPr="00CF3673">
        <w:rPr>
          <w:lang w:val="pt-PT"/>
        </w:rPr>
        <w:t>ovidencia a descrição dos dados</w:t>
      </w:r>
      <w:r w:rsidR="00BF1D48" w:rsidRPr="00CF3673">
        <w:rPr>
          <w:lang w:val="pt-PT"/>
        </w:rPr>
        <w:t xml:space="preserve"> sobretudo no que diz respeito </w:t>
      </w:r>
      <w:r w:rsidR="00093D34" w:rsidRPr="00CF3673">
        <w:rPr>
          <w:lang w:val="pt-PT"/>
        </w:rPr>
        <w:t>a distribuição das empresas na amostra em termos de tamanho, localização e sectores.</w:t>
      </w:r>
    </w:p>
    <w:p w:rsidR="003909E9" w:rsidRPr="00CF3673" w:rsidRDefault="00533A4A" w:rsidP="001E664B">
      <w:pPr>
        <w:pStyle w:val="SectionTitle"/>
        <w:rPr>
          <w:lang w:val="pt-PT"/>
        </w:rPr>
      </w:pPr>
      <w:bookmarkStart w:id="12" w:name="_Toc360720382"/>
      <w:r w:rsidRPr="00CF3673">
        <w:rPr>
          <w:lang w:val="pt-PT"/>
        </w:rPr>
        <w:t>2.1</w:t>
      </w:r>
      <w:r w:rsidR="00E766FF" w:rsidRPr="00CF3673">
        <w:rPr>
          <w:lang w:val="pt-PT"/>
        </w:rPr>
        <w:t>.</w:t>
      </w:r>
      <w:r w:rsidRPr="00CF3673">
        <w:rPr>
          <w:lang w:val="pt-PT"/>
        </w:rPr>
        <w:t xml:space="preserve"> </w:t>
      </w:r>
      <w:r w:rsidR="009B5A45" w:rsidRPr="00CF3673">
        <w:rPr>
          <w:lang w:val="pt-PT"/>
        </w:rPr>
        <w:t>Estratégia de amostragem e q</w:t>
      </w:r>
      <w:r w:rsidR="00BF1D48" w:rsidRPr="00CF3673">
        <w:rPr>
          <w:lang w:val="pt-PT"/>
        </w:rPr>
        <w:t>uestionário</w:t>
      </w:r>
      <w:bookmarkEnd w:id="12"/>
    </w:p>
    <w:p w:rsidR="00BF1D48" w:rsidRPr="00CF3673" w:rsidRDefault="00BF1D48" w:rsidP="001E664B">
      <w:pPr>
        <w:pStyle w:val="MainText"/>
        <w:rPr>
          <w:lang w:val="pt-PT"/>
        </w:rPr>
      </w:pPr>
      <w:r w:rsidRPr="00CF3673">
        <w:rPr>
          <w:lang w:val="pt-PT"/>
        </w:rPr>
        <w:t xml:space="preserve">O IIM2012 tem duas dimensões: a dimensão cruzada (cobre 761 empresas entrevistadas em 2012) e a dimensão do painel (cobre 216 firmas entrevistadas tanto em 2006 bem como em 2012). Isto reflecte em parte os dois propósitos deste inquérito, </w:t>
      </w:r>
      <w:r w:rsidR="009B5A45" w:rsidRPr="00CF3673">
        <w:rPr>
          <w:lang w:val="pt-PT"/>
        </w:rPr>
        <w:t xml:space="preserve">designadamente </w:t>
      </w:r>
      <w:r w:rsidRPr="00CF3673">
        <w:rPr>
          <w:lang w:val="pt-PT"/>
        </w:rPr>
        <w:t xml:space="preserve">de fazer seguimento das </w:t>
      </w:r>
      <w:r w:rsidR="009B5A45" w:rsidRPr="00CF3673">
        <w:rPr>
          <w:lang w:val="pt-PT"/>
        </w:rPr>
        <w:t>empresas</w:t>
      </w:r>
      <w:r w:rsidRPr="00CF3673">
        <w:rPr>
          <w:lang w:val="pt-PT"/>
        </w:rPr>
        <w:t xml:space="preserve"> previamente inquiridas nos inquéritos anteriores e obter </w:t>
      </w:r>
      <w:r w:rsidR="009B5A45" w:rsidRPr="00CF3673">
        <w:rPr>
          <w:lang w:val="pt-PT"/>
        </w:rPr>
        <w:t>uma amostra</w:t>
      </w:r>
      <w:r w:rsidRPr="00CF3673">
        <w:rPr>
          <w:lang w:val="pt-PT"/>
        </w:rPr>
        <w:t xml:space="preserve"> o mais representativo possível da actual população da indústria manufactureira d</w:t>
      </w:r>
      <w:r w:rsidR="009B5A45" w:rsidRPr="00CF3673">
        <w:rPr>
          <w:lang w:val="pt-PT"/>
        </w:rPr>
        <w:t>e</w:t>
      </w:r>
      <w:r w:rsidRPr="00CF3673">
        <w:rPr>
          <w:lang w:val="pt-PT"/>
        </w:rPr>
        <w:t xml:space="preserve"> PMEs em Moçambique.    </w:t>
      </w:r>
    </w:p>
    <w:p w:rsidR="00BF1D48" w:rsidRPr="00CF3673" w:rsidRDefault="00BF1D48" w:rsidP="001E664B">
      <w:pPr>
        <w:pStyle w:val="MainText"/>
        <w:rPr>
          <w:lang w:val="pt-PT"/>
        </w:rPr>
      </w:pPr>
      <w:r w:rsidRPr="00CF3673">
        <w:rPr>
          <w:lang w:val="pt-PT"/>
        </w:rPr>
        <w:t>A estratégia da amostragem foi originalmente desenhada com base no censo das empresas 2002 (CEMPRE, 2011), que foi sendo actualizada desde então. Contudo, durante o inquérito piloto</w:t>
      </w:r>
      <w:r w:rsidR="00CD78E3" w:rsidRPr="00CF3673">
        <w:rPr>
          <w:lang w:val="pt-PT"/>
        </w:rPr>
        <w:t xml:space="preserve"> em Maputo (Abril 2012), cerca de 75% das empresas contactadas indicaram que o censo não era actualizado e como tal não podia ser usado para a identificação de empresas específicas.</w:t>
      </w:r>
    </w:p>
    <w:p w:rsidR="00CD78E3" w:rsidRPr="00CF3673" w:rsidRDefault="00CD78E3" w:rsidP="001E664B">
      <w:pPr>
        <w:pStyle w:val="MainText"/>
        <w:rPr>
          <w:lang w:val="pt-PT"/>
        </w:rPr>
      </w:pPr>
      <w:r w:rsidRPr="00CF3673">
        <w:rPr>
          <w:lang w:val="pt-PT"/>
        </w:rPr>
        <w:t xml:space="preserve">A estratégia alternativa foi de procurar </w:t>
      </w:r>
      <w:r w:rsidR="00417E61" w:rsidRPr="00CF3673">
        <w:rPr>
          <w:lang w:val="pt-PT"/>
        </w:rPr>
        <w:t xml:space="preserve">saber </w:t>
      </w:r>
      <w:r w:rsidRPr="00CF3673">
        <w:rPr>
          <w:lang w:val="pt-PT"/>
        </w:rPr>
        <w:t xml:space="preserve">se as autoridades tinham um sistema de registo das empresas em Moçambique </w:t>
      </w:r>
      <w:r w:rsidR="00417E61" w:rsidRPr="00CF3673">
        <w:rPr>
          <w:lang w:val="pt-PT"/>
        </w:rPr>
        <w:t xml:space="preserve">e </w:t>
      </w:r>
      <w:r w:rsidRPr="00CF3673">
        <w:rPr>
          <w:lang w:val="pt-PT"/>
        </w:rPr>
        <w:t xml:space="preserve">que poderia através desta ser possível localizar as empresas manufactureiras. O registo das empresas em Moçambique é governado pelo Decreto </w:t>
      </w:r>
      <w:proofErr w:type="spellStart"/>
      <w:r w:rsidRPr="00CF3673">
        <w:rPr>
          <w:lang w:val="pt-PT"/>
        </w:rPr>
        <w:t>Nr</w:t>
      </w:r>
      <w:proofErr w:type="spellEnd"/>
      <w:r w:rsidRPr="00CF3673">
        <w:rPr>
          <w:lang w:val="pt-PT"/>
        </w:rPr>
        <w:t>. 39/2003 de 26 de Novembro (</w:t>
      </w:r>
      <w:proofErr w:type="spellStart"/>
      <w:r w:rsidRPr="00CF3673">
        <w:rPr>
          <w:lang w:val="pt-PT"/>
        </w:rPr>
        <w:t>GdM</w:t>
      </w:r>
      <w:proofErr w:type="spellEnd"/>
      <w:r w:rsidRPr="00CF3673">
        <w:rPr>
          <w:lang w:val="pt-PT"/>
        </w:rPr>
        <w:t xml:space="preserve">). </w:t>
      </w:r>
      <w:r w:rsidR="00417E61" w:rsidRPr="00CF3673">
        <w:rPr>
          <w:lang w:val="pt-PT"/>
        </w:rPr>
        <w:t>Este</w:t>
      </w:r>
      <w:r w:rsidRPr="00CF3673">
        <w:rPr>
          <w:lang w:val="pt-PT"/>
        </w:rPr>
        <w:t xml:space="preserve"> Decreto</w:t>
      </w:r>
      <w:r w:rsidR="00944CE9" w:rsidRPr="00CF3673">
        <w:rPr>
          <w:lang w:val="pt-PT"/>
        </w:rPr>
        <w:t xml:space="preserve"> classifica empresas industriais em quatro classes (micro, pequena, media e grande). </w:t>
      </w:r>
      <w:r w:rsidR="00BD537C" w:rsidRPr="00CF3673">
        <w:rPr>
          <w:lang w:val="pt-PT"/>
        </w:rPr>
        <w:t xml:space="preserve">O registo de médias empresas (125-249 trabalhadores) e grandes (+250 trabalhadores) é da responsabilidade do Ministério da Industria e Comércio (MIC), o registo de pequenas empresas (25-124 trabalhadores) é da responsabilidade dos governadores provinciais (na realidade das </w:t>
      </w:r>
      <w:proofErr w:type="spellStart"/>
      <w:r w:rsidR="00BD537C" w:rsidRPr="00CF3673">
        <w:rPr>
          <w:lang w:val="pt-PT"/>
        </w:rPr>
        <w:t>DPICs</w:t>
      </w:r>
      <w:proofErr w:type="spellEnd"/>
      <w:r w:rsidR="00BD537C" w:rsidRPr="00CF3673">
        <w:rPr>
          <w:lang w:val="pt-PT"/>
        </w:rPr>
        <w:t>, as Direcções Provinciais da Industria e Comércio) enquanto as microempresas (menos de 25 trabalhadores) são regra geral registadas pelos municípios</w:t>
      </w:r>
      <w:r w:rsidR="00BD537C" w:rsidRPr="00CF3673">
        <w:rPr>
          <w:rStyle w:val="FootnoteReference"/>
          <w:lang w:val="pt-PT"/>
        </w:rPr>
        <w:footnoteReference w:id="3"/>
      </w:r>
      <w:r w:rsidR="00BD537C" w:rsidRPr="00CF3673">
        <w:rPr>
          <w:lang w:val="pt-PT"/>
        </w:rPr>
        <w:t xml:space="preserve">  </w:t>
      </w:r>
      <w:r w:rsidRPr="00CF3673">
        <w:rPr>
          <w:lang w:val="pt-PT"/>
        </w:rPr>
        <w:t xml:space="preserve">   </w:t>
      </w:r>
    </w:p>
    <w:p w:rsidR="00BD537C" w:rsidRPr="00CF3673" w:rsidRDefault="005A221E" w:rsidP="001E664B">
      <w:pPr>
        <w:pStyle w:val="MainText"/>
        <w:rPr>
          <w:lang w:val="pt-PT"/>
        </w:rPr>
      </w:pPr>
      <w:r w:rsidRPr="00CF3673">
        <w:rPr>
          <w:lang w:val="pt-PT"/>
        </w:rPr>
        <w:lastRenderedPageBreak/>
        <w:t xml:space="preserve">As DPIC devem manter uma base de dados </w:t>
      </w:r>
      <w:r w:rsidR="00CE5B63" w:rsidRPr="00CF3673">
        <w:rPr>
          <w:lang w:val="pt-PT"/>
        </w:rPr>
        <w:t xml:space="preserve">de estabelecimento industriais nas </w:t>
      </w:r>
      <w:r w:rsidR="00B20E4D" w:rsidRPr="00CF3673">
        <w:rPr>
          <w:lang w:val="pt-PT"/>
        </w:rPr>
        <w:t>províncias</w:t>
      </w:r>
      <w:r w:rsidR="00CE5B63" w:rsidRPr="00CF3673">
        <w:rPr>
          <w:lang w:val="pt-PT"/>
        </w:rPr>
        <w:t xml:space="preserve"> e deve actualizar ao MIC em cada 3 meses. O MIC por seu turno é responsável pela manutenção duma base de dados</w:t>
      </w:r>
      <w:r w:rsidR="00417E61" w:rsidRPr="00CF3673">
        <w:rPr>
          <w:lang w:val="pt-PT"/>
        </w:rPr>
        <w:t xml:space="preserve"> de nível</w:t>
      </w:r>
      <w:r w:rsidR="00CE5B63" w:rsidRPr="00CF3673">
        <w:rPr>
          <w:lang w:val="pt-PT"/>
        </w:rPr>
        <w:t xml:space="preserve"> nacional. Contudo, para o nosso conhecimento não existe um mecanismo coerente de reporte entre as </w:t>
      </w:r>
      <w:r w:rsidR="00C32C40" w:rsidRPr="00CF3673">
        <w:rPr>
          <w:lang w:val="pt-PT"/>
        </w:rPr>
        <w:t>províncias</w:t>
      </w:r>
      <w:r w:rsidR="00CE5B63" w:rsidRPr="00CF3673">
        <w:rPr>
          <w:lang w:val="pt-PT"/>
        </w:rPr>
        <w:t xml:space="preserve"> e o MIC</w:t>
      </w:r>
      <w:r w:rsidR="00C32C40" w:rsidRPr="00CF3673">
        <w:rPr>
          <w:lang w:val="pt-PT"/>
        </w:rPr>
        <w:t xml:space="preserve">, portanto, não existe uma base de dados actualizada ao nível nacional. Mais ainda, as DPIC usam um conjunto de formatos diferentes, registando informações diferentes </w:t>
      </w:r>
      <w:r w:rsidR="00B7464E" w:rsidRPr="00CF3673">
        <w:rPr>
          <w:lang w:val="pt-PT"/>
        </w:rPr>
        <w:t>ao nível das províncias o q</w:t>
      </w:r>
      <w:r w:rsidR="00417E61" w:rsidRPr="00CF3673">
        <w:rPr>
          <w:lang w:val="pt-PT"/>
        </w:rPr>
        <w:t>ue torna difícil a comparação dos</w:t>
      </w:r>
      <w:r w:rsidR="00B7464E" w:rsidRPr="00CF3673">
        <w:rPr>
          <w:lang w:val="pt-PT"/>
        </w:rPr>
        <w:t xml:space="preserve"> dados agregados</w:t>
      </w:r>
      <w:r w:rsidR="00801C91" w:rsidRPr="00CF3673">
        <w:rPr>
          <w:lang w:val="pt-PT"/>
        </w:rPr>
        <w:t>. Reconhecendo esforços para assegurar a existência duma base de dados em todas as províncias para se produzir uma base de dados</w:t>
      </w:r>
      <w:r w:rsidR="00417E61" w:rsidRPr="00CF3673">
        <w:rPr>
          <w:lang w:val="pt-PT"/>
        </w:rPr>
        <w:t xml:space="preserve"> de </w:t>
      </w:r>
      <w:r w:rsidR="00B20E4D" w:rsidRPr="00CF3673">
        <w:rPr>
          <w:lang w:val="pt-PT"/>
        </w:rPr>
        <w:t>nível</w:t>
      </w:r>
      <w:r w:rsidR="00801C91" w:rsidRPr="00CF3673">
        <w:rPr>
          <w:lang w:val="pt-PT"/>
        </w:rPr>
        <w:t xml:space="preserve"> nacional, este esforço não resultou na produção duma bas</w:t>
      </w:r>
      <w:r w:rsidR="00417E61" w:rsidRPr="00CF3673">
        <w:rPr>
          <w:lang w:val="pt-PT"/>
        </w:rPr>
        <w:t>e de dados fiável pelo menos até</w:t>
      </w:r>
      <w:r w:rsidR="00801C91" w:rsidRPr="00CF3673">
        <w:rPr>
          <w:lang w:val="pt-PT"/>
        </w:rPr>
        <w:t xml:space="preserve"> altura em que </w:t>
      </w:r>
      <w:r w:rsidR="00417E61" w:rsidRPr="00CF3673">
        <w:rPr>
          <w:lang w:val="pt-PT"/>
        </w:rPr>
        <w:t xml:space="preserve">o </w:t>
      </w:r>
      <w:r w:rsidR="00801C91" w:rsidRPr="00CF3673">
        <w:rPr>
          <w:lang w:val="pt-PT"/>
        </w:rPr>
        <w:t>relatório</w:t>
      </w:r>
      <w:r w:rsidR="00417E61" w:rsidRPr="00CF3673">
        <w:rPr>
          <w:lang w:val="pt-PT"/>
        </w:rPr>
        <w:t xml:space="preserve"> do inquérito</w:t>
      </w:r>
      <w:r w:rsidR="00801C91" w:rsidRPr="00CF3673">
        <w:rPr>
          <w:lang w:val="pt-PT"/>
        </w:rPr>
        <w:t xml:space="preserve"> foi produzido. Dado que a informação ao nível provincial existe, agregar os dados provinciais de forma continua numa base de dados nacional ao nível do MIC parece ser tarefa fácil e tal poderia melhorar a informação sobre o sector ao nível nacional.</w:t>
      </w:r>
      <w:r w:rsidR="00B7464E" w:rsidRPr="00CF3673">
        <w:rPr>
          <w:lang w:val="pt-PT"/>
        </w:rPr>
        <w:t xml:space="preserve"> </w:t>
      </w:r>
    </w:p>
    <w:p w:rsidR="00AD190F" w:rsidRPr="00CF3673" w:rsidRDefault="00801C91" w:rsidP="001E664B">
      <w:pPr>
        <w:pStyle w:val="MainText"/>
        <w:rPr>
          <w:lang w:val="pt-PT"/>
        </w:rPr>
      </w:pPr>
      <w:r w:rsidRPr="00CF3673">
        <w:rPr>
          <w:lang w:val="pt-PT"/>
        </w:rPr>
        <w:t xml:space="preserve">Finalmente ficou concluído que </w:t>
      </w:r>
      <w:r w:rsidR="00417E61" w:rsidRPr="00CF3673">
        <w:rPr>
          <w:lang w:val="pt-PT"/>
        </w:rPr>
        <w:t xml:space="preserve">o </w:t>
      </w:r>
      <w:r w:rsidRPr="00CF3673">
        <w:rPr>
          <w:lang w:val="pt-PT"/>
        </w:rPr>
        <w:t>CEMPRE poderia providenciar um</w:t>
      </w:r>
      <w:r w:rsidR="00417E61" w:rsidRPr="00CF3673">
        <w:rPr>
          <w:lang w:val="pt-PT"/>
        </w:rPr>
        <w:t>a orientação</w:t>
      </w:r>
      <w:r w:rsidRPr="00CF3673">
        <w:rPr>
          <w:lang w:val="pt-PT"/>
        </w:rPr>
        <w:t xml:space="preserve"> útil sobre toda a estrutura da população de empresas </w:t>
      </w:r>
      <w:r w:rsidR="00417E61" w:rsidRPr="00CF3673">
        <w:rPr>
          <w:lang w:val="pt-PT"/>
        </w:rPr>
        <w:t>n</w:t>
      </w:r>
      <w:r w:rsidRPr="00CF3673">
        <w:rPr>
          <w:lang w:val="pt-PT"/>
        </w:rPr>
        <w:t xml:space="preserve">a </w:t>
      </w:r>
      <w:r w:rsidR="00AD190F" w:rsidRPr="00CF3673">
        <w:rPr>
          <w:lang w:val="pt-PT"/>
        </w:rPr>
        <w:t>indústria</w:t>
      </w:r>
      <w:r w:rsidRPr="00CF3673">
        <w:rPr>
          <w:lang w:val="pt-PT"/>
        </w:rPr>
        <w:t xml:space="preserve"> manufactureira</w:t>
      </w:r>
      <w:r w:rsidR="00792BEC" w:rsidRPr="00CF3673">
        <w:rPr>
          <w:lang w:val="pt-PT"/>
        </w:rPr>
        <w:t xml:space="preserve">; por exemplo o número e tipo de empresas por localização. </w:t>
      </w:r>
      <w:r w:rsidR="00B20E4D" w:rsidRPr="00CF3673">
        <w:rPr>
          <w:lang w:val="pt-PT"/>
        </w:rPr>
        <w:t>Devido a</w:t>
      </w:r>
      <w:r w:rsidR="00417E61" w:rsidRPr="00CF3673">
        <w:rPr>
          <w:lang w:val="pt-PT"/>
        </w:rPr>
        <w:t xml:space="preserve"> questões relativas aos</w:t>
      </w:r>
      <w:r w:rsidR="00792BEC" w:rsidRPr="00CF3673">
        <w:rPr>
          <w:lang w:val="pt-PT"/>
        </w:rPr>
        <w:t xml:space="preserve"> custos, a amostra foi limitada às </w:t>
      </w:r>
      <w:r w:rsidR="00AD190F" w:rsidRPr="00CF3673">
        <w:rPr>
          <w:lang w:val="pt-PT"/>
        </w:rPr>
        <w:t>províncias</w:t>
      </w:r>
      <w:r w:rsidR="00792BEC" w:rsidRPr="00CF3673">
        <w:rPr>
          <w:lang w:val="pt-PT"/>
        </w:rPr>
        <w:t xml:space="preserve"> com maior concentração de empresas manufactureiras, e dentro destas </w:t>
      </w:r>
      <w:r w:rsidR="00AD190F" w:rsidRPr="00CF3673">
        <w:rPr>
          <w:lang w:val="pt-PT"/>
        </w:rPr>
        <w:t>províncias</w:t>
      </w:r>
      <w:r w:rsidR="00792BEC" w:rsidRPr="00CF3673">
        <w:rPr>
          <w:lang w:val="pt-PT"/>
        </w:rPr>
        <w:t xml:space="preserve">, a amostra foi limitada aos distritos </w:t>
      </w:r>
      <w:r w:rsidR="00417E61" w:rsidRPr="00CF3673">
        <w:rPr>
          <w:lang w:val="pt-PT"/>
        </w:rPr>
        <w:t xml:space="preserve">igualmente </w:t>
      </w:r>
      <w:r w:rsidR="00792BEC" w:rsidRPr="00CF3673">
        <w:rPr>
          <w:lang w:val="pt-PT"/>
        </w:rPr>
        <w:t>com maior concentração de industriais manufactureiras</w:t>
      </w:r>
      <w:r w:rsidR="00AD190F" w:rsidRPr="00CF3673">
        <w:rPr>
          <w:lang w:val="pt-PT"/>
        </w:rPr>
        <w:t>. Isto t</w:t>
      </w:r>
      <w:r w:rsidR="00417E61" w:rsidRPr="00CF3673">
        <w:rPr>
          <w:lang w:val="pt-PT"/>
        </w:rPr>
        <w:t xml:space="preserve">eve </w:t>
      </w:r>
      <w:r w:rsidR="00AD190F" w:rsidRPr="00CF3673">
        <w:rPr>
          <w:lang w:val="pt-PT"/>
        </w:rPr>
        <w:t>o seu lado negativo ao criar uma amostra de apenas empresas manufactureiras urbanizadas. A lista do CEMPRE tem 3,289 empresas manufactureiras em Moçambique</w:t>
      </w:r>
      <w:r w:rsidR="00AD190F" w:rsidRPr="00CF3673">
        <w:rPr>
          <w:rStyle w:val="FootnoteReference"/>
          <w:lang w:val="pt-PT"/>
        </w:rPr>
        <w:footnoteReference w:id="4"/>
      </w:r>
      <w:r w:rsidR="00AD190F" w:rsidRPr="00CF3673">
        <w:rPr>
          <w:lang w:val="pt-PT"/>
        </w:rPr>
        <w:t>, distribuídas ao nível das províncias conforme a tabela 2.1</w:t>
      </w:r>
    </w:p>
    <w:p w:rsidR="00FD3C2E" w:rsidRPr="00CF3673" w:rsidRDefault="00E333A2" w:rsidP="00B06D3F">
      <w:pPr>
        <w:pStyle w:val="TableTitle"/>
        <w:rPr>
          <w:lang w:val="pt-PT"/>
        </w:rPr>
      </w:pPr>
      <w:bookmarkStart w:id="13" w:name="_Toc360720433"/>
      <w:r w:rsidRPr="00CF3673">
        <w:rPr>
          <w:lang w:val="pt-PT"/>
        </w:rPr>
        <w:t>Tab</w:t>
      </w:r>
      <w:r w:rsidR="00AD190F" w:rsidRPr="00CF3673">
        <w:rPr>
          <w:lang w:val="pt-PT"/>
        </w:rPr>
        <w:t>ela</w:t>
      </w:r>
      <w:r w:rsidR="00FD3C2E" w:rsidRPr="00CF3673">
        <w:rPr>
          <w:lang w:val="pt-PT"/>
        </w:rPr>
        <w:t xml:space="preserve"> 2.1: </w:t>
      </w:r>
      <w:r w:rsidR="003D06B7" w:rsidRPr="00CF3673">
        <w:rPr>
          <w:lang w:val="pt-PT"/>
        </w:rPr>
        <w:t>Popula</w:t>
      </w:r>
      <w:r w:rsidR="00AD190F" w:rsidRPr="00CF3673">
        <w:rPr>
          <w:lang w:val="pt-PT"/>
        </w:rPr>
        <w:t>ção das Empresas Manufactureiras em Moçambique por Província</w:t>
      </w:r>
      <w:bookmarkEnd w:id="13"/>
    </w:p>
    <w:tbl>
      <w:tblPr>
        <w:tblStyle w:val="StandardTable1"/>
        <w:tblW w:w="5960" w:type="dxa"/>
        <w:jc w:val="center"/>
        <w:tblLook w:val="04E0" w:firstRow="1" w:lastRow="1" w:firstColumn="1" w:lastColumn="0" w:noHBand="0" w:noVBand="1"/>
      </w:tblPr>
      <w:tblGrid>
        <w:gridCol w:w="1344"/>
        <w:gridCol w:w="1002"/>
        <w:gridCol w:w="1775"/>
        <w:gridCol w:w="1839"/>
      </w:tblGrid>
      <w:tr w:rsidR="00CA5E60" w:rsidRPr="00CF3673" w:rsidTr="00AD190F">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noWrap/>
            <w:hideMark/>
          </w:tcPr>
          <w:p w:rsidR="00CA5E60" w:rsidRPr="00CF3673" w:rsidRDefault="00CA5E60" w:rsidP="00CA5E60">
            <w:pPr>
              <w:rPr>
                <w:rFonts w:ascii="Calibri" w:eastAsia="Times New Roman" w:hAnsi="Calibri" w:cs="Times New Roman"/>
                <w:color w:val="000000"/>
                <w:lang w:eastAsia="zh-CN"/>
              </w:rPr>
            </w:pPr>
          </w:p>
        </w:tc>
        <w:tc>
          <w:tcPr>
            <w:tcW w:w="1002" w:type="dxa"/>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w:t>
            </w:r>
            <w:r w:rsidR="00AD190F" w:rsidRPr="00CF3673">
              <w:rPr>
                <w:rFonts w:ascii="Calibri" w:eastAsia="Times New Roman" w:hAnsi="Calibri" w:cs="Times New Roman"/>
                <w:color w:val="000000"/>
                <w:lang w:eastAsia="zh-CN"/>
              </w:rPr>
              <w:t>ú</w:t>
            </w:r>
            <w:r w:rsidRPr="00CF3673">
              <w:rPr>
                <w:rFonts w:ascii="Calibri" w:eastAsia="Times New Roman" w:hAnsi="Calibri" w:cs="Times New Roman"/>
                <w:color w:val="000000"/>
                <w:lang w:eastAsia="zh-CN"/>
              </w:rPr>
              <w:t>m</w:t>
            </w:r>
            <w:r w:rsidR="00AD190F" w:rsidRPr="00CF3673">
              <w:rPr>
                <w:rFonts w:ascii="Calibri" w:eastAsia="Times New Roman" w:hAnsi="Calibri" w:cs="Times New Roman"/>
                <w:color w:val="000000"/>
                <w:lang w:eastAsia="zh-CN"/>
              </w:rPr>
              <w:t>e</w:t>
            </w:r>
            <w:r w:rsidRPr="00CF3673">
              <w:rPr>
                <w:rFonts w:ascii="Calibri" w:eastAsia="Times New Roman" w:hAnsi="Calibri" w:cs="Times New Roman"/>
                <w:color w:val="000000"/>
                <w:lang w:eastAsia="zh-CN"/>
              </w:rPr>
              <w:t>r</w:t>
            </w:r>
            <w:r w:rsidR="00AD190F" w:rsidRPr="00CF3673">
              <w:rPr>
                <w:rFonts w:ascii="Calibri" w:eastAsia="Times New Roman" w:hAnsi="Calibri" w:cs="Times New Roman"/>
                <w:color w:val="000000"/>
                <w:lang w:eastAsia="zh-CN"/>
              </w:rPr>
              <w:t>o</w:t>
            </w:r>
            <w:r w:rsidRPr="00CF3673">
              <w:rPr>
                <w:rFonts w:ascii="Calibri" w:eastAsia="Times New Roman" w:hAnsi="Calibri" w:cs="Times New Roman"/>
                <w:color w:val="000000"/>
                <w:lang w:eastAsia="zh-CN"/>
              </w:rPr>
              <w:t xml:space="preserve"> </w:t>
            </w:r>
          </w:p>
          <w:p w:rsidR="00CA5E60" w:rsidRPr="00CF3673" w:rsidRDefault="00AD190F" w:rsidP="00AD19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de empresas</w:t>
            </w:r>
          </w:p>
        </w:tc>
        <w:tc>
          <w:tcPr>
            <w:tcW w:w="0" w:type="auto"/>
          </w:tcPr>
          <w:p w:rsidR="00CA5E60" w:rsidRPr="00CF3673" w:rsidRDefault="00AD190F" w:rsidP="00AD19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E80099" w:rsidRPr="00CF3673">
              <w:rPr>
                <w:rFonts w:ascii="Calibri" w:eastAsia="Times New Roman" w:hAnsi="Calibri" w:cs="Times New Roman"/>
                <w:color w:val="000000"/>
                <w:lang w:eastAsia="zh-CN"/>
              </w:rPr>
              <w:t>.</w:t>
            </w:r>
            <w:r w:rsidR="00CA5E60" w:rsidRPr="00CF3673">
              <w:rPr>
                <w:rFonts w:ascii="Calibri" w:eastAsia="Times New Roman" w:hAnsi="Calibri" w:cs="Times New Roman"/>
                <w:color w:val="000000"/>
                <w:lang w:eastAsia="zh-CN"/>
              </w:rPr>
              <w:t xml:space="preserve"> </w:t>
            </w:r>
            <w:r w:rsidRPr="00CF3673">
              <w:rPr>
                <w:rFonts w:ascii="Calibri" w:eastAsia="Times New Roman" w:hAnsi="Calibri" w:cs="Times New Roman"/>
                <w:color w:val="000000"/>
                <w:lang w:eastAsia="zh-CN"/>
              </w:rPr>
              <w:t>do total da população</w:t>
            </w:r>
          </w:p>
        </w:tc>
        <w:tc>
          <w:tcPr>
            <w:tcW w:w="1839" w:type="dxa"/>
          </w:tcPr>
          <w:p w:rsidR="00CA5E60" w:rsidRPr="00CF3673" w:rsidRDefault="00AD190F" w:rsidP="00AD19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Incluída no quadro da amostra</w:t>
            </w:r>
          </w:p>
        </w:tc>
      </w:tr>
      <w:tr w:rsidR="00CA5E60" w:rsidRPr="00CF3673" w:rsidTr="00AD190F">
        <w:trPr>
          <w:trHeight w:val="300"/>
          <w:jc w:val="center"/>
        </w:trPr>
        <w:tc>
          <w:tcPr>
            <w:tcW w:w="0" w:type="auto"/>
            <w:noWrap/>
            <w:hideMark/>
          </w:tcPr>
          <w:p w:rsidR="00CA5E60" w:rsidRPr="00CF3673" w:rsidRDefault="00CA5E60"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Niassa</w:t>
            </w:r>
          </w:p>
        </w:tc>
        <w:tc>
          <w:tcPr>
            <w:tcW w:w="1002" w:type="dxa"/>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142</w:t>
            </w:r>
          </w:p>
        </w:tc>
        <w:tc>
          <w:tcPr>
            <w:tcW w:w="1775" w:type="dxa"/>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4.3</w:t>
            </w:r>
          </w:p>
        </w:tc>
        <w:tc>
          <w:tcPr>
            <w:tcW w:w="1839" w:type="dxa"/>
          </w:tcPr>
          <w:p w:rsidR="00CA5E60" w:rsidRPr="00CF3673" w:rsidRDefault="00CA5E60" w:rsidP="00AD19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Exclu</w:t>
            </w:r>
            <w:r w:rsidR="00AD190F" w:rsidRPr="00CF3673">
              <w:rPr>
                <w:rFonts w:ascii="Calibri" w:eastAsia="Times New Roman" w:hAnsi="Calibri" w:cs="Times New Roman"/>
                <w:color w:val="000000"/>
                <w:lang w:eastAsia="zh-CN"/>
              </w:rPr>
              <w:t>ída</w:t>
            </w:r>
          </w:p>
        </w:tc>
      </w:tr>
      <w:tr w:rsidR="00CA5E60" w:rsidRPr="00CF3673" w:rsidTr="00AD190F">
        <w:trPr>
          <w:trHeight w:val="300"/>
          <w:jc w:val="center"/>
        </w:trPr>
        <w:tc>
          <w:tcPr>
            <w:tcW w:w="0" w:type="auto"/>
            <w:noWrap/>
            <w:hideMark/>
          </w:tcPr>
          <w:p w:rsidR="00CA5E60" w:rsidRPr="00CF3673" w:rsidRDefault="00CA5E60"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Cabo Delgado</w:t>
            </w:r>
          </w:p>
        </w:tc>
        <w:tc>
          <w:tcPr>
            <w:tcW w:w="1002" w:type="dxa"/>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117</w:t>
            </w:r>
          </w:p>
        </w:tc>
        <w:tc>
          <w:tcPr>
            <w:tcW w:w="1775" w:type="dxa"/>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3.6</w:t>
            </w:r>
          </w:p>
        </w:tc>
        <w:tc>
          <w:tcPr>
            <w:tcW w:w="1839" w:type="dxa"/>
          </w:tcPr>
          <w:p w:rsidR="00CA5E60"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Excluída</w:t>
            </w:r>
          </w:p>
        </w:tc>
      </w:tr>
      <w:tr w:rsidR="00CA5E60" w:rsidRPr="00CF3673" w:rsidTr="00AD190F">
        <w:trPr>
          <w:trHeight w:val="300"/>
          <w:jc w:val="center"/>
        </w:trPr>
        <w:tc>
          <w:tcPr>
            <w:tcW w:w="0" w:type="auto"/>
            <w:noWrap/>
            <w:hideMark/>
          </w:tcPr>
          <w:p w:rsidR="00CA5E60" w:rsidRPr="00CF3673" w:rsidRDefault="00CA5E60"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Nampula</w:t>
            </w:r>
          </w:p>
        </w:tc>
        <w:tc>
          <w:tcPr>
            <w:tcW w:w="1002" w:type="dxa"/>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237</w:t>
            </w:r>
          </w:p>
        </w:tc>
        <w:tc>
          <w:tcPr>
            <w:tcW w:w="1775" w:type="dxa"/>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7.2</w:t>
            </w:r>
          </w:p>
        </w:tc>
        <w:tc>
          <w:tcPr>
            <w:tcW w:w="1839" w:type="dxa"/>
          </w:tcPr>
          <w:p w:rsidR="00CA5E60" w:rsidRPr="00CF3673" w:rsidRDefault="00AD190F" w:rsidP="00AD19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Sim</w:t>
            </w:r>
          </w:p>
        </w:tc>
      </w:tr>
      <w:tr w:rsidR="00CA5E60" w:rsidRPr="00CF3673" w:rsidTr="00AD190F">
        <w:trPr>
          <w:trHeight w:val="300"/>
          <w:jc w:val="center"/>
        </w:trPr>
        <w:tc>
          <w:tcPr>
            <w:tcW w:w="0" w:type="auto"/>
            <w:noWrap/>
            <w:hideMark/>
          </w:tcPr>
          <w:p w:rsidR="00CA5E60" w:rsidRPr="00CF3673" w:rsidRDefault="00CA5E60"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Zambézia</w:t>
            </w:r>
          </w:p>
        </w:tc>
        <w:tc>
          <w:tcPr>
            <w:tcW w:w="1002" w:type="dxa"/>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105</w:t>
            </w:r>
          </w:p>
        </w:tc>
        <w:tc>
          <w:tcPr>
            <w:tcW w:w="1775" w:type="dxa"/>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3.2</w:t>
            </w:r>
          </w:p>
        </w:tc>
        <w:tc>
          <w:tcPr>
            <w:tcW w:w="1839" w:type="dxa"/>
          </w:tcPr>
          <w:p w:rsidR="00CA5E60"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Excluída</w:t>
            </w:r>
          </w:p>
        </w:tc>
      </w:tr>
      <w:tr w:rsidR="00AD190F" w:rsidRPr="00CF3673" w:rsidTr="00AD190F">
        <w:trPr>
          <w:trHeight w:val="300"/>
          <w:jc w:val="center"/>
        </w:trPr>
        <w:tc>
          <w:tcPr>
            <w:tcW w:w="0" w:type="auto"/>
            <w:noWrap/>
            <w:hideMark/>
          </w:tcPr>
          <w:p w:rsidR="00AD190F" w:rsidRPr="00CF3673" w:rsidRDefault="00AD190F"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Tete</w:t>
            </w:r>
          </w:p>
        </w:tc>
        <w:tc>
          <w:tcPr>
            <w:tcW w:w="1002" w:type="dxa"/>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133</w:t>
            </w:r>
          </w:p>
        </w:tc>
        <w:tc>
          <w:tcPr>
            <w:tcW w:w="1775" w:type="dxa"/>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4.0</w:t>
            </w:r>
          </w:p>
        </w:tc>
        <w:tc>
          <w:tcPr>
            <w:tcW w:w="1839" w:type="dxa"/>
          </w:tcPr>
          <w:p w:rsidR="00AD190F" w:rsidRPr="00CF3673" w:rsidRDefault="00AD190F" w:rsidP="00AD190F">
            <w:pPr>
              <w:jc w:val="center"/>
            </w:pPr>
            <w:r w:rsidRPr="00CF3673">
              <w:rPr>
                <w:rFonts w:ascii="Calibri" w:eastAsia="Times New Roman" w:hAnsi="Calibri" w:cs="Times New Roman"/>
                <w:color w:val="000000"/>
                <w:lang w:eastAsia="zh-CN"/>
              </w:rPr>
              <w:t>Sim</w:t>
            </w:r>
          </w:p>
        </w:tc>
      </w:tr>
      <w:tr w:rsidR="00AD190F" w:rsidRPr="00CF3673" w:rsidTr="00AD190F">
        <w:trPr>
          <w:trHeight w:val="300"/>
          <w:jc w:val="center"/>
        </w:trPr>
        <w:tc>
          <w:tcPr>
            <w:tcW w:w="0" w:type="auto"/>
            <w:noWrap/>
            <w:hideMark/>
          </w:tcPr>
          <w:p w:rsidR="00AD190F" w:rsidRPr="00CF3673" w:rsidRDefault="00AD190F"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Manica</w:t>
            </w:r>
          </w:p>
        </w:tc>
        <w:tc>
          <w:tcPr>
            <w:tcW w:w="1002" w:type="dxa"/>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328</w:t>
            </w:r>
          </w:p>
        </w:tc>
        <w:tc>
          <w:tcPr>
            <w:tcW w:w="1775" w:type="dxa"/>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10.0</w:t>
            </w:r>
          </w:p>
        </w:tc>
        <w:tc>
          <w:tcPr>
            <w:tcW w:w="1839" w:type="dxa"/>
          </w:tcPr>
          <w:p w:rsidR="00AD190F" w:rsidRPr="00CF3673" w:rsidRDefault="00AD190F" w:rsidP="00AD190F">
            <w:pPr>
              <w:jc w:val="center"/>
            </w:pPr>
            <w:r w:rsidRPr="00CF3673">
              <w:rPr>
                <w:rFonts w:ascii="Calibri" w:eastAsia="Times New Roman" w:hAnsi="Calibri" w:cs="Times New Roman"/>
                <w:color w:val="000000"/>
                <w:lang w:eastAsia="zh-CN"/>
              </w:rPr>
              <w:t>Sim</w:t>
            </w:r>
          </w:p>
        </w:tc>
      </w:tr>
      <w:tr w:rsidR="00AD190F" w:rsidRPr="00CF3673" w:rsidTr="00AD190F">
        <w:trPr>
          <w:trHeight w:val="300"/>
          <w:jc w:val="center"/>
        </w:trPr>
        <w:tc>
          <w:tcPr>
            <w:tcW w:w="0" w:type="auto"/>
            <w:noWrap/>
            <w:hideMark/>
          </w:tcPr>
          <w:p w:rsidR="00AD190F" w:rsidRPr="00CF3673" w:rsidRDefault="00AD190F"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Sofala</w:t>
            </w:r>
          </w:p>
        </w:tc>
        <w:tc>
          <w:tcPr>
            <w:tcW w:w="1002" w:type="dxa"/>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628</w:t>
            </w:r>
          </w:p>
        </w:tc>
        <w:tc>
          <w:tcPr>
            <w:tcW w:w="1775" w:type="dxa"/>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19.1</w:t>
            </w:r>
          </w:p>
        </w:tc>
        <w:tc>
          <w:tcPr>
            <w:tcW w:w="1839" w:type="dxa"/>
          </w:tcPr>
          <w:p w:rsidR="00AD190F" w:rsidRPr="00CF3673" w:rsidRDefault="00AD190F" w:rsidP="00AD190F">
            <w:pPr>
              <w:jc w:val="center"/>
            </w:pPr>
            <w:r w:rsidRPr="00CF3673">
              <w:rPr>
                <w:rFonts w:ascii="Calibri" w:eastAsia="Times New Roman" w:hAnsi="Calibri" w:cs="Times New Roman"/>
                <w:color w:val="000000"/>
                <w:lang w:eastAsia="zh-CN"/>
              </w:rPr>
              <w:t>Sim</w:t>
            </w:r>
          </w:p>
        </w:tc>
      </w:tr>
      <w:tr w:rsidR="00CA5E60" w:rsidRPr="00CF3673" w:rsidTr="00AD190F">
        <w:trPr>
          <w:trHeight w:val="300"/>
          <w:jc w:val="center"/>
        </w:trPr>
        <w:tc>
          <w:tcPr>
            <w:tcW w:w="0" w:type="auto"/>
            <w:noWrap/>
            <w:hideMark/>
          </w:tcPr>
          <w:p w:rsidR="00CA5E60" w:rsidRPr="00CF3673" w:rsidRDefault="00CA5E60"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Inhambane</w:t>
            </w:r>
          </w:p>
        </w:tc>
        <w:tc>
          <w:tcPr>
            <w:tcW w:w="1002" w:type="dxa"/>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147</w:t>
            </w:r>
          </w:p>
        </w:tc>
        <w:tc>
          <w:tcPr>
            <w:tcW w:w="1775" w:type="dxa"/>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4.5</w:t>
            </w:r>
          </w:p>
        </w:tc>
        <w:tc>
          <w:tcPr>
            <w:tcW w:w="1839" w:type="dxa"/>
          </w:tcPr>
          <w:p w:rsidR="00CA5E60"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Excluída</w:t>
            </w:r>
          </w:p>
        </w:tc>
      </w:tr>
      <w:tr w:rsidR="00AD190F" w:rsidRPr="00CF3673" w:rsidTr="00AD190F">
        <w:trPr>
          <w:trHeight w:val="300"/>
          <w:jc w:val="center"/>
        </w:trPr>
        <w:tc>
          <w:tcPr>
            <w:tcW w:w="0" w:type="auto"/>
            <w:noWrap/>
            <w:hideMark/>
          </w:tcPr>
          <w:p w:rsidR="00AD190F" w:rsidRPr="00CF3673" w:rsidRDefault="00AD190F"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Gaza</w:t>
            </w:r>
          </w:p>
        </w:tc>
        <w:tc>
          <w:tcPr>
            <w:tcW w:w="1002" w:type="dxa"/>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222</w:t>
            </w:r>
          </w:p>
        </w:tc>
        <w:tc>
          <w:tcPr>
            <w:tcW w:w="1775" w:type="dxa"/>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6.7</w:t>
            </w:r>
          </w:p>
        </w:tc>
        <w:tc>
          <w:tcPr>
            <w:tcW w:w="1839" w:type="dxa"/>
          </w:tcPr>
          <w:p w:rsidR="00AD190F" w:rsidRPr="00CF3673" w:rsidRDefault="00AD190F" w:rsidP="00AD190F">
            <w:pPr>
              <w:jc w:val="center"/>
            </w:pPr>
            <w:r w:rsidRPr="00CF3673">
              <w:rPr>
                <w:rFonts w:ascii="Calibri" w:eastAsia="Times New Roman" w:hAnsi="Calibri" w:cs="Times New Roman"/>
                <w:color w:val="000000"/>
                <w:lang w:eastAsia="zh-CN"/>
              </w:rPr>
              <w:t>Sim</w:t>
            </w:r>
          </w:p>
        </w:tc>
      </w:tr>
      <w:tr w:rsidR="00AD190F" w:rsidRPr="00CF3673" w:rsidTr="00AD190F">
        <w:trPr>
          <w:trHeight w:val="300"/>
          <w:jc w:val="center"/>
        </w:trPr>
        <w:tc>
          <w:tcPr>
            <w:tcW w:w="0" w:type="auto"/>
            <w:noWrap/>
            <w:hideMark/>
          </w:tcPr>
          <w:p w:rsidR="00AD190F" w:rsidRPr="00CF3673" w:rsidRDefault="00AD190F"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Maputo P</w:t>
            </w:r>
          </w:p>
        </w:tc>
        <w:tc>
          <w:tcPr>
            <w:tcW w:w="1002" w:type="dxa"/>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313</w:t>
            </w:r>
          </w:p>
        </w:tc>
        <w:tc>
          <w:tcPr>
            <w:tcW w:w="1775" w:type="dxa"/>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9.5</w:t>
            </w:r>
          </w:p>
        </w:tc>
        <w:tc>
          <w:tcPr>
            <w:tcW w:w="1839" w:type="dxa"/>
          </w:tcPr>
          <w:p w:rsidR="00AD190F" w:rsidRPr="00CF3673" w:rsidRDefault="00AD190F" w:rsidP="00AD190F">
            <w:pPr>
              <w:jc w:val="center"/>
            </w:pPr>
            <w:r w:rsidRPr="00CF3673">
              <w:rPr>
                <w:rFonts w:ascii="Calibri" w:eastAsia="Times New Roman" w:hAnsi="Calibri" w:cs="Times New Roman"/>
                <w:color w:val="000000"/>
                <w:lang w:eastAsia="zh-CN"/>
              </w:rPr>
              <w:t>Sim</w:t>
            </w:r>
          </w:p>
        </w:tc>
      </w:tr>
      <w:tr w:rsidR="00AD190F" w:rsidRPr="00CF3673" w:rsidTr="00AD190F">
        <w:trPr>
          <w:trHeight w:val="300"/>
          <w:jc w:val="center"/>
        </w:trPr>
        <w:tc>
          <w:tcPr>
            <w:tcW w:w="0" w:type="auto"/>
            <w:tcBorders>
              <w:bottom w:val="single" w:sz="4" w:space="0" w:color="auto"/>
            </w:tcBorders>
            <w:noWrap/>
            <w:hideMark/>
          </w:tcPr>
          <w:p w:rsidR="00AD190F" w:rsidRPr="00CF3673" w:rsidRDefault="00AD190F"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lastRenderedPageBreak/>
              <w:t>Maputo C</w:t>
            </w:r>
          </w:p>
        </w:tc>
        <w:tc>
          <w:tcPr>
            <w:tcW w:w="1002" w:type="dxa"/>
            <w:tcBorders>
              <w:bottom w:val="single" w:sz="4" w:space="0" w:color="auto"/>
            </w:tcBorders>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917</w:t>
            </w:r>
          </w:p>
        </w:tc>
        <w:tc>
          <w:tcPr>
            <w:tcW w:w="1775" w:type="dxa"/>
            <w:tcBorders>
              <w:bottom w:val="single" w:sz="4" w:space="0" w:color="auto"/>
            </w:tcBorders>
          </w:tcPr>
          <w:p w:rsidR="00AD190F" w:rsidRPr="00CF3673" w:rsidRDefault="00AD190F"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27.9</w:t>
            </w:r>
          </w:p>
        </w:tc>
        <w:tc>
          <w:tcPr>
            <w:tcW w:w="1839" w:type="dxa"/>
            <w:tcBorders>
              <w:bottom w:val="single" w:sz="4" w:space="0" w:color="auto"/>
            </w:tcBorders>
          </w:tcPr>
          <w:p w:rsidR="00AD190F" w:rsidRPr="00CF3673" w:rsidRDefault="00AD190F" w:rsidP="00AD190F">
            <w:pPr>
              <w:jc w:val="center"/>
            </w:pPr>
            <w:r w:rsidRPr="00CF3673">
              <w:rPr>
                <w:rFonts w:ascii="Calibri" w:eastAsia="Times New Roman" w:hAnsi="Calibri" w:cs="Times New Roman"/>
                <w:color w:val="000000"/>
                <w:lang w:eastAsia="zh-CN"/>
              </w:rPr>
              <w:t>Sim</w:t>
            </w:r>
          </w:p>
        </w:tc>
      </w:tr>
      <w:tr w:rsidR="00CA5E60" w:rsidRPr="00CF3673" w:rsidTr="00AD190F">
        <w:trPr>
          <w:trHeight w:val="300"/>
          <w:jc w:val="center"/>
        </w:trPr>
        <w:tc>
          <w:tcPr>
            <w:tcW w:w="0" w:type="auto"/>
            <w:tcBorders>
              <w:top w:val="single" w:sz="4" w:space="0" w:color="auto"/>
              <w:bottom w:val="double" w:sz="4" w:space="0" w:color="auto"/>
            </w:tcBorders>
            <w:noWrap/>
            <w:hideMark/>
          </w:tcPr>
          <w:p w:rsidR="00CA5E60" w:rsidRPr="00CF3673" w:rsidRDefault="00CA5E60" w:rsidP="00CA5E6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Total</w:t>
            </w:r>
          </w:p>
        </w:tc>
        <w:tc>
          <w:tcPr>
            <w:tcW w:w="1002" w:type="dxa"/>
            <w:tcBorders>
              <w:top w:val="single" w:sz="4" w:space="0" w:color="auto"/>
              <w:bottom w:val="double" w:sz="4" w:space="0" w:color="auto"/>
            </w:tcBorders>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3,289</w:t>
            </w:r>
          </w:p>
        </w:tc>
        <w:tc>
          <w:tcPr>
            <w:tcW w:w="1775" w:type="dxa"/>
            <w:tcBorders>
              <w:top w:val="single" w:sz="4" w:space="0" w:color="auto"/>
              <w:bottom w:val="double" w:sz="4" w:space="0" w:color="auto"/>
            </w:tcBorders>
          </w:tcPr>
          <w:p w:rsidR="00CA5E60" w:rsidRPr="00CF3673" w:rsidRDefault="00CA5E60" w:rsidP="00CA5E6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100.0</w:t>
            </w:r>
          </w:p>
        </w:tc>
        <w:tc>
          <w:tcPr>
            <w:tcW w:w="1839" w:type="dxa"/>
            <w:tcBorders>
              <w:top w:val="single" w:sz="4" w:space="0" w:color="auto"/>
              <w:bottom w:val="double" w:sz="4" w:space="0" w:color="auto"/>
            </w:tcBorders>
          </w:tcPr>
          <w:p w:rsidR="00CA5E60" w:rsidRPr="00CF3673" w:rsidRDefault="00CA5E60" w:rsidP="00AD19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2,778 (84.5</w:t>
            </w:r>
            <w:r w:rsidR="00D42829" w:rsidRPr="00CF3673">
              <w:rPr>
                <w:rFonts w:ascii="Calibri" w:eastAsia="Times New Roman" w:hAnsi="Calibri" w:cs="Times New Roman"/>
                <w:color w:val="000000"/>
                <w:lang w:eastAsia="zh-CN"/>
              </w:rPr>
              <w:t xml:space="preserve"> </w:t>
            </w:r>
            <w:r w:rsidR="00AD190F" w:rsidRPr="00CF3673">
              <w:rPr>
                <w:rFonts w:ascii="Calibri" w:eastAsia="Times New Roman" w:hAnsi="Calibri" w:cs="Times New Roman"/>
                <w:color w:val="000000"/>
                <w:lang w:eastAsia="zh-CN"/>
              </w:rPr>
              <w:t>%</w:t>
            </w:r>
            <w:r w:rsidRPr="00CF3673">
              <w:rPr>
                <w:rFonts w:ascii="Calibri" w:eastAsia="Times New Roman" w:hAnsi="Calibri" w:cs="Times New Roman"/>
                <w:color w:val="000000"/>
                <w:lang w:eastAsia="zh-CN"/>
              </w:rPr>
              <w:t>)</w:t>
            </w:r>
          </w:p>
        </w:tc>
      </w:tr>
      <w:tr w:rsidR="00CA5E60" w:rsidRPr="00CF3673" w:rsidTr="005424B3">
        <w:trPr>
          <w:cnfStyle w:val="010000000000" w:firstRow="0" w:lastRow="1" w:firstColumn="0" w:lastColumn="0" w:oddVBand="0" w:evenVBand="0" w:oddHBand="0" w:evenHBand="0" w:firstRowFirstColumn="0" w:firstRowLastColumn="0" w:lastRowFirstColumn="0" w:lastRowLastColumn="0"/>
          <w:trHeight w:val="300"/>
          <w:jc w:val="center"/>
        </w:trPr>
        <w:tc>
          <w:tcPr>
            <w:tcW w:w="5960" w:type="dxa"/>
            <w:gridSpan w:val="4"/>
            <w:tcBorders>
              <w:top w:val="nil"/>
            </w:tcBorders>
            <w:noWrap/>
          </w:tcPr>
          <w:p w:rsidR="00CA5E60" w:rsidRPr="00CF3673" w:rsidRDefault="00AD190F" w:rsidP="00260606">
            <w:pPr>
              <w:pStyle w:val="Tablenote"/>
              <w:rPr>
                <w:b/>
                <w:lang w:val="pt-PT" w:eastAsia="zh-CN"/>
              </w:rPr>
            </w:pPr>
            <w:r w:rsidRPr="00CF3673">
              <w:rPr>
                <w:b/>
                <w:lang w:val="pt-PT" w:eastAsia="zh-CN"/>
              </w:rPr>
              <w:t>Fonte</w:t>
            </w:r>
            <w:r w:rsidR="00CA5E60" w:rsidRPr="00CF3673">
              <w:rPr>
                <w:b/>
                <w:lang w:val="pt-PT" w:eastAsia="zh-CN"/>
              </w:rPr>
              <w:t>:</w:t>
            </w:r>
            <w:r w:rsidR="00CA5E60" w:rsidRPr="00CF3673">
              <w:rPr>
                <w:lang w:val="pt-PT" w:eastAsia="zh-CN"/>
              </w:rPr>
              <w:t xml:space="preserve"> </w:t>
            </w:r>
            <w:r w:rsidRPr="00CF3673">
              <w:rPr>
                <w:lang w:val="pt-PT" w:eastAsia="zh-CN"/>
              </w:rPr>
              <w:t xml:space="preserve">Calculo dos </w:t>
            </w:r>
            <w:r w:rsidR="00260606" w:rsidRPr="00CF3673">
              <w:rPr>
                <w:lang w:val="pt-PT" w:eastAsia="zh-CN"/>
              </w:rPr>
              <w:t>a</w:t>
            </w:r>
            <w:r w:rsidRPr="00CF3673">
              <w:rPr>
                <w:lang w:val="pt-PT" w:eastAsia="zh-CN"/>
              </w:rPr>
              <w:t>utores usando dados do</w:t>
            </w:r>
            <w:r w:rsidR="00CA5E60" w:rsidRPr="00CF3673">
              <w:rPr>
                <w:lang w:val="pt-PT" w:eastAsia="zh-CN"/>
              </w:rPr>
              <w:t xml:space="preserve"> CEMPRE</w:t>
            </w:r>
          </w:p>
        </w:tc>
      </w:tr>
    </w:tbl>
    <w:p w:rsidR="00AD190F" w:rsidRPr="00CF3673" w:rsidRDefault="00AD190F" w:rsidP="001E664B">
      <w:pPr>
        <w:pStyle w:val="MainText"/>
        <w:rPr>
          <w:lang w:val="pt-PT"/>
        </w:rPr>
      </w:pPr>
    </w:p>
    <w:p w:rsidR="009B3083" w:rsidRPr="00CF3673" w:rsidRDefault="009B3083" w:rsidP="001E664B">
      <w:pPr>
        <w:pStyle w:val="MainText"/>
        <w:rPr>
          <w:lang w:val="pt-PT"/>
        </w:rPr>
      </w:pPr>
      <w:r w:rsidRPr="00CF3673">
        <w:rPr>
          <w:lang w:val="pt-PT"/>
        </w:rPr>
        <w:t xml:space="preserve">7 das 11 províncias foram seleccionadas, contendo 85% do total das empresas manufactureiras (os recentes desenvolvimentos em Tete foram a razão para manter esta província no quadro da amostra). A selecção dos distritos dentro destas províncias visou pelo menos 50% das empresas em cada província. No final, as cidades/distritos na tabela 2.2 foram incluídas na amostra. </w:t>
      </w:r>
      <w:r w:rsidR="00197DBE" w:rsidRPr="00CF3673">
        <w:rPr>
          <w:lang w:val="pt-PT"/>
        </w:rPr>
        <w:t>O total da amostra</w:t>
      </w:r>
      <w:r w:rsidRPr="00CF3673">
        <w:rPr>
          <w:lang w:val="pt-PT"/>
        </w:rPr>
        <w:t xml:space="preserve"> compreende mais de 60% das empresas manufactureiras em Moçambique</w:t>
      </w:r>
      <w:r w:rsidRPr="00CF3673">
        <w:rPr>
          <w:rStyle w:val="FootnoteReference"/>
          <w:lang w:val="pt-PT"/>
        </w:rPr>
        <w:footnoteReference w:id="5"/>
      </w:r>
      <w:r w:rsidRPr="00CF3673">
        <w:rPr>
          <w:lang w:val="pt-PT"/>
        </w:rPr>
        <w:t>. Isto confirma que as empresas manufactureiras em Moçambique estão concentradas dentro de pequenas localidades</w:t>
      </w:r>
      <w:r w:rsidR="00197DBE" w:rsidRPr="00CF3673">
        <w:rPr>
          <w:lang w:val="pt-PT"/>
        </w:rPr>
        <w:t>.</w:t>
      </w:r>
      <w:r w:rsidRPr="00CF3673">
        <w:rPr>
          <w:lang w:val="pt-PT"/>
        </w:rPr>
        <w:t xml:space="preserve">    </w:t>
      </w:r>
    </w:p>
    <w:p w:rsidR="00AB701C" w:rsidRPr="00CF3673" w:rsidRDefault="00E333A2" w:rsidP="00B06D3F">
      <w:pPr>
        <w:pStyle w:val="TableTitle"/>
        <w:rPr>
          <w:lang w:val="pt-PT"/>
        </w:rPr>
      </w:pPr>
      <w:bookmarkStart w:id="14" w:name="_Toc360720434"/>
      <w:r w:rsidRPr="00CF3673">
        <w:rPr>
          <w:lang w:val="pt-PT"/>
        </w:rPr>
        <w:t>Tab</w:t>
      </w:r>
      <w:r w:rsidR="009B3083" w:rsidRPr="00CF3673">
        <w:rPr>
          <w:lang w:val="pt-PT"/>
        </w:rPr>
        <w:t>ela</w:t>
      </w:r>
      <w:r w:rsidR="00AB701C" w:rsidRPr="00CF3673">
        <w:rPr>
          <w:lang w:val="pt-PT"/>
        </w:rPr>
        <w:t xml:space="preserve"> 2.2: </w:t>
      </w:r>
      <w:r w:rsidR="009B3083" w:rsidRPr="00CF3673">
        <w:rPr>
          <w:lang w:val="pt-PT"/>
        </w:rPr>
        <w:t xml:space="preserve">Cidades a serem inclusas na amostra e </w:t>
      </w:r>
      <w:r w:rsidR="00B929C9" w:rsidRPr="00CF3673">
        <w:rPr>
          <w:lang w:val="pt-PT"/>
        </w:rPr>
        <w:t>número</w:t>
      </w:r>
      <w:r w:rsidR="009B3083" w:rsidRPr="00CF3673">
        <w:rPr>
          <w:lang w:val="pt-PT"/>
        </w:rPr>
        <w:t xml:space="preserve"> de empresas em cada cidade</w:t>
      </w:r>
      <w:bookmarkEnd w:id="14"/>
    </w:p>
    <w:tbl>
      <w:tblPr>
        <w:tblStyle w:val="StandardTable2"/>
        <w:tblW w:w="0" w:type="auto"/>
        <w:jc w:val="center"/>
        <w:tblLayout w:type="fixed"/>
        <w:tblLook w:val="04E0" w:firstRow="1" w:lastRow="1" w:firstColumn="1" w:lastColumn="0" w:noHBand="0" w:noVBand="1"/>
      </w:tblPr>
      <w:tblGrid>
        <w:gridCol w:w="1018"/>
        <w:gridCol w:w="953"/>
        <w:gridCol w:w="1332"/>
        <w:gridCol w:w="2270"/>
        <w:gridCol w:w="1940"/>
      </w:tblGrid>
      <w:tr w:rsidR="00AF5F0F" w:rsidRPr="00CF3673" w:rsidTr="005424B3">
        <w:trPr>
          <w:cnfStyle w:val="100000000000" w:firstRow="1" w:lastRow="0" w:firstColumn="0" w:lastColumn="0" w:oddVBand="0" w:evenVBand="0" w:oddHBand="0" w:evenHBand="0" w:firstRowFirstColumn="0" w:firstRowLastColumn="0" w:lastRowFirstColumn="0" w:lastRowLastColumn="0"/>
          <w:trHeight w:val="300"/>
          <w:jc w:val="center"/>
        </w:trPr>
        <w:tc>
          <w:tcPr>
            <w:tcW w:w="1018" w:type="dxa"/>
            <w:noWrap/>
            <w:hideMark/>
          </w:tcPr>
          <w:p w:rsidR="00AF5F0F" w:rsidRPr="00CF3673" w:rsidRDefault="00B929C9" w:rsidP="009B3083">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Província</w:t>
            </w:r>
          </w:p>
        </w:tc>
        <w:tc>
          <w:tcPr>
            <w:tcW w:w="953" w:type="dxa"/>
            <w:noWrap/>
            <w:hideMark/>
          </w:tcPr>
          <w:p w:rsidR="00AF5F0F" w:rsidRPr="00CF3673" w:rsidRDefault="00AF5F0F" w:rsidP="009B3083">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Ci</w:t>
            </w:r>
            <w:r w:rsidR="009B3083" w:rsidRPr="00CF3673">
              <w:rPr>
                <w:rFonts w:ascii="Calibri" w:eastAsia="Times New Roman" w:hAnsi="Calibri" w:cs="Times New Roman"/>
                <w:color w:val="000000"/>
                <w:lang w:eastAsia="zh-CN"/>
              </w:rPr>
              <w:t>dade</w:t>
            </w:r>
            <w:r w:rsidRPr="00CF3673">
              <w:rPr>
                <w:rFonts w:ascii="Calibri" w:eastAsia="Times New Roman" w:hAnsi="Calibri" w:cs="Times New Roman"/>
                <w:color w:val="000000"/>
                <w:lang w:eastAsia="zh-CN"/>
              </w:rPr>
              <w:t xml:space="preserve"> 1</w:t>
            </w:r>
          </w:p>
        </w:tc>
        <w:tc>
          <w:tcPr>
            <w:tcW w:w="1332" w:type="dxa"/>
            <w:noWrap/>
            <w:hideMark/>
          </w:tcPr>
          <w:p w:rsidR="00AF5F0F" w:rsidRPr="00CF3673" w:rsidRDefault="00AF5F0F" w:rsidP="009B3083">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Ci</w:t>
            </w:r>
            <w:r w:rsidR="009B3083" w:rsidRPr="00CF3673">
              <w:rPr>
                <w:rFonts w:ascii="Calibri" w:eastAsia="Times New Roman" w:hAnsi="Calibri" w:cs="Times New Roman"/>
                <w:color w:val="000000"/>
                <w:lang w:eastAsia="zh-CN"/>
              </w:rPr>
              <w:t>dade</w:t>
            </w:r>
            <w:r w:rsidRPr="00CF3673">
              <w:rPr>
                <w:rFonts w:ascii="Calibri" w:eastAsia="Times New Roman" w:hAnsi="Calibri" w:cs="Times New Roman"/>
                <w:color w:val="000000"/>
                <w:lang w:eastAsia="zh-CN"/>
              </w:rPr>
              <w:t>/</w:t>
            </w:r>
            <w:r w:rsidR="00B929C9" w:rsidRPr="00CF3673">
              <w:rPr>
                <w:rFonts w:ascii="Calibri" w:eastAsia="Times New Roman" w:hAnsi="Calibri" w:cs="Times New Roman"/>
                <w:color w:val="000000"/>
                <w:lang w:eastAsia="zh-CN"/>
              </w:rPr>
              <w:t>Distrito</w:t>
            </w:r>
            <w:r w:rsidRPr="00CF3673">
              <w:rPr>
                <w:rFonts w:ascii="Calibri" w:eastAsia="Times New Roman" w:hAnsi="Calibri" w:cs="Times New Roman"/>
                <w:color w:val="000000"/>
                <w:lang w:eastAsia="zh-CN"/>
              </w:rPr>
              <w:t xml:space="preserve"> 2</w:t>
            </w:r>
          </w:p>
        </w:tc>
        <w:tc>
          <w:tcPr>
            <w:tcW w:w="2270" w:type="dxa"/>
            <w:noWrap/>
            <w:hideMark/>
          </w:tcPr>
          <w:p w:rsidR="00AF5F0F" w:rsidRPr="00CF3673" w:rsidRDefault="009B3083" w:rsidP="009B3083">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 xml:space="preserve">Empresas </w:t>
            </w:r>
            <w:r w:rsidR="00B929C9" w:rsidRPr="00CF3673">
              <w:rPr>
                <w:rFonts w:ascii="Calibri" w:eastAsia="Times New Roman" w:hAnsi="Calibri" w:cs="Times New Roman"/>
                <w:color w:val="000000"/>
                <w:lang w:eastAsia="zh-CN"/>
              </w:rPr>
              <w:t>seleccionadas</w:t>
            </w:r>
            <w:r w:rsidRPr="00CF3673">
              <w:rPr>
                <w:rFonts w:ascii="Calibri" w:eastAsia="Times New Roman" w:hAnsi="Calibri" w:cs="Times New Roman"/>
                <w:color w:val="000000"/>
                <w:lang w:eastAsia="zh-CN"/>
              </w:rPr>
              <w:t xml:space="preserve"> nos</w:t>
            </w:r>
            <w:r w:rsidR="00AF5F0F" w:rsidRPr="00CF3673">
              <w:rPr>
                <w:rFonts w:ascii="Calibri" w:eastAsia="Times New Roman" w:hAnsi="Calibri" w:cs="Times New Roman"/>
                <w:color w:val="000000"/>
                <w:lang w:eastAsia="zh-CN"/>
              </w:rPr>
              <w:t xml:space="preserve"> </w:t>
            </w:r>
            <w:r w:rsidRPr="00CF3673">
              <w:rPr>
                <w:rFonts w:ascii="Calibri" w:eastAsia="Times New Roman" w:hAnsi="Calibri" w:cs="Times New Roman"/>
                <w:color w:val="000000"/>
                <w:lang w:eastAsia="zh-CN"/>
              </w:rPr>
              <w:t>distritos</w:t>
            </w:r>
          </w:p>
        </w:tc>
        <w:tc>
          <w:tcPr>
            <w:tcW w:w="1940" w:type="dxa"/>
            <w:noWrap/>
            <w:hideMark/>
          </w:tcPr>
          <w:p w:rsidR="00AF5F0F" w:rsidRPr="00CF3673" w:rsidRDefault="00B929C9" w:rsidP="00B929C9">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AF5F0F" w:rsidRPr="00CF3673">
              <w:rPr>
                <w:rFonts w:ascii="Calibri" w:eastAsia="Times New Roman" w:hAnsi="Calibri" w:cs="Times New Roman"/>
                <w:color w:val="000000"/>
                <w:lang w:eastAsia="zh-CN"/>
              </w:rPr>
              <w:t xml:space="preserve">. </w:t>
            </w:r>
            <w:r w:rsidRPr="00CF3673">
              <w:rPr>
                <w:rFonts w:ascii="Calibri" w:eastAsia="Times New Roman" w:hAnsi="Calibri" w:cs="Times New Roman"/>
                <w:color w:val="000000"/>
                <w:lang w:eastAsia="zh-CN"/>
              </w:rPr>
              <w:t xml:space="preserve">Do </w:t>
            </w:r>
            <w:r w:rsidR="00AF5F0F" w:rsidRPr="00CF3673">
              <w:rPr>
                <w:rFonts w:ascii="Calibri" w:eastAsia="Times New Roman" w:hAnsi="Calibri" w:cs="Times New Roman"/>
                <w:color w:val="000000"/>
                <w:lang w:eastAsia="zh-CN"/>
              </w:rPr>
              <w:t>total pop.</w:t>
            </w:r>
          </w:p>
        </w:tc>
      </w:tr>
      <w:tr w:rsidR="00AF5F0F" w:rsidRPr="00CF3673" w:rsidTr="005424B3">
        <w:trPr>
          <w:trHeight w:val="300"/>
          <w:jc w:val="center"/>
        </w:trPr>
        <w:tc>
          <w:tcPr>
            <w:tcW w:w="1018"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Nampula</w:t>
            </w:r>
          </w:p>
        </w:tc>
        <w:tc>
          <w:tcPr>
            <w:tcW w:w="953"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Nampula</w:t>
            </w:r>
          </w:p>
        </w:tc>
        <w:tc>
          <w:tcPr>
            <w:tcW w:w="1332"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Nacala</w:t>
            </w:r>
          </w:p>
        </w:tc>
        <w:tc>
          <w:tcPr>
            <w:tcW w:w="227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139</w:t>
            </w:r>
          </w:p>
        </w:tc>
        <w:tc>
          <w:tcPr>
            <w:tcW w:w="194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4.2</w:t>
            </w:r>
          </w:p>
        </w:tc>
      </w:tr>
      <w:tr w:rsidR="00AF5F0F" w:rsidRPr="00CF3673" w:rsidTr="005424B3">
        <w:trPr>
          <w:trHeight w:val="300"/>
          <w:jc w:val="center"/>
        </w:trPr>
        <w:tc>
          <w:tcPr>
            <w:tcW w:w="1018"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Tete</w:t>
            </w:r>
          </w:p>
        </w:tc>
        <w:tc>
          <w:tcPr>
            <w:tcW w:w="953"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Tete</w:t>
            </w:r>
          </w:p>
        </w:tc>
        <w:tc>
          <w:tcPr>
            <w:tcW w:w="1332" w:type="dxa"/>
            <w:noWrap/>
            <w:hideMark/>
          </w:tcPr>
          <w:p w:rsidR="00AF5F0F" w:rsidRPr="00CF3673" w:rsidRDefault="00AF5F0F" w:rsidP="00AF5F0F">
            <w:pPr>
              <w:jc w:val="center"/>
              <w:rPr>
                <w:rFonts w:ascii="Calibri" w:eastAsia="Times New Roman" w:hAnsi="Calibri" w:cs="Times New Roman"/>
                <w:color w:val="000000"/>
                <w:lang w:eastAsia="zh-CN"/>
              </w:rPr>
            </w:pPr>
            <w:proofErr w:type="spellStart"/>
            <w:r w:rsidRPr="00CF3673">
              <w:rPr>
                <w:rFonts w:ascii="Calibri" w:eastAsia="Times New Roman" w:hAnsi="Calibri" w:cs="Times New Roman"/>
                <w:color w:val="000000"/>
                <w:lang w:eastAsia="zh-CN"/>
              </w:rPr>
              <w:t>Moatize</w:t>
            </w:r>
            <w:proofErr w:type="spellEnd"/>
          </w:p>
        </w:tc>
        <w:tc>
          <w:tcPr>
            <w:tcW w:w="227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82</w:t>
            </w:r>
          </w:p>
        </w:tc>
        <w:tc>
          <w:tcPr>
            <w:tcW w:w="194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2.5</w:t>
            </w:r>
          </w:p>
        </w:tc>
      </w:tr>
      <w:tr w:rsidR="00AF5F0F" w:rsidRPr="00CF3673" w:rsidTr="005424B3">
        <w:trPr>
          <w:trHeight w:val="300"/>
          <w:jc w:val="center"/>
        </w:trPr>
        <w:tc>
          <w:tcPr>
            <w:tcW w:w="1018"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Manica</w:t>
            </w:r>
          </w:p>
        </w:tc>
        <w:tc>
          <w:tcPr>
            <w:tcW w:w="953"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Chimoio</w:t>
            </w:r>
          </w:p>
        </w:tc>
        <w:tc>
          <w:tcPr>
            <w:tcW w:w="1332" w:type="dxa"/>
            <w:noWrap/>
            <w:hideMark/>
          </w:tcPr>
          <w:p w:rsidR="00AF5F0F" w:rsidRPr="00CF3673" w:rsidRDefault="006E7DF9"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Gondola</w:t>
            </w:r>
          </w:p>
        </w:tc>
        <w:tc>
          <w:tcPr>
            <w:tcW w:w="227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189</w:t>
            </w:r>
          </w:p>
        </w:tc>
        <w:tc>
          <w:tcPr>
            <w:tcW w:w="194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5.7</w:t>
            </w:r>
          </w:p>
        </w:tc>
      </w:tr>
      <w:tr w:rsidR="00AF5F0F" w:rsidRPr="00CF3673" w:rsidTr="005424B3">
        <w:trPr>
          <w:trHeight w:val="300"/>
          <w:jc w:val="center"/>
        </w:trPr>
        <w:tc>
          <w:tcPr>
            <w:tcW w:w="1018"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Sofala</w:t>
            </w:r>
          </w:p>
        </w:tc>
        <w:tc>
          <w:tcPr>
            <w:tcW w:w="953"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Beira</w:t>
            </w:r>
          </w:p>
        </w:tc>
        <w:tc>
          <w:tcPr>
            <w:tcW w:w="1332" w:type="dxa"/>
            <w:noWrap/>
            <w:hideMark/>
          </w:tcPr>
          <w:p w:rsidR="00AF5F0F" w:rsidRPr="00CF3673" w:rsidRDefault="006E7DF9" w:rsidP="00AF5F0F">
            <w:pPr>
              <w:jc w:val="center"/>
              <w:rPr>
                <w:rFonts w:ascii="Calibri" w:eastAsia="Times New Roman" w:hAnsi="Calibri" w:cs="Times New Roman"/>
                <w:color w:val="000000"/>
                <w:vertAlign w:val="superscript"/>
                <w:lang w:eastAsia="zh-CN"/>
              </w:rPr>
            </w:pPr>
            <w:r w:rsidRPr="00CF3673">
              <w:rPr>
                <w:rFonts w:ascii="Calibri" w:eastAsia="Times New Roman" w:hAnsi="Calibri" w:cs="Times New Roman"/>
                <w:color w:val="000000"/>
                <w:lang w:eastAsia="zh-CN"/>
              </w:rPr>
              <w:t>Dondo</w:t>
            </w:r>
          </w:p>
        </w:tc>
        <w:tc>
          <w:tcPr>
            <w:tcW w:w="227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365</w:t>
            </w:r>
          </w:p>
        </w:tc>
        <w:tc>
          <w:tcPr>
            <w:tcW w:w="194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11.1</w:t>
            </w:r>
          </w:p>
        </w:tc>
      </w:tr>
      <w:tr w:rsidR="00AF5F0F" w:rsidRPr="00CF3673" w:rsidTr="005424B3">
        <w:trPr>
          <w:trHeight w:val="300"/>
          <w:jc w:val="center"/>
        </w:trPr>
        <w:tc>
          <w:tcPr>
            <w:tcW w:w="1018"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Gaza</w:t>
            </w:r>
          </w:p>
        </w:tc>
        <w:tc>
          <w:tcPr>
            <w:tcW w:w="953" w:type="dxa"/>
            <w:noWrap/>
            <w:hideMark/>
          </w:tcPr>
          <w:p w:rsidR="00AF5F0F" w:rsidRPr="00CF3673" w:rsidRDefault="00AF5F0F" w:rsidP="00AF5F0F">
            <w:pPr>
              <w:jc w:val="center"/>
              <w:rPr>
                <w:rFonts w:ascii="Calibri" w:eastAsia="Times New Roman" w:hAnsi="Calibri" w:cs="Times New Roman"/>
                <w:color w:val="000000"/>
                <w:lang w:eastAsia="zh-CN"/>
              </w:rPr>
            </w:pPr>
            <w:proofErr w:type="spellStart"/>
            <w:r w:rsidRPr="00CF3673">
              <w:rPr>
                <w:rFonts w:ascii="Calibri" w:eastAsia="Times New Roman" w:hAnsi="Calibri" w:cs="Times New Roman"/>
                <w:color w:val="000000"/>
                <w:lang w:eastAsia="zh-CN"/>
              </w:rPr>
              <w:t>Xai-Xai</w:t>
            </w:r>
            <w:proofErr w:type="spellEnd"/>
          </w:p>
        </w:tc>
        <w:tc>
          <w:tcPr>
            <w:tcW w:w="1332" w:type="dxa"/>
            <w:noWrap/>
            <w:hideMark/>
          </w:tcPr>
          <w:p w:rsidR="00AF5F0F" w:rsidRPr="00CF3673" w:rsidRDefault="00911A58" w:rsidP="00AF5F0F">
            <w:pPr>
              <w:jc w:val="center"/>
              <w:rPr>
                <w:rFonts w:ascii="Calibri" w:eastAsia="Times New Roman" w:hAnsi="Calibri" w:cs="Times New Roman"/>
                <w:color w:val="000000"/>
                <w:lang w:eastAsia="zh-CN"/>
              </w:rPr>
            </w:pPr>
            <w:proofErr w:type="spellStart"/>
            <w:r w:rsidRPr="00CF3673">
              <w:rPr>
                <w:rFonts w:ascii="Calibri" w:eastAsia="Times New Roman" w:hAnsi="Calibri" w:cs="Times New Roman"/>
                <w:color w:val="000000"/>
                <w:lang w:eastAsia="zh-CN"/>
              </w:rPr>
              <w:t>Chókwe</w:t>
            </w:r>
            <w:proofErr w:type="spellEnd"/>
          </w:p>
        </w:tc>
        <w:tc>
          <w:tcPr>
            <w:tcW w:w="227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132</w:t>
            </w:r>
          </w:p>
        </w:tc>
        <w:tc>
          <w:tcPr>
            <w:tcW w:w="194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4.0</w:t>
            </w:r>
          </w:p>
        </w:tc>
      </w:tr>
      <w:tr w:rsidR="00AF5F0F" w:rsidRPr="00CF3673" w:rsidTr="005424B3">
        <w:trPr>
          <w:trHeight w:val="300"/>
          <w:jc w:val="center"/>
        </w:trPr>
        <w:tc>
          <w:tcPr>
            <w:tcW w:w="1018"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Maputo P</w:t>
            </w:r>
          </w:p>
        </w:tc>
        <w:tc>
          <w:tcPr>
            <w:tcW w:w="953"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Matola</w:t>
            </w:r>
          </w:p>
        </w:tc>
        <w:tc>
          <w:tcPr>
            <w:tcW w:w="1332" w:type="dxa"/>
            <w:noWrap/>
            <w:hideMark/>
          </w:tcPr>
          <w:p w:rsidR="00AF5F0F" w:rsidRPr="00CF3673" w:rsidRDefault="00AF5F0F" w:rsidP="00AF5F0F">
            <w:pPr>
              <w:jc w:val="center"/>
              <w:rPr>
                <w:rFonts w:ascii="Calibri" w:eastAsia="Times New Roman" w:hAnsi="Calibri" w:cs="Times New Roman"/>
                <w:color w:val="000000"/>
                <w:lang w:eastAsia="zh-CN"/>
              </w:rPr>
            </w:pPr>
          </w:p>
        </w:tc>
        <w:tc>
          <w:tcPr>
            <w:tcW w:w="227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227</w:t>
            </w:r>
          </w:p>
        </w:tc>
        <w:tc>
          <w:tcPr>
            <w:tcW w:w="1940" w:type="dxa"/>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6.9</w:t>
            </w:r>
          </w:p>
        </w:tc>
      </w:tr>
      <w:tr w:rsidR="00AF5F0F" w:rsidRPr="00CF3673" w:rsidTr="005424B3">
        <w:trPr>
          <w:trHeight w:val="300"/>
          <w:jc w:val="center"/>
        </w:trPr>
        <w:tc>
          <w:tcPr>
            <w:tcW w:w="1018" w:type="dxa"/>
            <w:tcBorders>
              <w:bottom w:val="single" w:sz="4" w:space="0" w:color="auto"/>
            </w:tcBorders>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Maputo C</w:t>
            </w:r>
          </w:p>
        </w:tc>
        <w:tc>
          <w:tcPr>
            <w:tcW w:w="953" w:type="dxa"/>
            <w:tcBorders>
              <w:bottom w:val="single" w:sz="4" w:space="0" w:color="auto"/>
            </w:tcBorders>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Maputo</w:t>
            </w:r>
          </w:p>
        </w:tc>
        <w:tc>
          <w:tcPr>
            <w:tcW w:w="1332" w:type="dxa"/>
            <w:tcBorders>
              <w:bottom w:val="single" w:sz="4" w:space="0" w:color="auto"/>
            </w:tcBorders>
            <w:noWrap/>
            <w:hideMark/>
          </w:tcPr>
          <w:p w:rsidR="00AF5F0F" w:rsidRPr="00CF3673" w:rsidRDefault="00AF5F0F" w:rsidP="00AF5F0F">
            <w:pPr>
              <w:jc w:val="center"/>
              <w:rPr>
                <w:rFonts w:ascii="Calibri" w:eastAsia="Times New Roman" w:hAnsi="Calibri" w:cs="Times New Roman"/>
                <w:color w:val="000000"/>
                <w:lang w:eastAsia="zh-CN"/>
              </w:rPr>
            </w:pPr>
          </w:p>
        </w:tc>
        <w:tc>
          <w:tcPr>
            <w:tcW w:w="2270" w:type="dxa"/>
            <w:tcBorders>
              <w:bottom w:val="single" w:sz="4" w:space="0" w:color="auto"/>
            </w:tcBorders>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910</w:t>
            </w:r>
          </w:p>
        </w:tc>
        <w:tc>
          <w:tcPr>
            <w:tcW w:w="1940" w:type="dxa"/>
            <w:tcBorders>
              <w:bottom w:val="single" w:sz="4" w:space="0" w:color="auto"/>
            </w:tcBorders>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27.7</w:t>
            </w:r>
          </w:p>
        </w:tc>
      </w:tr>
      <w:tr w:rsidR="00AF5F0F" w:rsidRPr="00CF3673" w:rsidTr="005424B3">
        <w:trPr>
          <w:trHeight w:val="300"/>
          <w:jc w:val="center"/>
        </w:trPr>
        <w:tc>
          <w:tcPr>
            <w:tcW w:w="1018" w:type="dxa"/>
            <w:tcBorders>
              <w:top w:val="single" w:sz="4" w:space="0" w:color="auto"/>
              <w:bottom w:val="double" w:sz="4" w:space="0" w:color="auto"/>
            </w:tcBorders>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Total</w:t>
            </w:r>
          </w:p>
        </w:tc>
        <w:tc>
          <w:tcPr>
            <w:tcW w:w="953" w:type="dxa"/>
            <w:tcBorders>
              <w:top w:val="single" w:sz="4" w:space="0" w:color="auto"/>
              <w:bottom w:val="double" w:sz="4" w:space="0" w:color="auto"/>
            </w:tcBorders>
            <w:noWrap/>
            <w:hideMark/>
          </w:tcPr>
          <w:p w:rsidR="00AF5F0F" w:rsidRPr="00CF3673" w:rsidRDefault="00AF5F0F" w:rsidP="00AF5F0F">
            <w:pPr>
              <w:jc w:val="center"/>
              <w:rPr>
                <w:rFonts w:ascii="Calibri" w:eastAsia="Times New Roman" w:hAnsi="Calibri" w:cs="Times New Roman"/>
                <w:color w:val="000000"/>
                <w:lang w:eastAsia="zh-CN"/>
              </w:rPr>
            </w:pPr>
          </w:p>
        </w:tc>
        <w:tc>
          <w:tcPr>
            <w:tcW w:w="1332" w:type="dxa"/>
            <w:tcBorders>
              <w:top w:val="single" w:sz="4" w:space="0" w:color="auto"/>
              <w:bottom w:val="double" w:sz="4" w:space="0" w:color="auto"/>
            </w:tcBorders>
            <w:noWrap/>
            <w:hideMark/>
          </w:tcPr>
          <w:p w:rsidR="00AF5F0F" w:rsidRPr="00CF3673" w:rsidRDefault="00AF5F0F" w:rsidP="00AF5F0F">
            <w:pPr>
              <w:jc w:val="center"/>
              <w:rPr>
                <w:rFonts w:ascii="Calibri" w:eastAsia="Times New Roman" w:hAnsi="Calibri" w:cs="Times New Roman"/>
                <w:color w:val="000000"/>
                <w:lang w:eastAsia="zh-CN"/>
              </w:rPr>
            </w:pPr>
          </w:p>
        </w:tc>
        <w:tc>
          <w:tcPr>
            <w:tcW w:w="2270" w:type="dxa"/>
            <w:tcBorders>
              <w:top w:val="single" w:sz="4" w:space="0" w:color="auto"/>
              <w:bottom w:val="double" w:sz="4" w:space="0" w:color="auto"/>
            </w:tcBorders>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2,044</w:t>
            </w:r>
          </w:p>
        </w:tc>
        <w:tc>
          <w:tcPr>
            <w:tcW w:w="1940" w:type="dxa"/>
            <w:tcBorders>
              <w:top w:val="single" w:sz="4" w:space="0" w:color="auto"/>
              <w:bottom w:val="double" w:sz="4" w:space="0" w:color="auto"/>
            </w:tcBorders>
            <w:noWrap/>
            <w:hideMark/>
          </w:tcPr>
          <w:p w:rsidR="00AF5F0F" w:rsidRPr="00CF3673" w:rsidRDefault="00AF5F0F" w:rsidP="00AF5F0F">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62.1</w:t>
            </w:r>
          </w:p>
        </w:tc>
      </w:tr>
      <w:tr w:rsidR="00AF5F0F" w:rsidRPr="00CF3673" w:rsidTr="005424B3">
        <w:trPr>
          <w:trHeight w:val="300"/>
          <w:jc w:val="center"/>
        </w:trPr>
        <w:tc>
          <w:tcPr>
            <w:tcW w:w="7513" w:type="dxa"/>
            <w:gridSpan w:val="5"/>
            <w:tcBorders>
              <w:top w:val="double" w:sz="4" w:space="0" w:color="auto"/>
              <w:bottom w:val="nil"/>
            </w:tcBorders>
            <w:noWrap/>
          </w:tcPr>
          <w:p w:rsidR="00AF5F0F" w:rsidRPr="00CF3673" w:rsidRDefault="00AF5F0F" w:rsidP="00911A58">
            <w:pPr>
              <w:pStyle w:val="Tablenote"/>
              <w:rPr>
                <w:b/>
                <w:lang w:val="pt-PT" w:eastAsia="zh-CN"/>
              </w:rPr>
            </w:pPr>
            <w:r w:rsidRPr="00CF3673">
              <w:rPr>
                <w:b/>
                <w:lang w:val="pt-PT" w:eastAsia="zh-CN"/>
              </w:rPr>
              <w:t>Not</w:t>
            </w:r>
            <w:r w:rsidR="00911A58" w:rsidRPr="00CF3673">
              <w:rPr>
                <w:b/>
                <w:lang w:val="pt-PT" w:eastAsia="zh-CN"/>
              </w:rPr>
              <w:t>a</w:t>
            </w:r>
            <w:r w:rsidRPr="00CF3673">
              <w:rPr>
                <w:b/>
                <w:lang w:val="pt-PT" w:eastAsia="zh-CN"/>
              </w:rPr>
              <w:t>:</w:t>
            </w:r>
            <w:r w:rsidRPr="00CF3673">
              <w:rPr>
                <w:lang w:val="pt-PT" w:eastAsia="zh-CN"/>
              </w:rPr>
              <w:t xml:space="preserve"> “total pop.” </w:t>
            </w:r>
            <w:r w:rsidR="00911A58" w:rsidRPr="00CF3673">
              <w:rPr>
                <w:lang w:val="pt-PT" w:eastAsia="zh-CN"/>
              </w:rPr>
              <w:t>Na última coluna refere ao total da população de empresas manufactureiras em Moçambique de acordo com o</w:t>
            </w:r>
            <w:r w:rsidRPr="00CF3673">
              <w:rPr>
                <w:lang w:val="pt-PT" w:eastAsia="zh-CN"/>
              </w:rPr>
              <w:t xml:space="preserve"> CEMP</w:t>
            </w:r>
            <w:r w:rsidR="006E7DF9" w:rsidRPr="00CF3673">
              <w:rPr>
                <w:lang w:val="pt-PT" w:eastAsia="zh-CN"/>
              </w:rPr>
              <w:t xml:space="preserve">RE (3,289 </w:t>
            </w:r>
            <w:r w:rsidR="00911A58" w:rsidRPr="00CF3673">
              <w:rPr>
                <w:lang w:val="pt-PT" w:eastAsia="zh-CN"/>
              </w:rPr>
              <w:t>empresas</w:t>
            </w:r>
            <w:r w:rsidR="006E7DF9" w:rsidRPr="00CF3673">
              <w:rPr>
                <w:lang w:val="pt-PT" w:eastAsia="zh-CN"/>
              </w:rPr>
              <w:t>).</w:t>
            </w:r>
          </w:p>
        </w:tc>
      </w:tr>
      <w:tr w:rsidR="00AF5F0F" w:rsidRPr="00CF3673" w:rsidTr="005424B3">
        <w:trPr>
          <w:cnfStyle w:val="010000000000" w:firstRow="0" w:lastRow="1" w:firstColumn="0" w:lastColumn="0" w:oddVBand="0" w:evenVBand="0" w:oddHBand="0" w:evenHBand="0" w:firstRowFirstColumn="0" w:firstRowLastColumn="0" w:lastRowFirstColumn="0" w:lastRowLastColumn="0"/>
          <w:trHeight w:val="300"/>
          <w:jc w:val="center"/>
        </w:trPr>
        <w:tc>
          <w:tcPr>
            <w:tcW w:w="7513" w:type="dxa"/>
            <w:gridSpan w:val="5"/>
            <w:tcBorders>
              <w:top w:val="nil"/>
            </w:tcBorders>
            <w:noWrap/>
          </w:tcPr>
          <w:p w:rsidR="00AF5F0F" w:rsidRPr="00CF3673" w:rsidRDefault="00911A58" w:rsidP="00911A58">
            <w:pPr>
              <w:pStyle w:val="Tablenote"/>
              <w:rPr>
                <w:b/>
                <w:lang w:val="pt-PT" w:eastAsia="zh-CN"/>
              </w:rPr>
            </w:pPr>
            <w:r w:rsidRPr="00CF3673">
              <w:rPr>
                <w:b/>
                <w:lang w:val="pt-PT" w:eastAsia="zh-CN"/>
              </w:rPr>
              <w:t>Fonte:</w:t>
            </w:r>
            <w:r w:rsidR="00AF5F0F" w:rsidRPr="00CF3673">
              <w:rPr>
                <w:lang w:val="pt-PT" w:eastAsia="zh-CN"/>
              </w:rPr>
              <w:t xml:space="preserve"> </w:t>
            </w:r>
            <w:r w:rsidRPr="00CF3673">
              <w:rPr>
                <w:lang w:val="pt-PT" w:eastAsia="zh-CN"/>
              </w:rPr>
              <w:t>Calculo dos autores usando dados</w:t>
            </w:r>
            <w:r w:rsidR="003D06B7" w:rsidRPr="00CF3673">
              <w:rPr>
                <w:lang w:val="pt-PT" w:eastAsia="zh-CN"/>
              </w:rPr>
              <w:t xml:space="preserve"> </w:t>
            </w:r>
            <w:r w:rsidRPr="00CF3673">
              <w:rPr>
                <w:lang w:val="pt-PT" w:eastAsia="zh-CN"/>
              </w:rPr>
              <w:t xml:space="preserve">do </w:t>
            </w:r>
            <w:r w:rsidR="003D06B7" w:rsidRPr="00CF3673">
              <w:rPr>
                <w:lang w:val="pt-PT" w:eastAsia="zh-CN"/>
              </w:rPr>
              <w:t>CEMPRE.</w:t>
            </w:r>
          </w:p>
        </w:tc>
      </w:tr>
    </w:tbl>
    <w:p w:rsidR="00911A58" w:rsidRPr="00CF3673" w:rsidRDefault="00911A58" w:rsidP="001E664B">
      <w:pPr>
        <w:pStyle w:val="MainText"/>
        <w:rPr>
          <w:lang w:val="pt-PT"/>
        </w:rPr>
      </w:pPr>
    </w:p>
    <w:p w:rsidR="00095170" w:rsidRPr="00CF3673" w:rsidRDefault="006E7DF9" w:rsidP="00911A58">
      <w:pPr>
        <w:pStyle w:val="MainText"/>
        <w:rPr>
          <w:lang w:val="pt-PT"/>
        </w:rPr>
      </w:pPr>
      <w:r w:rsidRPr="00CF3673">
        <w:rPr>
          <w:lang w:val="pt-PT"/>
        </w:rPr>
        <w:t>Tab</w:t>
      </w:r>
      <w:r w:rsidR="00911A58" w:rsidRPr="00CF3673">
        <w:rPr>
          <w:lang w:val="pt-PT"/>
        </w:rPr>
        <w:t xml:space="preserve">ela </w:t>
      </w:r>
      <w:r w:rsidRPr="00CF3673">
        <w:rPr>
          <w:lang w:val="pt-PT"/>
        </w:rPr>
        <w:t xml:space="preserve">2.3 </w:t>
      </w:r>
      <w:r w:rsidR="00911A58" w:rsidRPr="00CF3673">
        <w:rPr>
          <w:lang w:val="pt-PT"/>
        </w:rPr>
        <w:t>ilustra como as firmas são distribuídas no CEMPRE em função do tamanho</w:t>
      </w:r>
      <w:r w:rsidRPr="00CF3673">
        <w:rPr>
          <w:lang w:val="pt-PT"/>
        </w:rPr>
        <w:t xml:space="preserve">. </w:t>
      </w:r>
      <w:r w:rsidR="00911A58" w:rsidRPr="00CF3673">
        <w:rPr>
          <w:lang w:val="pt-PT"/>
        </w:rPr>
        <w:t>Mais de ¾ das empresas manufactureiras em Moçambique são micro e menos de 1% são grandes</w:t>
      </w:r>
      <w:r w:rsidR="00095170" w:rsidRPr="00CF3673">
        <w:rPr>
          <w:lang w:val="pt-PT"/>
        </w:rPr>
        <w:t xml:space="preserve">. </w:t>
      </w:r>
    </w:p>
    <w:p w:rsidR="00CC4F28" w:rsidRPr="00CF3673" w:rsidRDefault="00E333A2" w:rsidP="00B06D3F">
      <w:pPr>
        <w:pStyle w:val="TableTitle"/>
        <w:rPr>
          <w:lang w:val="pt-PT"/>
        </w:rPr>
      </w:pPr>
      <w:bookmarkStart w:id="15" w:name="_Toc360720435"/>
      <w:r w:rsidRPr="00CF3673">
        <w:rPr>
          <w:lang w:val="pt-PT"/>
        </w:rPr>
        <w:t>Ta</w:t>
      </w:r>
      <w:r w:rsidR="00911A58" w:rsidRPr="00CF3673">
        <w:rPr>
          <w:lang w:val="pt-PT"/>
        </w:rPr>
        <w:t xml:space="preserve">bela </w:t>
      </w:r>
      <w:r w:rsidR="00CC4F28" w:rsidRPr="00CF3673">
        <w:rPr>
          <w:lang w:val="pt-PT"/>
        </w:rPr>
        <w:t xml:space="preserve">2.3: </w:t>
      </w:r>
      <w:r w:rsidR="00911A58" w:rsidRPr="00CF3673">
        <w:rPr>
          <w:lang w:val="pt-PT"/>
        </w:rPr>
        <w:t>População das empresas manufactureiras por tamanho</w:t>
      </w:r>
      <w:bookmarkEnd w:id="15"/>
    </w:p>
    <w:tbl>
      <w:tblPr>
        <w:tblStyle w:val="StandardTable"/>
        <w:tblW w:w="0" w:type="auto"/>
        <w:jc w:val="center"/>
        <w:tblLayout w:type="fixed"/>
        <w:tblLook w:val="04E0" w:firstRow="1" w:lastRow="1" w:firstColumn="1" w:lastColumn="0" w:noHBand="0" w:noVBand="1"/>
      </w:tblPr>
      <w:tblGrid>
        <w:gridCol w:w="1781"/>
        <w:gridCol w:w="1746"/>
        <w:gridCol w:w="1758"/>
      </w:tblGrid>
      <w:tr w:rsidR="00CC4F28" w:rsidRPr="00CF3673" w:rsidTr="008F16FF">
        <w:trPr>
          <w:cnfStyle w:val="100000000000" w:firstRow="1" w:lastRow="0" w:firstColumn="0" w:lastColumn="0" w:oddVBand="0" w:evenVBand="0" w:oddHBand="0" w:evenHBand="0" w:firstRowFirstColumn="0" w:firstRowLastColumn="0" w:lastRowFirstColumn="0" w:lastRowLastColumn="0"/>
          <w:trHeight w:val="330"/>
          <w:jc w:val="center"/>
        </w:trPr>
        <w:tc>
          <w:tcPr>
            <w:tcW w:w="1781" w:type="dxa"/>
            <w:noWrap/>
            <w:hideMark/>
          </w:tcPr>
          <w:p w:rsidR="00CC4F28" w:rsidRPr="00CF3673" w:rsidRDefault="00CC4F28" w:rsidP="00C44E58">
            <w:pPr>
              <w:spacing w:line="276" w:lineRule="auto"/>
              <w:rPr>
                <w:rFonts w:ascii="Calibri" w:eastAsia="Times New Roman" w:hAnsi="Calibri" w:cs="Times New Roman"/>
                <w:color w:val="000000"/>
                <w:lang w:eastAsia="zh-CN"/>
              </w:rPr>
            </w:pPr>
          </w:p>
        </w:tc>
        <w:tc>
          <w:tcPr>
            <w:tcW w:w="1746" w:type="dxa"/>
            <w:noWrap/>
            <w:hideMark/>
          </w:tcPr>
          <w:p w:rsidR="00CC4F28" w:rsidRPr="00CF3673" w:rsidRDefault="00911A58" w:rsidP="00911A58">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Nú</w:t>
            </w:r>
            <w:r w:rsidR="00C44E58" w:rsidRPr="00CF3673">
              <w:rPr>
                <w:rFonts w:ascii="Calibri" w:eastAsia="Times New Roman" w:hAnsi="Calibri" w:cs="Times New Roman"/>
                <w:color w:val="000000"/>
                <w:lang w:eastAsia="zh-CN"/>
              </w:rPr>
              <w:t>m</w:t>
            </w:r>
            <w:r w:rsidRPr="00CF3673">
              <w:rPr>
                <w:rFonts w:ascii="Calibri" w:eastAsia="Times New Roman" w:hAnsi="Calibri" w:cs="Times New Roman"/>
                <w:color w:val="000000"/>
                <w:lang w:eastAsia="zh-CN"/>
              </w:rPr>
              <w:t>e</w:t>
            </w:r>
            <w:r w:rsidR="00C44E58" w:rsidRPr="00CF3673">
              <w:rPr>
                <w:rFonts w:ascii="Calibri" w:eastAsia="Times New Roman" w:hAnsi="Calibri" w:cs="Times New Roman"/>
                <w:color w:val="000000"/>
                <w:lang w:eastAsia="zh-CN"/>
              </w:rPr>
              <w:t>r</w:t>
            </w:r>
            <w:r w:rsidRPr="00CF3673">
              <w:rPr>
                <w:rFonts w:ascii="Calibri" w:eastAsia="Times New Roman" w:hAnsi="Calibri" w:cs="Times New Roman"/>
                <w:color w:val="000000"/>
                <w:lang w:eastAsia="zh-CN"/>
              </w:rPr>
              <w:t>o</w:t>
            </w:r>
          </w:p>
        </w:tc>
        <w:tc>
          <w:tcPr>
            <w:tcW w:w="1758" w:type="dxa"/>
            <w:noWrap/>
            <w:hideMark/>
          </w:tcPr>
          <w:p w:rsidR="00CC4F28" w:rsidRPr="00CF3673" w:rsidRDefault="00911A58" w:rsidP="00AB06BA">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p>
        </w:tc>
      </w:tr>
      <w:tr w:rsidR="00CC4F28" w:rsidRPr="00CF3673" w:rsidTr="008F16FF">
        <w:trPr>
          <w:trHeight w:val="330"/>
          <w:jc w:val="center"/>
        </w:trPr>
        <w:tc>
          <w:tcPr>
            <w:tcW w:w="1781" w:type="dxa"/>
            <w:noWrap/>
            <w:hideMark/>
          </w:tcPr>
          <w:p w:rsidR="00CC4F28" w:rsidRPr="00CF3673" w:rsidRDefault="00CC4F28" w:rsidP="00C44E58">
            <w:pPr>
              <w:spacing w:line="276" w:lineRule="auto"/>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Micro</w:t>
            </w:r>
          </w:p>
        </w:tc>
        <w:tc>
          <w:tcPr>
            <w:tcW w:w="1746" w:type="dxa"/>
            <w:noWrap/>
            <w:hideMark/>
          </w:tcPr>
          <w:p w:rsidR="00CC4F28" w:rsidRPr="00CF3673" w:rsidRDefault="00CC4F28" w:rsidP="00AB06BA">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2,512</w:t>
            </w:r>
          </w:p>
        </w:tc>
        <w:tc>
          <w:tcPr>
            <w:tcW w:w="1758" w:type="dxa"/>
            <w:noWrap/>
            <w:hideMark/>
          </w:tcPr>
          <w:p w:rsidR="00CC4F28" w:rsidRPr="00CF3673" w:rsidRDefault="00CC4F28" w:rsidP="00AB06BA">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77.4</w:t>
            </w:r>
          </w:p>
        </w:tc>
      </w:tr>
      <w:tr w:rsidR="00CC4F28" w:rsidRPr="00CF3673" w:rsidTr="008F16FF">
        <w:trPr>
          <w:trHeight w:val="330"/>
          <w:jc w:val="center"/>
        </w:trPr>
        <w:tc>
          <w:tcPr>
            <w:tcW w:w="1781" w:type="dxa"/>
            <w:noWrap/>
            <w:hideMark/>
          </w:tcPr>
          <w:p w:rsidR="00CC4F28" w:rsidRPr="00CF3673" w:rsidRDefault="00911A58" w:rsidP="00911A58">
            <w:pPr>
              <w:spacing w:line="276" w:lineRule="auto"/>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Pequena</w:t>
            </w:r>
          </w:p>
        </w:tc>
        <w:tc>
          <w:tcPr>
            <w:tcW w:w="1746" w:type="dxa"/>
            <w:noWrap/>
            <w:hideMark/>
          </w:tcPr>
          <w:p w:rsidR="00CC4F28" w:rsidRPr="00CF3673" w:rsidRDefault="00CC4F28" w:rsidP="00AB06BA">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537</w:t>
            </w:r>
          </w:p>
        </w:tc>
        <w:tc>
          <w:tcPr>
            <w:tcW w:w="1758" w:type="dxa"/>
            <w:noWrap/>
            <w:hideMark/>
          </w:tcPr>
          <w:p w:rsidR="00CC4F28" w:rsidRPr="00CF3673" w:rsidRDefault="00CC4F28" w:rsidP="00AB06BA">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16.5</w:t>
            </w:r>
          </w:p>
        </w:tc>
      </w:tr>
      <w:tr w:rsidR="00CC4F28" w:rsidRPr="00CF3673" w:rsidTr="008F16FF">
        <w:trPr>
          <w:trHeight w:val="330"/>
          <w:jc w:val="center"/>
        </w:trPr>
        <w:tc>
          <w:tcPr>
            <w:tcW w:w="1781" w:type="dxa"/>
            <w:tcBorders>
              <w:bottom w:val="nil"/>
            </w:tcBorders>
            <w:noWrap/>
            <w:hideMark/>
          </w:tcPr>
          <w:p w:rsidR="00CC4F28" w:rsidRPr="00CF3673" w:rsidRDefault="00911A58" w:rsidP="00911A58">
            <w:pPr>
              <w:spacing w:line="276" w:lineRule="auto"/>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Média</w:t>
            </w:r>
          </w:p>
        </w:tc>
        <w:tc>
          <w:tcPr>
            <w:tcW w:w="1746" w:type="dxa"/>
            <w:tcBorders>
              <w:bottom w:val="nil"/>
            </w:tcBorders>
            <w:noWrap/>
            <w:hideMark/>
          </w:tcPr>
          <w:p w:rsidR="00CC4F28" w:rsidRPr="00CF3673" w:rsidRDefault="00CC4F28" w:rsidP="00AB06BA">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167</w:t>
            </w:r>
          </w:p>
        </w:tc>
        <w:tc>
          <w:tcPr>
            <w:tcW w:w="1758" w:type="dxa"/>
            <w:tcBorders>
              <w:bottom w:val="nil"/>
            </w:tcBorders>
            <w:noWrap/>
            <w:hideMark/>
          </w:tcPr>
          <w:p w:rsidR="00CC4F28" w:rsidRPr="00CF3673" w:rsidRDefault="00CC4F28" w:rsidP="00AB06BA">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5.1</w:t>
            </w:r>
          </w:p>
        </w:tc>
      </w:tr>
      <w:tr w:rsidR="00CC4F28" w:rsidRPr="00CF3673" w:rsidTr="008F16FF">
        <w:trPr>
          <w:trHeight w:val="330"/>
          <w:jc w:val="center"/>
        </w:trPr>
        <w:tc>
          <w:tcPr>
            <w:tcW w:w="1781" w:type="dxa"/>
            <w:tcBorders>
              <w:top w:val="nil"/>
              <w:bottom w:val="single" w:sz="4" w:space="0" w:color="auto"/>
            </w:tcBorders>
            <w:noWrap/>
            <w:hideMark/>
          </w:tcPr>
          <w:p w:rsidR="00CC4F28" w:rsidRPr="00CF3673" w:rsidRDefault="00911A58" w:rsidP="00911A58">
            <w:pPr>
              <w:spacing w:line="276" w:lineRule="auto"/>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Grande</w:t>
            </w:r>
          </w:p>
        </w:tc>
        <w:tc>
          <w:tcPr>
            <w:tcW w:w="1746" w:type="dxa"/>
            <w:tcBorders>
              <w:top w:val="nil"/>
              <w:bottom w:val="single" w:sz="4" w:space="0" w:color="auto"/>
            </w:tcBorders>
            <w:noWrap/>
            <w:hideMark/>
          </w:tcPr>
          <w:p w:rsidR="00CC4F28" w:rsidRPr="00CF3673" w:rsidRDefault="00CC4F28" w:rsidP="00AB06BA">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29</w:t>
            </w:r>
          </w:p>
        </w:tc>
        <w:tc>
          <w:tcPr>
            <w:tcW w:w="1758" w:type="dxa"/>
            <w:tcBorders>
              <w:top w:val="nil"/>
              <w:bottom w:val="single" w:sz="4" w:space="0" w:color="auto"/>
            </w:tcBorders>
            <w:noWrap/>
            <w:hideMark/>
          </w:tcPr>
          <w:p w:rsidR="00CC4F28" w:rsidRPr="00CF3673" w:rsidRDefault="00CC4F28" w:rsidP="00AB06BA">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0.9</w:t>
            </w:r>
          </w:p>
        </w:tc>
      </w:tr>
      <w:tr w:rsidR="00CC4F28" w:rsidRPr="00CF3673" w:rsidTr="008F16FF">
        <w:trPr>
          <w:trHeight w:val="330"/>
          <w:jc w:val="center"/>
        </w:trPr>
        <w:tc>
          <w:tcPr>
            <w:tcW w:w="1781" w:type="dxa"/>
            <w:tcBorders>
              <w:top w:val="single" w:sz="4" w:space="0" w:color="auto"/>
              <w:bottom w:val="double" w:sz="4" w:space="0" w:color="auto"/>
            </w:tcBorders>
            <w:noWrap/>
            <w:hideMark/>
          </w:tcPr>
          <w:p w:rsidR="00CC4F28" w:rsidRPr="00CF3673" w:rsidRDefault="00CC4F28" w:rsidP="00C44E58">
            <w:pPr>
              <w:spacing w:line="276" w:lineRule="auto"/>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Total</w:t>
            </w:r>
          </w:p>
        </w:tc>
        <w:tc>
          <w:tcPr>
            <w:tcW w:w="1746" w:type="dxa"/>
            <w:tcBorders>
              <w:top w:val="single" w:sz="4" w:space="0" w:color="auto"/>
              <w:bottom w:val="double" w:sz="4" w:space="0" w:color="auto"/>
            </w:tcBorders>
            <w:noWrap/>
            <w:hideMark/>
          </w:tcPr>
          <w:p w:rsidR="00CC4F28" w:rsidRPr="00CF3673" w:rsidRDefault="00CC4F28" w:rsidP="00AB06BA">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3,245</w:t>
            </w:r>
          </w:p>
        </w:tc>
        <w:tc>
          <w:tcPr>
            <w:tcW w:w="1758" w:type="dxa"/>
            <w:tcBorders>
              <w:top w:val="single" w:sz="4" w:space="0" w:color="auto"/>
              <w:bottom w:val="double" w:sz="4" w:space="0" w:color="auto"/>
            </w:tcBorders>
            <w:noWrap/>
            <w:hideMark/>
          </w:tcPr>
          <w:p w:rsidR="00CC4F28" w:rsidRPr="00CF3673" w:rsidRDefault="00CC4F28" w:rsidP="00AB06BA">
            <w:pPr>
              <w:spacing w:line="276" w:lineRule="auto"/>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100.0</w:t>
            </w:r>
          </w:p>
        </w:tc>
      </w:tr>
      <w:tr w:rsidR="003D06B7" w:rsidRPr="00CF3673" w:rsidTr="008F16FF">
        <w:trPr>
          <w:trHeight w:val="330"/>
          <w:jc w:val="center"/>
        </w:trPr>
        <w:tc>
          <w:tcPr>
            <w:tcW w:w="5284" w:type="dxa"/>
            <w:gridSpan w:val="3"/>
            <w:tcBorders>
              <w:top w:val="double" w:sz="4" w:space="0" w:color="auto"/>
              <w:bottom w:val="nil"/>
            </w:tcBorders>
            <w:noWrap/>
          </w:tcPr>
          <w:p w:rsidR="003D06B7" w:rsidRPr="00CF3673" w:rsidRDefault="003D06B7" w:rsidP="000A6B8F">
            <w:pPr>
              <w:pStyle w:val="Tablenote"/>
              <w:rPr>
                <w:b/>
                <w:lang w:val="pt-PT" w:eastAsia="zh-CN"/>
              </w:rPr>
            </w:pPr>
            <w:r w:rsidRPr="00CF3673">
              <w:rPr>
                <w:b/>
                <w:lang w:val="pt-PT" w:eastAsia="zh-CN"/>
              </w:rPr>
              <w:lastRenderedPageBreak/>
              <w:t>Not</w:t>
            </w:r>
            <w:r w:rsidR="00B11DE1" w:rsidRPr="00CF3673">
              <w:rPr>
                <w:b/>
                <w:lang w:val="pt-PT" w:eastAsia="zh-CN"/>
              </w:rPr>
              <w:t>a</w:t>
            </w:r>
            <w:r w:rsidRPr="00CF3673">
              <w:rPr>
                <w:b/>
                <w:lang w:val="pt-PT" w:eastAsia="zh-CN"/>
              </w:rPr>
              <w:t>:</w:t>
            </w:r>
            <w:r w:rsidRPr="00CF3673">
              <w:rPr>
                <w:lang w:val="pt-PT" w:eastAsia="zh-CN"/>
              </w:rPr>
              <w:t xml:space="preserve"> </w:t>
            </w:r>
            <w:r w:rsidR="000A6B8F" w:rsidRPr="00CF3673">
              <w:rPr>
                <w:lang w:val="pt-PT" w:eastAsia="zh-CN"/>
              </w:rPr>
              <w:t>Categorias dos tamanhos das empresas usando a definição padrão do Banco Mundial, designando empresas com menos de 10 trabalhadores como micro, empresas como 10-49 pequenas e empresas com 50-299 como media.</w:t>
            </w:r>
            <w:r w:rsidR="00AF1320" w:rsidRPr="00CF3673">
              <w:rPr>
                <w:lang w:val="pt-PT" w:eastAsia="zh-CN"/>
              </w:rPr>
              <w:t xml:space="preserve"> </w:t>
            </w:r>
            <w:r w:rsidR="000A6B8F" w:rsidRPr="00CF3673">
              <w:rPr>
                <w:lang w:val="pt-PT" w:eastAsia="zh-CN"/>
              </w:rPr>
              <w:t>Algumas observações referem se onde não houve informações resultando assim em 44 como não tendo as tais informações</w:t>
            </w:r>
            <w:r w:rsidR="00AF1320" w:rsidRPr="00CF3673">
              <w:rPr>
                <w:lang w:val="pt-PT" w:eastAsia="zh-CN"/>
              </w:rPr>
              <w:t>.</w:t>
            </w:r>
          </w:p>
        </w:tc>
      </w:tr>
      <w:tr w:rsidR="003D06B7" w:rsidRPr="00CF3673" w:rsidTr="008F16FF">
        <w:trPr>
          <w:cnfStyle w:val="010000000000" w:firstRow="0" w:lastRow="1" w:firstColumn="0" w:lastColumn="0" w:oddVBand="0" w:evenVBand="0" w:oddHBand="0" w:evenHBand="0" w:firstRowFirstColumn="0" w:firstRowLastColumn="0" w:lastRowFirstColumn="0" w:lastRowLastColumn="0"/>
          <w:trHeight w:val="330"/>
          <w:jc w:val="center"/>
        </w:trPr>
        <w:tc>
          <w:tcPr>
            <w:tcW w:w="5284" w:type="dxa"/>
            <w:gridSpan w:val="3"/>
            <w:tcBorders>
              <w:top w:val="nil"/>
              <w:bottom w:val="nil"/>
            </w:tcBorders>
            <w:noWrap/>
          </w:tcPr>
          <w:p w:rsidR="003D06B7" w:rsidRPr="00CF3673" w:rsidRDefault="000A6B8F" w:rsidP="000A6B8F">
            <w:pPr>
              <w:pStyle w:val="Tablenote"/>
              <w:rPr>
                <w:b/>
                <w:lang w:val="pt-PT" w:eastAsia="zh-CN"/>
              </w:rPr>
            </w:pPr>
            <w:r w:rsidRPr="00CF3673">
              <w:rPr>
                <w:b/>
                <w:lang w:val="pt-PT" w:eastAsia="zh-CN"/>
              </w:rPr>
              <w:t>Fonte</w:t>
            </w:r>
            <w:r w:rsidR="003D06B7" w:rsidRPr="00CF3673">
              <w:rPr>
                <w:b/>
                <w:lang w:val="pt-PT" w:eastAsia="zh-CN"/>
              </w:rPr>
              <w:t>:</w:t>
            </w:r>
            <w:r w:rsidR="003D06B7" w:rsidRPr="00CF3673">
              <w:rPr>
                <w:lang w:val="pt-PT" w:eastAsia="zh-CN"/>
              </w:rPr>
              <w:t xml:space="preserve"> </w:t>
            </w:r>
            <w:r w:rsidRPr="00CF3673">
              <w:rPr>
                <w:lang w:val="pt-PT" w:eastAsia="zh-CN"/>
              </w:rPr>
              <w:t xml:space="preserve">Calculo dos autores usando dados do </w:t>
            </w:r>
            <w:r w:rsidR="003D06B7" w:rsidRPr="00CF3673">
              <w:rPr>
                <w:lang w:val="pt-PT" w:eastAsia="zh-CN"/>
              </w:rPr>
              <w:t>CEMPRE.</w:t>
            </w:r>
          </w:p>
        </w:tc>
      </w:tr>
    </w:tbl>
    <w:p w:rsidR="00197DBE" w:rsidRPr="00CF3673" w:rsidRDefault="00197DBE" w:rsidP="001E664B">
      <w:pPr>
        <w:pStyle w:val="MainText"/>
        <w:rPr>
          <w:lang w:val="pt-PT"/>
        </w:rPr>
      </w:pPr>
    </w:p>
    <w:p w:rsidR="009D6117" w:rsidRPr="00CF3673" w:rsidRDefault="00D376D3" w:rsidP="001E664B">
      <w:pPr>
        <w:pStyle w:val="MainText"/>
        <w:rPr>
          <w:lang w:val="pt-PT"/>
        </w:rPr>
      </w:pPr>
      <w:r w:rsidRPr="00CF3673">
        <w:rPr>
          <w:lang w:val="pt-PT"/>
        </w:rPr>
        <w:t xml:space="preserve">Com base em </w:t>
      </w:r>
      <w:proofErr w:type="spellStart"/>
      <w:r w:rsidRPr="00CF3673">
        <w:rPr>
          <w:lang w:val="pt-PT"/>
        </w:rPr>
        <w:t>Cochran</w:t>
      </w:r>
      <w:proofErr w:type="spellEnd"/>
      <w:r w:rsidRPr="00CF3673">
        <w:rPr>
          <w:lang w:val="pt-PT"/>
        </w:rPr>
        <w:t xml:space="preserve"> (1977) e Levy e </w:t>
      </w:r>
      <w:proofErr w:type="spellStart"/>
      <w:r w:rsidRPr="00CF3673">
        <w:rPr>
          <w:lang w:val="pt-PT"/>
        </w:rPr>
        <w:t>Lemeshow</w:t>
      </w:r>
      <w:proofErr w:type="spellEnd"/>
      <w:r w:rsidRPr="00CF3673">
        <w:rPr>
          <w:lang w:val="pt-PT"/>
        </w:rPr>
        <w:t xml:space="preserve"> (1999) a estratégia de amostragem foi gerada com base na estratificação por localização. A amostra suficiente para o menor grupo (Tete com uma população de empresas manufactureiras de 133) </w:t>
      </w:r>
      <m:oMath>
        <m:r>
          <w:rPr>
            <w:rFonts w:ascii="Cambria Math" w:hAnsi="Cambria Math"/>
            <w:lang w:val="pt-PT"/>
          </w:rPr>
          <m:t>n</m:t>
        </m:r>
      </m:oMath>
      <w:r w:rsidRPr="00CF3673">
        <w:rPr>
          <w:lang w:val="pt-PT"/>
        </w:rPr>
        <w:t xml:space="preserve">  é determinado pela combinação dos níveis de precisão, confiança e variabilidade de acordo com </w:t>
      </w:r>
      <w:r w:rsidR="009D6117" w:rsidRPr="00CF3673">
        <w:rPr>
          <w:lang w:val="pt-PT"/>
        </w:rPr>
        <w:t xml:space="preserve">(2.1). </w:t>
      </w:r>
    </w:p>
    <w:p w:rsidR="009D6117" w:rsidRPr="00CF3673" w:rsidRDefault="009D6117" w:rsidP="001E664B">
      <w:pPr>
        <w:pStyle w:val="MainText"/>
        <w:rPr>
          <w:lang w:val="pt-PT"/>
        </w:rPr>
      </w:pPr>
      <w:r w:rsidRPr="00CF3673">
        <w:rPr>
          <w:rFonts w:eastAsiaTheme="minorEastAsia"/>
          <w:lang w:val="pt-PT"/>
        </w:rPr>
        <w:t xml:space="preserve">(2.1) </w:t>
      </w:r>
      <w:r w:rsidRPr="00CF3673">
        <w:rPr>
          <w:rFonts w:eastAsiaTheme="minorEastAsia"/>
          <w:lang w:val="pt-PT"/>
        </w:rPr>
        <w:br/>
      </w:r>
      <m:oMathPara>
        <m:oMath>
          <m:r>
            <w:rPr>
              <w:rFonts w:ascii="Cambria Math" w:hAnsi="Cambria Math"/>
              <w:lang w:val="pt-PT"/>
            </w:rPr>
            <m:t>n</m:t>
          </m:r>
          <m:r>
            <m:rPr>
              <m:sty m:val="p"/>
            </m:rPr>
            <w:rPr>
              <w:rFonts w:ascii="Cambria Math" w:hAnsi="Cambria Math"/>
              <w:lang w:val="pt-PT"/>
            </w:rPr>
            <m:t>=</m:t>
          </m:r>
          <m:f>
            <m:fPr>
              <m:ctrlPr>
                <w:rPr>
                  <w:rFonts w:ascii="Cambria Math" w:hAnsi="Cambria Math"/>
                  <w:lang w:val="pt-PT"/>
                </w:rPr>
              </m:ctrlPr>
            </m:fPr>
            <m:num>
              <m:sSub>
                <m:sSubPr>
                  <m:ctrlPr>
                    <w:rPr>
                      <w:rFonts w:ascii="Cambria Math" w:hAnsi="Cambria Math"/>
                      <w:lang w:val="pt-PT"/>
                    </w:rPr>
                  </m:ctrlPr>
                </m:sSubPr>
                <m:e>
                  <m:r>
                    <w:rPr>
                      <w:rFonts w:ascii="Cambria Math" w:hAnsi="Cambria Math"/>
                      <w:lang w:val="pt-PT"/>
                    </w:rPr>
                    <m:t>n</m:t>
                  </m:r>
                </m:e>
                <m:sub>
                  <m:r>
                    <m:rPr>
                      <m:sty m:val="p"/>
                    </m:rPr>
                    <w:rPr>
                      <w:rFonts w:ascii="Cambria Math" w:hAnsi="Cambria Math"/>
                      <w:lang w:val="pt-PT"/>
                    </w:rPr>
                    <m:t>0</m:t>
                  </m:r>
                </m:sub>
              </m:sSub>
            </m:num>
            <m:den>
              <m:r>
                <m:rPr>
                  <m:sty m:val="p"/>
                </m:rPr>
                <w:rPr>
                  <w:rFonts w:ascii="Cambria Math" w:hAnsi="Cambria Math"/>
                  <w:lang w:val="pt-PT"/>
                </w:rPr>
                <m:t>1+</m:t>
              </m:r>
              <m:f>
                <m:fPr>
                  <m:ctrlPr>
                    <w:rPr>
                      <w:rFonts w:ascii="Cambria Math" w:hAnsi="Cambria Math"/>
                      <w:lang w:val="pt-PT"/>
                    </w:rPr>
                  </m:ctrlPr>
                </m:fPr>
                <m:num>
                  <m:sSub>
                    <m:sSubPr>
                      <m:ctrlPr>
                        <w:rPr>
                          <w:rFonts w:ascii="Cambria Math" w:hAnsi="Cambria Math"/>
                          <w:lang w:val="pt-PT"/>
                        </w:rPr>
                      </m:ctrlPr>
                    </m:sSubPr>
                    <m:e>
                      <m:r>
                        <w:rPr>
                          <w:rFonts w:ascii="Cambria Math" w:hAnsi="Cambria Math"/>
                          <w:lang w:val="pt-PT"/>
                        </w:rPr>
                        <m:t>n</m:t>
                      </m:r>
                    </m:e>
                    <m:sub>
                      <m:r>
                        <m:rPr>
                          <m:sty m:val="p"/>
                        </m:rPr>
                        <w:rPr>
                          <w:rFonts w:ascii="Cambria Math" w:hAnsi="Cambria Math"/>
                          <w:lang w:val="pt-PT"/>
                        </w:rPr>
                        <m:t>0</m:t>
                      </m:r>
                    </m:sub>
                  </m:sSub>
                  <m:r>
                    <m:rPr>
                      <m:sty m:val="p"/>
                    </m:rPr>
                    <w:rPr>
                      <w:rFonts w:ascii="Cambria Math" w:hAnsi="Cambria Math"/>
                      <w:lang w:val="pt-PT"/>
                    </w:rPr>
                    <m:t>-1</m:t>
                  </m:r>
                </m:num>
                <m:den>
                  <m:r>
                    <w:rPr>
                      <w:rFonts w:ascii="Cambria Math" w:hAnsi="Cambria Math"/>
                      <w:lang w:val="pt-PT"/>
                    </w:rPr>
                    <m:t>N</m:t>
                  </m:r>
                </m:den>
              </m:f>
            </m:den>
          </m:f>
        </m:oMath>
      </m:oMathPara>
    </w:p>
    <w:p w:rsidR="009D6117" w:rsidRPr="00CF3673" w:rsidRDefault="00D376D3" w:rsidP="001E664B">
      <w:pPr>
        <w:pStyle w:val="MainText"/>
        <w:rPr>
          <w:lang w:val="pt-PT"/>
        </w:rPr>
      </w:pPr>
      <w:r w:rsidRPr="00CF3673">
        <w:rPr>
          <w:lang w:val="pt-PT"/>
        </w:rPr>
        <w:t>Onde</w:t>
      </w:r>
      <w:r w:rsidR="009D6117" w:rsidRPr="00CF3673">
        <w:rPr>
          <w:lang w:val="pt-PT"/>
        </w:rPr>
        <w:t xml:space="preserve"> </w:t>
      </w:r>
      <m:oMath>
        <m:r>
          <w:rPr>
            <w:rFonts w:ascii="Cambria Math" w:hAnsi="Cambria Math"/>
            <w:lang w:val="pt-PT"/>
          </w:rPr>
          <m:t>N</m:t>
        </m:r>
      </m:oMath>
      <w:r w:rsidRPr="00CF3673">
        <w:rPr>
          <w:lang w:val="pt-PT"/>
        </w:rPr>
        <w:t xml:space="preserve"> é</w:t>
      </w:r>
      <w:r w:rsidR="009D6117" w:rsidRPr="00CF3673">
        <w:rPr>
          <w:lang w:val="pt-PT"/>
        </w:rPr>
        <w:t xml:space="preserve"> </w:t>
      </w:r>
      <w:r w:rsidRPr="00CF3673">
        <w:rPr>
          <w:lang w:val="pt-PT"/>
        </w:rPr>
        <w:t>o tamanho da população</w:t>
      </w:r>
      <w:r w:rsidR="009D6117" w:rsidRPr="00CF3673">
        <w:rPr>
          <w:lang w:val="pt-PT"/>
        </w:rPr>
        <w:t xml:space="preserve">. </w:t>
      </w:r>
      <m:oMath>
        <m:sSub>
          <m:sSubPr>
            <m:ctrlPr>
              <w:rPr>
                <w:rFonts w:ascii="Cambria Math" w:hAnsi="Cambria Math"/>
                <w:i/>
                <w:lang w:val="pt-PT"/>
              </w:rPr>
            </m:ctrlPr>
          </m:sSubPr>
          <m:e>
            <m:r>
              <w:rPr>
                <w:rFonts w:ascii="Cambria Math" w:hAnsi="Cambria Math"/>
                <w:lang w:val="pt-PT"/>
              </w:rPr>
              <m:t>n</m:t>
            </m:r>
          </m:e>
          <m:sub>
            <m:r>
              <w:rPr>
                <w:rFonts w:ascii="Cambria Math" w:hAnsi="Cambria Math"/>
                <w:lang w:val="pt-PT"/>
              </w:rPr>
              <m:t>0</m:t>
            </m:r>
          </m:sub>
        </m:sSub>
      </m:oMath>
      <w:r w:rsidR="009D6117" w:rsidRPr="00CF3673">
        <w:rPr>
          <w:lang w:val="pt-PT"/>
        </w:rPr>
        <w:t xml:space="preserve"> </w:t>
      </w:r>
      <w:r w:rsidRPr="00CF3673">
        <w:rPr>
          <w:lang w:val="pt-PT"/>
        </w:rPr>
        <w:t>Pode ser expresso da seguinte forma</w:t>
      </w:r>
      <w:r w:rsidR="009D6117" w:rsidRPr="00CF3673">
        <w:rPr>
          <w:lang w:val="pt-PT"/>
        </w:rPr>
        <w:t>:</w:t>
      </w:r>
    </w:p>
    <w:p w:rsidR="009D6117" w:rsidRPr="00CF3673" w:rsidRDefault="009D6117" w:rsidP="001E664B">
      <w:pPr>
        <w:pStyle w:val="MainText"/>
        <w:rPr>
          <w:lang w:val="pt-PT"/>
        </w:rPr>
      </w:pPr>
      <w:r w:rsidRPr="00CF3673">
        <w:rPr>
          <w:rFonts w:eastAsiaTheme="minorEastAsia"/>
          <w:lang w:val="pt-PT"/>
        </w:rPr>
        <w:t xml:space="preserve">(2.2) </w:t>
      </w:r>
      <w:r w:rsidRPr="00CF3673">
        <w:rPr>
          <w:rFonts w:eastAsiaTheme="minorEastAsia"/>
          <w:lang w:val="pt-PT"/>
        </w:rPr>
        <w:br/>
      </w:r>
      <m:oMathPara>
        <m:oMath>
          <m:sSub>
            <m:sSubPr>
              <m:ctrlPr>
                <w:rPr>
                  <w:rFonts w:ascii="Cambria Math" w:hAnsi="Cambria Math"/>
                  <w:lang w:val="pt-PT"/>
                </w:rPr>
              </m:ctrlPr>
            </m:sSubPr>
            <m:e>
              <m:r>
                <w:rPr>
                  <w:rFonts w:ascii="Cambria Math" w:hAnsi="Cambria Math"/>
                  <w:lang w:val="pt-PT"/>
                </w:rPr>
                <m:t>n</m:t>
              </m:r>
            </m:e>
            <m:sub>
              <m:r>
                <m:rPr>
                  <m:sty m:val="p"/>
                </m:rPr>
                <w:rPr>
                  <w:rFonts w:ascii="Cambria Math" w:hAnsi="Cambria Math"/>
                  <w:lang w:val="pt-PT"/>
                </w:rPr>
                <m:t>0</m:t>
              </m:r>
            </m:sub>
          </m:sSub>
          <m:r>
            <m:rPr>
              <m:sty m:val="p"/>
            </m:rPr>
            <w:rPr>
              <w:rFonts w:ascii="Cambria Math" w:hAnsi="Cambria Math"/>
              <w:lang w:val="pt-PT"/>
            </w:rPr>
            <m:t>=</m:t>
          </m:r>
          <m:f>
            <m:fPr>
              <m:ctrlPr>
                <w:rPr>
                  <w:rFonts w:ascii="Cambria Math" w:hAnsi="Cambria Math"/>
                  <w:lang w:val="pt-PT"/>
                </w:rPr>
              </m:ctrlPr>
            </m:fPr>
            <m:num>
              <m:sSup>
                <m:sSupPr>
                  <m:ctrlPr>
                    <w:rPr>
                      <w:rFonts w:ascii="Cambria Math" w:hAnsi="Cambria Math"/>
                      <w:lang w:val="pt-PT"/>
                    </w:rPr>
                  </m:ctrlPr>
                </m:sSupPr>
                <m:e>
                  <m:r>
                    <w:rPr>
                      <w:rFonts w:ascii="Cambria Math" w:hAnsi="Cambria Math"/>
                      <w:lang w:val="pt-PT"/>
                    </w:rPr>
                    <m:t>z</m:t>
                  </m:r>
                </m:e>
                <m:sup>
                  <m:r>
                    <m:rPr>
                      <m:sty m:val="p"/>
                    </m:rPr>
                    <w:rPr>
                      <w:rFonts w:ascii="Cambria Math" w:hAnsi="Cambria Math"/>
                      <w:lang w:val="pt-PT"/>
                    </w:rPr>
                    <m:t>2</m:t>
                  </m:r>
                </m:sup>
              </m:sSup>
              <m:r>
                <w:rPr>
                  <w:rFonts w:ascii="Cambria Math" w:hAnsi="Cambria Math"/>
                  <w:lang w:val="pt-PT"/>
                </w:rPr>
                <m:t>p</m:t>
              </m:r>
              <m:r>
                <m:rPr>
                  <m:sty m:val="p"/>
                </m:rPr>
                <w:rPr>
                  <w:rFonts w:ascii="Cambria Math" w:hAnsi="Cambria Math"/>
                  <w:lang w:val="pt-PT"/>
                </w:rPr>
                <m:t>(1-</m:t>
              </m:r>
              <m:r>
                <w:rPr>
                  <w:rFonts w:ascii="Cambria Math" w:hAnsi="Cambria Math"/>
                  <w:lang w:val="pt-PT"/>
                </w:rPr>
                <m:t>p</m:t>
              </m:r>
              <m:r>
                <m:rPr>
                  <m:sty m:val="p"/>
                </m:rPr>
                <w:rPr>
                  <w:rFonts w:ascii="Cambria Math" w:hAnsi="Cambria Math"/>
                  <w:lang w:val="pt-PT"/>
                </w:rPr>
                <m:t>)</m:t>
              </m:r>
            </m:num>
            <m:den>
              <m:sSup>
                <m:sSupPr>
                  <m:ctrlPr>
                    <w:rPr>
                      <w:rFonts w:ascii="Cambria Math" w:hAnsi="Cambria Math"/>
                      <w:lang w:val="pt-PT"/>
                    </w:rPr>
                  </m:ctrlPr>
                </m:sSupPr>
                <m:e>
                  <m:r>
                    <w:rPr>
                      <w:rFonts w:ascii="Cambria Math" w:hAnsi="Cambria Math"/>
                      <w:lang w:val="pt-PT"/>
                    </w:rPr>
                    <m:t>d</m:t>
                  </m:r>
                </m:e>
                <m:sup>
                  <m:r>
                    <m:rPr>
                      <m:sty m:val="p"/>
                    </m:rPr>
                    <w:rPr>
                      <w:rFonts w:ascii="Cambria Math" w:hAnsi="Cambria Math"/>
                      <w:lang w:val="pt-PT"/>
                    </w:rPr>
                    <m:t>2</m:t>
                  </m:r>
                </m:sup>
              </m:sSup>
            </m:den>
          </m:f>
        </m:oMath>
      </m:oMathPara>
    </w:p>
    <w:p w:rsidR="009D6117" w:rsidRPr="00CF3673" w:rsidRDefault="00D376D3" w:rsidP="001E664B">
      <w:pPr>
        <w:pStyle w:val="MainText"/>
        <w:rPr>
          <w:lang w:val="pt-PT"/>
        </w:rPr>
      </w:pPr>
      <w:r w:rsidRPr="00CF3673">
        <w:rPr>
          <w:lang w:val="pt-PT"/>
        </w:rPr>
        <w:t>onde</w:t>
      </w:r>
      <w:r w:rsidR="009D6117" w:rsidRPr="00CF3673">
        <w:rPr>
          <w:lang w:val="pt-PT"/>
        </w:rPr>
        <w:t xml:space="preserve"> </w:t>
      </w:r>
      <m:oMath>
        <m:r>
          <w:rPr>
            <w:rFonts w:ascii="Cambria Math" w:hAnsi="Cambria Math"/>
            <w:lang w:val="pt-PT"/>
          </w:rPr>
          <m:t>p</m:t>
        </m:r>
      </m:oMath>
      <w:r w:rsidRPr="00CF3673">
        <w:rPr>
          <w:lang w:val="pt-PT"/>
        </w:rPr>
        <w:t xml:space="preserve"> é a </w:t>
      </w:r>
      <w:r w:rsidR="00BD4DF4" w:rsidRPr="00CF3673">
        <w:rPr>
          <w:lang w:val="pt-PT"/>
        </w:rPr>
        <w:t>proporção</w:t>
      </w:r>
      <w:r w:rsidRPr="00CF3673">
        <w:rPr>
          <w:lang w:val="pt-PT"/>
        </w:rPr>
        <w:t xml:space="preserve"> estimada dum atributo que está presente na população, </w:t>
      </w:r>
      <m:oMath>
        <m:r>
          <w:rPr>
            <w:rFonts w:ascii="Cambria Math" w:hAnsi="Cambria Math"/>
            <w:lang w:val="pt-PT"/>
          </w:rPr>
          <m:t>d</m:t>
        </m:r>
      </m:oMath>
      <w:r w:rsidR="009D6117" w:rsidRPr="00CF3673">
        <w:rPr>
          <w:lang w:val="pt-PT"/>
        </w:rPr>
        <w:t xml:space="preserve"> </w:t>
      </w:r>
      <w:r w:rsidR="00BD4DF4" w:rsidRPr="00CF3673">
        <w:rPr>
          <w:lang w:val="pt-PT"/>
        </w:rPr>
        <w:t>é o nível de precisão e</w:t>
      </w:r>
      <w:r w:rsidR="009D6117" w:rsidRPr="00CF3673">
        <w:rPr>
          <w:lang w:val="pt-PT"/>
        </w:rPr>
        <w:t xml:space="preserve"> </w:t>
      </w:r>
      <m:oMath>
        <m:r>
          <w:rPr>
            <w:rFonts w:ascii="Cambria Math" w:hAnsi="Cambria Math"/>
            <w:lang w:val="pt-PT"/>
          </w:rPr>
          <m:t>z</m:t>
        </m:r>
      </m:oMath>
      <w:r w:rsidR="009D6117" w:rsidRPr="00CF3673">
        <w:rPr>
          <w:lang w:val="pt-PT"/>
        </w:rPr>
        <w:t xml:space="preserve"> </w:t>
      </w:r>
      <w:r w:rsidR="00BD4DF4" w:rsidRPr="00CF3673">
        <w:rPr>
          <w:lang w:val="pt-PT"/>
        </w:rPr>
        <w:t>é o valor-</w:t>
      </w:r>
      <w:r w:rsidR="009D6117" w:rsidRPr="00CF3673">
        <w:rPr>
          <w:lang w:val="pt-PT"/>
        </w:rPr>
        <w:t>t-</w:t>
      </w:r>
      <w:r w:rsidR="00BD4DF4" w:rsidRPr="00CF3673">
        <w:rPr>
          <w:lang w:val="pt-PT"/>
        </w:rPr>
        <w:t xml:space="preserve"> correspondente ao intervalo de confiança seleccionado</w:t>
      </w:r>
      <w:r w:rsidR="009D6117" w:rsidRPr="00CF3673">
        <w:rPr>
          <w:lang w:val="pt-PT"/>
        </w:rPr>
        <w:t xml:space="preserve">. </w:t>
      </w:r>
      <w:r w:rsidR="00BD4DF4" w:rsidRPr="00CF3673">
        <w:rPr>
          <w:lang w:val="pt-PT"/>
        </w:rPr>
        <w:t>Para criar uma amostra aleatória estratificada e por via disso estimar o tamanho da amostra, assumimos a variabilidade máxima</w:t>
      </w:r>
      <w:r w:rsidR="009D6117" w:rsidRPr="00CF3673">
        <w:rPr>
          <w:lang w:val="pt-PT"/>
        </w:rPr>
        <w:t xml:space="preserve"> (p=0.</w:t>
      </w:r>
      <w:r w:rsidR="001235FD" w:rsidRPr="00CF3673">
        <w:rPr>
          <w:lang w:val="pt-PT"/>
        </w:rPr>
        <w:t>5), 90%</w:t>
      </w:r>
      <w:r w:rsidR="009D6117" w:rsidRPr="00CF3673">
        <w:rPr>
          <w:lang w:val="pt-PT"/>
        </w:rPr>
        <w:t xml:space="preserve"> </w:t>
      </w:r>
      <w:r w:rsidR="00BD4DF4" w:rsidRPr="00CF3673">
        <w:rPr>
          <w:lang w:val="pt-PT"/>
        </w:rPr>
        <w:t>de nível de confiança</w:t>
      </w:r>
      <w:r w:rsidR="009D6117" w:rsidRPr="00CF3673">
        <w:rPr>
          <w:lang w:val="pt-PT"/>
        </w:rPr>
        <w:t xml:space="preserve"> </w:t>
      </w:r>
      <w:r w:rsidR="00BD4DF4" w:rsidRPr="00CF3673">
        <w:rPr>
          <w:lang w:val="pt-PT"/>
        </w:rPr>
        <w:t xml:space="preserve">e </w:t>
      </w:r>
      <w:r w:rsidR="009D6117" w:rsidRPr="00CF3673">
        <w:rPr>
          <w:lang w:val="pt-PT"/>
        </w:rPr>
        <w:t>±11.8</w:t>
      </w:r>
      <w:r w:rsidR="00BD4DF4" w:rsidRPr="00CF3673">
        <w:rPr>
          <w:lang w:val="pt-PT"/>
        </w:rPr>
        <w:t>% de</w:t>
      </w:r>
      <w:r w:rsidR="009D6117" w:rsidRPr="00CF3673">
        <w:rPr>
          <w:lang w:val="pt-PT"/>
        </w:rPr>
        <w:t xml:space="preserve"> precis</w:t>
      </w:r>
      <w:r w:rsidR="00BD4DF4" w:rsidRPr="00CF3673">
        <w:rPr>
          <w:lang w:val="pt-PT"/>
        </w:rPr>
        <w:t>ão</w:t>
      </w:r>
      <w:r w:rsidR="009D6117" w:rsidRPr="00CF3673">
        <w:rPr>
          <w:lang w:val="pt-PT"/>
        </w:rPr>
        <w:t xml:space="preserve">. </w:t>
      </w:r>
      <w:r w:rsidR="001235FD" w:rsidRPr="00CF3673">
        <w:rPr>
          <w:lang w:val="pt-PT"/>
        </w:rPr>
        <w:t>Isto</w:t>
      </w:r>
      <w:r w:rsidR="00BD4DF4" w:rsidRPr="00CF3673">
        <w:rPr>
          <w:lang w:val="pt-PT"/>
        </w:rPr>
        <w:t xml:space="preserve"> resulta</w:t>
      </w:r>
      <w:r w:rsidR="001235FD" w:rsidRPr="00CF3673">
        <w:rPr>
          <w:lang w:val="pt-PT"/>
        </w:rPr>
        <w:t xml:space="preserve"> da necessária amostra de 36 empresas </w:t>
      </w:r>
      <w:r w:rsidR="00BD4DF4" w:rsidRPr="00CF3673">
        <w:rPr>
          <w:lang w:val="pt-PT"/>
        </w:rPr>
        <w:t>para Tete</w:t>
      </w:r>
      <w:r w:rsidR="009D6117" w:rsidRPr="00CF3673">
        <w:rPr>
          <w:lang w:val="pt-PT"/>
        </w:rPr>
        <w:t xml:space="preserve">. </w:t>
      </w:r>
      <w:r w:rsidR="00BD4DF4" w:rsidRPr="00CF3673">
        <w:rPr>
          <w:lang w:val="pt-PT"/>
        </w:rPr>
        <w:t>Usando uma amostra proporcional fomos capazes de calcular o número de empresas necessárias em cada região</w:t>
      </w:r>
      <w:r w:rsidR="009D6117" w:rsidRPr="00CF3673">
        <w:rPr>
          <w:lang w:val="pt-PT"/>
        </w:rPr>
        <w:t xml:space="preserve">. </w:t>
      </w:r>
    </w:p>
    <w:p w:rsidR="00BD4DF4" w:rsidRPr="00CF3673" w:rsidRDefault="00BD4DF4" w:rsidP="001E664B">
      <w:pPr>
        <w:pStyle w:val="MainText"/>
        <w:rPr>
          <w:lang w:val="pt-PT"/>
        </w:rPr>
      </w:pPr>
      <w:r w:rsidRPr="00CF3673">
        <w:rPr>
          <w:lang w:val="pt-PT"/>
        </w:rPr>
        <w:t xml:space="preserve">Dado que a razão para a inclusão de </w:t>
      </w:r>
      <w:r w:rsidR="002900B9" w:rsidRPr="00CF3673">
        <w:rPr>
          <w:lang w:val="pt-PT"/>
        </w:rPr>
        <w:t>T</w:t>
      </w:r>
      <w:r w:rsidRPr="00CF3673">
        <w:rPr>
          <w:lang w:val="pt-PT"/>
        </w:rPr>
        <w:t>ete no quadro da amostra foi devida a expectativa de</w:t>
      </w:r>
      <w:r w:rsidR="00F8302F" w:rsidRPr="00CF3673">
        <w:rPr>
          <w:lang w:val="pt-PT"/>
        </w:rPr>
        <w:t xml:space="preserve"> que o número de empresas teria crescido mais do que a média nacional, foi decidido aumentar para outras 24 empresas ao tamanho da sua amostra</w:t>
      </w:r>
      <w:r w:rsidR="002900B9" w:rsidRPr="00CF3673">
        <w:rPr>
          <w:lang w:val="pt-PT"/>
        </w:rPr>
        <w:t xml:space="preserve"> inicial</w:t>
      </w:r>
      <w:r w:rsidR="00F8302F" w:rsidRPr="00CF3673">
        <w:rPr>
          <w:lang w:val="pt-PT"/>
        </w:rPr>
        <w:t xml:space="preserve">. O mesmo sucedeu com Nacala (foram adicionadas 16 empresas) por forma a obter mais empresas da Zona Económica Especial de Nacala </w:t>
      </w:r>
      <w:r w:rsidR="002900B9" w:rsidRPr="00CF3673">
        <w:rPr>
          <w:lang w:val="pt-PT"/>
        </w:rPr>
        <w:t xml:space="preserve">e </w:t>
      </w:r>
      <w:r w:rsidR="00F8302F" w:rsidRPr="00CF3673">
        <w:rPr>
          <w:lang w:val="pt-PT"/>
        </w:rPr>
        <w:t>a volta do Porto de Nacala. O tamanho da amostra resultante deste exercício é apresentado na tabela 2.4.</w:t>
      </w:r>
    </w:p>
    <w:p w:rsidR="00F8302F" w:rsidRPr="00CF3673" w:rsidRDefault="00F8302F" w:rsidP="00651D4B">
      <w:pPr>
        <w:pStyle w:val="MainText"/>
        <w:rPr>
          <w:lang w:val="pt-PT"/>
        </w:rPr>
      </w:pPr>
      <w:r w:rsidRPr="00CF3673">
        <w:rPr>
          <w:lang w:val="pt-PT"/>
        </w:rPr>
        <w:lastRenderedPageBreak/>
        <w:t xml:space="preserve">Mais ainda, a amostra apenas </w:t>
      </w:r>
      <w:r w:rsidR="00E42DA8" w:rsidRPr="00CF3673">
        <w:rPr>
          <w:lang w:val="pt-PT"/>
        </w:rPr>
        <w:t>inclui</w:t>
      </w:r>
      <w:r w:rsidRPr="00CF3673">
        <w:rPr>
          <w:lang w:val="pt-PT"/>
        </w:rPr>
        <w:t xml:space="preserve"> empresas detidas por privado</w:t>
      </w:r>
      <w:r w:rsidR="006F0817" w:rsidRPr="00CF3673">
        <w:rPr>
          <w:lang w:val="pt-PT"/>
        </w:rPr>
        <w:t>s</w:t>
      </w:r>
      <w:r w:rsidRPr="00CF3673">
        <w:rPr>
          <w:lang w:val="pt-PT"/>
        </w:rPr>
        <w:t xml:space="preserve"> e que iniciaram operações antes de 2009</w:t>
      </w:r>
      <w:r w:rsidRPr="00CF3673">
        <w:rPr>
          <w:rStyle w:val="FootnoteReference"/>
          <w:lang w:val="pt-PT"/>
        </w:rPr>
        <w:footnoteReference w:id="6"/>
      </w:r>
      <w:r w:rsidR="00E42DA8" w:rsidRPr="00CF3673">
        <w:rPr>
          <w:lang w:val="pt-PT"/>
        </w:rPr>
        <w:t>. As empresas manufactureiras</w:t>
      </w:r>
      <w:r w:rsidR="006F0817" w:rsidRPr="00CF3673">
        <w:rPr>
          <w:lang w:val="pt-PT"/>
        </w:rPr>
        <w:t xml:space="preserve"> são</w:t>
      </w:r>
      <w:r w:rsidR="00E42DA8" w:rsidRPr="00CF3673">
        <w:rPr>
          <w:lang w:val="pt-PT"/>
        </w:rPr>
        <w:t xml:space="preserve"> </w:t>
      </w:r>
      <w:r w:rsidR="00A87A42" w:rsidRPr="00CF3673">
        <w:rPr>
          <w:lang w:val="pt-PT"/>
        </w:rPr>
        <w:t>definidas como tendo não menos de 50% das suas vendas</w:t>
      </w:r>
      <w:r w:rsidR="006F0817" w:rsidRPr="00CF3673">
        <w:rPr>
          <w:lang w:val="pt-PT"/>
        </w:rPr>
        <w:t xml:space="preserve"> no sector manufactureiro</w:t>
      </w:r>
      <w:r w:rsidR="006B5D8C" w:rsidRPr="00CF3673">
        <w:rPr>
          <w:lang w:val="pt-PT"/>
        </w:rPr>
        <w:t xml:space="preserve"> d</w:t>
      </w:r>
      <w:r w:rsidR="00A87A42" w:rsidRPr="00CF3673">
        <w:rPr>
          <w:lang w:val="pt-PT"/>
        </w:rPr>
        <w:t xml:space="preserve">os </w:t>
      </w:r>
      <w:r w:rsidR="00C73346" w:rsidRPr="00CF3673">
        <w:rPr>
          <w:lang w:val="pt-PT"/>
        </w:rPr>
        <w:t>padrões</w:t>
      </w:r>
      <w:r w:rsidR="00A87A42" w:rsidRPr="00CF3673">
        <w:rPr>
          <w:lang w:val="pt-PT"/>
        </w:rPr>
        <w:t xml:space="preserve"> internacionais do sector industria (ISIC) ver. 3 (categoria ISIC 15-37).</w:t>
      </w:r>
      <w:r w:rsidR="00E42DA8" w:rsidRPr="00CF3673">
        <w:rPr>
          <w:lang w:val="pt-PT"/>
        </w:rPr>
        <w:t xml:space="preserve"> </w:t>
      </w:r>
    </w:p>
    <w:p w:rsidR="00E65C8D" w:rsidRPr="00CF3673" w:rsidRDefault="00E333A2" w:rsidP="00B06D3F">
      <w:pPr>
        <w:pStyle w:val="TableTitle"/>
        <w:rPr>
          <w:lang w:val="pt-PT"/>
        </w:rPr>
      </w:pPr>
      <w:bookmarkStart w:id="16" w:name="_Toc360720436"/>
      <w:r w:rsidRPr="00CF3673">
        <w:rPr>
          <w:lang w:val="pt-PT"/>
        </w:rPr>
        <w:t>Ta</w:t>
      </w:r>
      <w:r w:rsidR="00A87A42" w:rsidRPr="00CF3673">
        <w:rPr>
          <w:lang w:val="pt-PT"/>
        </w:rPr>
        <w:t>bela</w:t>
      </w:r>
      <w:r w:rsidR="00E65C8D" w:rsidRPr="00CF3673">
        <w:rPr>
          <w:lang w:val="pt-PT"/>
        </w:rPr>
        <w:t xml:space="preserve"> 2.4:</w:t>
      </w:r>
      <w:r w:rsidR="00B46216" w:rsidRPr="00CF3673">
        <w:rPr>
          <w:lang w:val="pt-PT"/>
        </w:rPr>
        <w:t xml:space="preserve"> </w:t>
      </w:r>
      <w:r w:rsidR="00C73346" w:rsidRPr="00CF3673">
        <w:rPr>
          <w:lang w:val="pt-PT"/>
        </w:rPr>
        <w:t>Estratégia de amostragem</w:t>
      </w:r>
      <w:r w:rsidR="001441C7" w:rsidRPr="00CF3673">
        <w:rPr>
          <w:lang w:val="pt-PT"/>
        </w:rPr>
        <w:t>:</w:t>
      </w:r>
      <w:r w:rsidR="00C73346" w:rsidRPr="00CF3673">
        <w:rPr>
          <w:lang w:val="pt-PT"/>
        </w:rPr>
        <w:t xml:space="preserve"> </w:t>
      </w:r>
      <w:r w:rsidR="00005680" w:rsidRPr="00CF3673">
        <w:rPr>
          <w:lang w:val="pt-PT"/>
        </w:rPr>
        <w:t>Número</w:t>
      </w:r>
      <w:r w:rsidR="00C73346" w:rsidRPr="00CF3673">
        <w:rPr>
          <w:lang w:val="pt-PT"/>
        </w:rPr>
        <w:t xml:space="preserve"> de </w:t>
      </w:r>
      <w:r w:rsidR="00005680" w:rsidRPr="00CF3673">
        <w:rPr>
          <w:lang w:val="pt-PT"/>
        </w:rPr>
        <w:t>empresas a serem abrangidas por província</w:t>
      </w:r>
      <w:bookmarkEnd w:id="16"/>
    </w:p>
    <w:tbl>
      <w:tblPr>
        <w:tblStyle w:val="StandardTable"/>
        <w:tblW w:w="0" w:type="auto"/>
        <w:jc w:val="center"/>
        <w:tblLayout w:type="fixed"/>
        <w:tblLook w:val="04E0" w:firstRow="1" w:lastRow="1" w:firstColumn="1" w:lastColumn="0" w:noHBand="0" w:noVBand="1"/>
      </w:tblPr>
      <w:tblGrid>
        <w:gridCol w:w="2748"/>
        <w:gridCol w:w="2051"/>
        <w:gridCol w:w="1602"/>
      </w:tblGrid>
      <w:tr w:rsidR="00E65C8D" w:rsidRPr="00CF3673" w:rsidTr="003C0D92">
        <w:trPr>
          <w:cnfStyle w:val="100000000000" w:firstRow="1" w:lastRow="0" w:firstColumn="0" w:lastColumn="0" w:oddVBand="0" w:evenVBand="0" w:oddHBand="0" w:evenHBand="0" w:firstRowFirstColumn="0" w:firstRowLastColumn="0" w:lastRowFirstColumn="0" w:lastRowLastColumn="0"/>
          <w:trHeight w:val="288"/>
          <w:jc w:val="center"/>
        </w:trPr>
        <w:tc>
          <w:tcPr>
            <w:tcW w:w="2748" w:type="dxa"/>
            <w:noWrap/>
            <w:hideMark/>
          </w:tcPr>
          <w:p w:rsidR="00E65C8D" w:rsidRPr="00CF3673" w:rsidRDefault="00E65C8D" w:rsidP="00C44E58">
            <w:pPr>
              <w:spacing w:line="276" w:lineRule="auto"/>
              <w:rPr>
                <w:rFonts w:eastAsia="Times New Roman" w:cs="Times New Roman"/>
                <w:szCs w:val="20"/>
                <w:lang w:eastAsia="zh-CN"/>
              </w:rPr>
            </w:pPr>
            <w:r w:rsidRPr="00CF3673">
              <w:rPr>
                <w:rFonts w:eastAsia="Times New Roman" w:cs="Times New Roman"/>
                <w:szCs w:val="20"/>
                <w:lang w:eastAsia="zh-CN"/>
              </w:rPr>
              <w:t> </w:t>
            </w:r>
          </w:p>
        </w:tc>
        <w:tc>
          <w:tcPr>
            <w:tcW w:w="2051" w:type="dxa"/>
            <w:noWrap/>
            <w:hideMark/>
          </w:tcPr>
          <w:p w:rsidR="00E65C8D" w:rsidRPr="00CF3673" w:rsidRDefault="00005680" w:rsidP="00005680">
            <w:pPr>
              <w:spacing w:line="276" w:lineRule="auto"/>
              <w:jc w:val="center"/>
              <w:rPr>
                <w:rFonts w:eastAsia="Times New Roman" w:cs="Times New Roman"/>
                <w:szCs w:val="20"/>
                <w:lang w:eastAsia="zh-CN"/>
              </w:rPr>
            </w:pPr>
            <w:r w:rsidRPr="00CF3673">
              <w:rPr>
                <w:rFonts w:eastAsia="Times New Roman" w:cs="Times New Roman"/>
                <w:szCs w:val="20"/>
                <w:lang w:eastAsia="zh-CN"/>
              </w:rPr>
              <w:t>Empresas a abranger</w:t>
            </w:r>
          </w:p>
        </w:tc>
        <w:tc>
          <w:tcPr>
            <w:tcW w:w="1602" w:type="dxa"/>
            <w:noWrap/>
            <w:hideMark/>
          </w:tcPr>
          <w:p w:rsidR="00E65C8D" w:rsidRPr="00CF3673" w:rsidRDefault="00005680" w:rsidP="00005680">
            <w:pPr>
              <w:spacing w:line="276" w:lineRule="auto"/>
              <w:jc w:val="center"/>
              <w:rPr>
                <w:rFonts w:eastAsia="Times New Roman" w:cs="Times New Roman"/>
                <w:szCs w:val="20"/>
                <w:lang w:eastAsia="zh-CN"/>
              </w:rPr>
            </w:pPr>
            <w:r w:rsidRPr="00CF3673">
              <w:rPr>
                <w:rFonts w:eastAsia="Times New Roman" w:cs="Times New Roman"/>
                <w:szCs w:val="20"/>
                <w:lang w:eastAsia="zh-CN"/>
              </w:rPr>
              <w:t>Participação em %</w:t>
            </w:r>
          </w:p>
        </w:tc>
      </w:tr>
      <w:tr w:rsidR="00E65C8D" w:rsidRPr="00CF3673" w:rsidTr="003C0D92">
        <w:trPr>
          <w:trHeight w:val="272"/>
          <w:jc w:val="center"/>
        </w:trPr>
        <w:tc>
          <w:tcPr>
            <w:tcW w:w="2748" w:type="dxa"/>
            <w:noWrap/>
            <w:hideMark/>
          </w:tcPr>
          <w:p w:rsidR="00E65C8D" w:rsidRPr="00CF3673" w:rsidRDefault="00E65C8D" w:rsidP="00C44E58">
            <w:pPr>
              <w:spacing w:line="276" w:lineRule="auto"/>
              <w:rPr>
                <w:rFonts w:eastAsia="Times New Roman" w:cs="Times New Roman"/>
                <w:szCs w:val="20"/>
                <w:lang w:eastAsia="zh-CN"/>
              </w:rPr>
            </w:pPr>
            <w:r w:rsidRPr="00CF3673">
              <w:rPr>
                <w:rFonts w:eastAsia="Times New Roman" w:cs="Times New Roman"/>
                <w:szCs w:val="20"/>
                <w:lang w:eastAsia="zh-CN"/>
              </w:rPr>
              <w:t>Nampula (Nampula, Nacala)</w:t>
            </w:r>
          </w:p>
        </w:tc>
        <w:tc>
          <w:tcPr>
            <w:tcW w:w="2051" w:type="dxa"/>
            <w:noWrap/>
            <w:hideMark/>
          </w:tcPr>
          <w:p w:rsidR="00E65C8D" w:rsidRPr="00CF3673" w:rsidRDefault="00E65C8D" w:rsidP="009E50F6">
            <w:pPr>
              <w:spacing w:line="276" w:lineRule="auto"/>
              <w:jc w:val="center"/>
              <w:rPr>
                <w:rFonts w:eastAsia="Times New Roman" w:cs="Times New Roman"/>
                <w:szCs w:val="20"/>
                <w:lang w:eastAsia="zh-CN"/>
              </w:rPr>
            </w:pPr>
            <w:r w:rsidRPr="00CF3673">
              <w:rPr>
                <w:rFonts w:eastAsia="Times New Roman" w:cs="Times New Roman"/>
                <w:szCs w:val="20"/>
                <w:lang w:eastAsia="zh-CN"/>
              </w:rPr>
              <w:t>64+</w:t>
            </w:r>
            <w:r w:rsidR="009E50F6" w:rsidRPr="00CF3673">
              <w:rPr>
                <w:rFonts w:eastAsia="Times New Roman" w:cs="Times New Roman"/>
                <w:szCs w:val="20"/>
                <w:lang w:eastAsia="zh-CN"/>
              </w:rPr>
              <w:t>16</w:t>
            </w:r>
          </w:p>
        </w:tc>
        <w:tc>
          <w:tcPr>
            <w:tcW w:w="1602" w:type="dxa"/>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8.5</w:t>
            </w:r>
          </w:p>
        </w:tc>
      </w:tr>
      <w:tr w:rsidR="00E65C8D" w:rsidRPr="00CF3673" w:rsidTr="003C0D92">
        <w:trPr>
          <w:trHeight w:val="272"/>
          <w:jc w:val="center"/>
        </w:trPr>
        <w:tc>
          <w:tcPr>
            <w:tcW w:w="2748" w:type="dxa"/>
            <w:noWrap/>
            <w:hideMark/>
          </w:tcPr>
          <w:p w:rsidR="00E65C8D" w:rsidRPr="00CF3673" w:rsidRDefault="00E65C8D" w:rsidP="00C44E58">
            <w:pPr>
              <w:spacing w:line="276" w:lineRule="auto"/>
              <w:rPr>
                <w:rFonts w:eastAsia="Times New Roman" w:cs="Times New Roman"/>
                <w:szCs w:val="20"/>
                <w:lang w:eastAsia="zh-CN"/>
              </w:rPr>
            </w:pPr>
            <w:r w:rsidRPr="00CF3673">
              <w:rPr>
                <w:rFonts w:eastAsia="Times New Roman" w:cs="Times New Roman"/>
                <w:szCs w:val="20"/>
                <w:lang w:eastAsia="zh-CN"/>
              </w:rPr>
              <w:t xml:space="preserve">Tete (Tete, </w:t>
            </w:r>
            <w:proofErr w:type="spellStart"/>
            <w:r w:rsidRPr="00CF3673">
              <w:rPr>
                <w:rFonts w:eastAsia="Times New Roman" w:cs="Times New Roman"/>
                <w:szCs w:val="20"/>
                <w:lang w:eastAsia="zh-CN"/>
              </w:rPr>
              <w:t>Moatize</w:t>
            </w:r>
            <w:proofErr w:type="spellEnd"/>
            <w:r w:rsidRPr="00CF3673">
              <w:rPr>
                <w:rFonts w:eastAsia="Times New Roman" w:cs="Times New Roman"/>
                <w:szCs w:val="20"/>
                <w:lang w:eastAsia="zh-CN"/>
              </w:rPr>
              <w:t>)</w:t>
            </w:r>
          </w:p>
        </w:tc>
        <w:tc>
          <w:tcPr>
            <w:tcW w:w="2051" w:type="dxa"/>
            <w:noWrap/>
            <w:hideMark/>
          </w:tcPr>
          <w:p w:rsidR="00E65C8D" w:rsidRPr="00CF3673" w:rsidRDefault="00E65C8D" w:rsidP="00737B2E">
            <w:pPr>
              <w:spacing w:line="276" w:lineRule="auto"/>
              <w:jc w:val="center"/>
              <w:rPr>
                <w:rFonts w:eastAsia="Times New Roman" w:cs="Times New Roman"/>
                <w:szCs w:val="20"/>
                <w:lang w:eastAsia="zh-CN"/>
              </w:rPr>
            </w:pPr>
            <w:r w:rsidRPr="00CF3673">
              <w:rPr>
                <w:rFonts w:eastAsia="Times New Roman" w:cs="Times New Roman"/>
                <w:szCs w:val="20"/>
                <w:lang w:eastAsia="zh-CN"/>
              </w:rPr>
              <w:t>36+2</w:t>
            </w:r>
            <w:r w:rsidR="00737B2E" w:rsidRPr="00CF3673">
              <w:rPr>
                <w:rFonts w:eastAsia="Times New Roman" w:cs="Times New Roman"/>
                <w:szCs w:val="20"/>
                <w:lang w:eastAsia="zh-CN"/>
              </w:rPr>
              <w:t>4</w:t>
            </w:r>
          </w:p>
        </w:tc>
        <w:tc>
          <w:tcPr>
            <w:tcW w:w="1602" w:type="dxa"/>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4.8</w:t>
            </w:r>
          </w:p>
        </w:tc>
      </w:tr>
      <w:tr w:rsidR="00E65C8D" w:rsidRPr="00CF3673" w:rsidTr="003C0D92">
        <w:trPr>
          <w:trHeight w:val="272"/>
          <w:jc w:val="center"/>
        </w:trPr>
        <w:tc>
          <w:tcPr>
            <w:tcW w:w="2748" w:type="dxa"/>
            <w:noWrap/>
            <w:hideMark/>
          </w:tcPr>
          <w:p w:rsidR="00E65C8D" w:rsidRPr="00CF3673" w:rsidRDefault="00E65C8D" w:rsidP="00C44E58">
            <w:pPr>
              <w:spacing w:line="276" w:lineRule="auto"/>
              <w:rPr>
                <w:rFonts w:eastAsia="Times New Roman" w:cs="Times New Roman"/>
                <w:szCs w:val="20"/>
                <w:lang w:eastAsia="zh-CN"/>
              </w:rPr>
            </w:pPr>
            <w:r w:rsidRPr="00CF3673">
              <w:rPr>
                <w:rFonts w:eastAsia="Times New Roman" w:cs="Times New Roman"/>
                <w:szCs w:val="20"/>
                <w:lang w:eastAsia="zh-CN"/>
              </w:rPr>
              <w:t>Manica (Chimoio)</w:t>
            </w:r>
          </w:p>
        </w:tc>
        <w:tc>
          <w:tcPr>
            <w:tcW w:w="2051" w:type="dxa"/>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89</w:t>
            </w:r>
          </w:p>
        </w:tc>
        <w:tc>
          <w:tcPr>
            <w:tcW w:w="1602" w:type="dxa"/>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11.9</w:t>
            </w:r>
          </w:p>
        </w:tc>
      </w:tr>
      <w:tr w:rsidR="00E65C8D" w:rsidRPr="00CF3673" w:rsidTr="003C0D92">
        <w:trPr>
          <w:trHeight w:val="272"/>
          <w:jc w:val="center"/>
        </w:trPr>
        <w:tc>
          <w:tcPr>
            <w:tcW w:w="2748" w:type="dxa"/>
            <w:noWrap/>
            <w:hideMark/>
          </w:tcPr>
          <w:p w:rsidR="00E65C8D" w:rsidRPr="00CF3673" w:rsidRDefault="00E65C8D" w:rsidP="00C44E58">
            <w:pPr>
              <w:spacing w:line="276" w:lineRule="auto"/>
              <w:rPr>
                <w:rFonts w:eastAsia="Times New Roman" w:cs="Times New Roman"/>
                <w:szCs w:val="20"/>
                <w:lang w:eastAsia="zh-CN"/>
              </w:rPr>
            </w:pPr>
            <w:r w:rsidRPr="00CF3673">
              <w:rPr>
                <w:rFonts w:eastAsia="Times New Roman" w:cs="Times New Roman"/>
                <w:szCs w:val="20"/>
                <w:lang w:eastAsia="zh-CN"/>
              </w:rPr>
              <w:t>Sofala (Beira)</w:t>
            </w:r>
          </w:p>
        </w:tc>
        <w:tc>
          <w:tcPr>
            <w:tcW w:w="2051" w:type="dxa"/>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169</w:t>
            </w:r>
          </w:p>
        </w:tc>
        <w:tc>
          <w:tcPr>
            <w:tcW w:w="1602" w:type="dxa"/>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22.5</w:t>
            </w:r>
          </w:p>
        </w:tc>
      </w:tr>
      <w:tr w:rsidR="00E65C8D" w:rsidRPr="00CF3673" w:rsidTr="003C0D92">
        <w:trPr>
          <w:trHeight w:val="272"/>
          <w:jc w:val="center"/>
        </w:trPr>
        <w:tc>
          <w:tcPr>
            <w:tcW w:w="2748" w:type="dxa"/>
            <w:noWrap/>
            <w:hideMark/>
          </w:tcPr>
          <w:p w:rsidR="00E65C8D" w:rsidRPr="00CF3673" w:rsidRDefault="007707CD" w:rsidP="00C44E58">
            <w:pPr>
              <w:spacing w:line="276" w:lineRule="auto"/>
              <w:rPr>
                <w:rFonts w:eastAsia="Times New Roman" w:cs="Times New Roman"/>
                <w:szCs w:val="20"/>
                <w:lang w:eastAsia="zh-CN"/>
              </w:rPr>
            </w:pPr>
            <w:r w:rsidRPr="00CF3673">
              <w:rPr>
                <w:rFonts w:eastAsia="Times New Roman" w:cs="Times New Roman"/>
                <w:szCs w:val="20"/>
                <w:lang w:eastAsia="zh-CN"/>
              </w:rPr>
              <w:t>Gaza (</w:t>
            </w:r>
            <w:proofErr w:type="spellStart"/>
            <w:r w:rsidRPr="00CF3673">
              <w:rPr>
                <w:rFonts w:eastAsia="Times New Roman" w:cs="Times New Roman"/>
                <w:szCs w:val="20"/>
                <w:lang w:eastAsia="zh-CN"/>
              </w:rPr>
              <w:t>Xai-</w:t>
            </w:r>
            <w:r w:rsidR="00E65C8D" w:rsidRPr="00CF3673">
              <w:rPr>
                <w:rFonts w:eastAsia="Times New Roman" w:cs="Times New Roman"/>
                <w:szCs w:val="20"/>
                <w:lang w:eastAsia="zh-CN"/>
              </w:rPr>
              <w:t>Xai</w:t>
            </w:r>
            <w:proofErr w:type="spellEnd"/>
            <w:r w:rsidR="00E65C8D" w:rsidRPr="00CF3673">
              <w:rPr>
                <w:rFonts w:eastAsia="Times New Roman" w:cs="Times New Roman"/>
                <w:szCs w:val="20"/>
                <w:lang w:eastAsia="zh-CN"/>
              </w:rPr>
              <w:t xml:space="preserve">, </w:t>
            </w:r>
            <w:proofErr w:type="spellStart"/>
            <w:r w:rsidR="00005680" w:rsidRPr="00CF3673">
              <w:rPr>
                <w:rFonts w:eastAsia="Times New Roman" w:cs="Times New Roman"/>
                <w:szCs w:val="20"/>
                <w:lang w:eastAsia="zh-CN"/>
              </w:rPr>
              <w:t>Chókwe</w:t>
            </w:r>
            <w:proofErr w:type="spellEnd"/>
            <w:r w:rsidR="00E65C8D" w:rsidRPr="00CF3673">
              <w:rPr>
                <w:rFonts w:eastAsia="Times New Roman" w:cs="Times New Roman"/>
                <w:szCs w:val="20"/>
                <w:lang w:eastAsia="zh-CN"/>
              </w:rPr>
              <w:t>)</w:t>
            </w:r>
          </w:p>
        </w:tc>
        <w:tc>
          <w:tcPr>
            <w:tcW w:w="2051" w:type="dxa"/>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60</w:t>
            </w:r>
          </w:p>
        </w:tc>
        <w:tc>
          <w:tcPr>
            <w:tcW w:w="1602" w:type="dxa"/>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8.0</w:t>
            </w:r>
          </w:p>
        </w:tc>
      </w:tr>
      <w:tr w:rsidR="00E65C8D" w:rsidRPr="00CF3673" w:rsidTr="003C0D92">
        <w:trPr>
          <w:trHeight w:val="272"/>
          <w:jc w:val="center"/>
        </w:trPr>
        <w:tc>
          <w:tcPr>
            <w:tcW w:w="2748" w:type="dxa"/>
            <w:tcBorders>
              <w:bottom w:val="nil"/>
            </w:tcBorders>
            <w:noWrap/>
            <w:hideMark/>
          </w:tcPr>
          <w:p w:rsidR="00E65C8D" w:rsidRPr="00CF3673" w:rsidRDefault="00E65C8D" w:rsidP="00C44E58">
            <w:pPr>
              <w:spacing w:line="276" w:lineRule="auto"/>
              <w:rPr>
                <w:rFonts w:eastAsia="Times New Roman" w:cs="Times New Roman"/>
                <w:szCs w:val="20"/>
                <w:lang w:eastAsia="zh-CN"/>
              </w:rPr>
            </w:pPr>
            <w:r w:rsidRPr="00CF3673">
              <w:rPr>
                <w:rFonts w:eastAsia="Times New Roman" w:cs="Times New Roman"/>
                <w:szCs w:val="20"/>
                <w:lang w:eastAsia="zh-CN"/>
              </w:rPr>
              <w:t>Maputo P (Matola)</w:t>
            </w:r>
          </w:p>
        </w:tc>
        <w:tc>
          <w:tcPr>
            <w:tcW w:w="2051" w:type="dxa"/>
            <w:tcBorders>
              <w:bottom w:val="nil"/>
            </w:tcBorders>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85</w:t>
            </w:r>
          </w:p>
        </w:tc>
        <w:tc>
          <w:tcPr>
            <w:tcW w:w="1602" w:type="dxa"/>
            <w:tcBorders>
              <w:bottom w:val="nil"/>
            </w:tcBorders>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11.3</w:t>
            </w:r>
          </w:p>
        </w:tc>
      </w:tr>
      <w:tr w:rsidR="00E65C8D" w:rsidRPr="00CF3673" w:rsidTr="003C0D92">
        <w:trPr>
          <w:trHeight w:val="272"/>
          <w:jc w:val="center"/>
        </w:trPr>
        <w:tc>
          <w:tcPr>
            <w:tcW w:w="2748" w:type="dxa"/>
            <w:tcBorders>
              <w:top w:val="nil"/>
              <w:bottom w:val="single" w:sz="4" w:space="0" w:color="auto"/>
            </w:tcBorders>
            <w:noWrap/>
            <w:hideMark/>
          </w:tcPr>
          <w:p w:rsidR="00E65C8D" w:rsidRPr="00CF3673" w:rsidRDefault="00E65C8D" w:rsidP="00C44E58">
            <w:pPr>
              <w:spacing w:line="276" w:lineRule="auto"/>
              <w:rPr>
                <w:rFonts w:eastAsia="Times New Roman" w:cs="Times New Roman"/>
                <w:szCs w:val="20"/>
                <w:lang w:eastAsia="zh-CN"/>
              </w:rPr>
            </w:pPr>
            <w:r w:rsidRPr="00CF3673">
              <w:rPr>
                <w:rFonts w:eastAsia="Times New Roman" w:cs="Times New Roman"/>
                <w:szCs w:val="20"/>
                <w:lang w:eastAsia="zh-CN"/>
              </w:rPr>
              <w:t>Maputo C</w:t>
            </w:r>
          </w:p>
        </w:tc>
        <w:tc>
          <w:tcPr>
            <w:tcW w:w="2051" w:type="dxa"/>
            <w:tcBorders>
              <w:top w:val="nil"/>
              <w:bottom w:val="single" w:sz="4" w:space="0" w:color="auto"/>
            </w:tcBorders>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247</w:t>
            </w:r>
          </w:p>
        </w:tc>
        <w:tc>
          <w:tcPr>
            <w:tcW w:w="1602" w:type="dxa"/>
            <w:tcBorders>
              <w:top w:val="nil"/>
              <w:bottom w:val="single" w:sz="4" w:space="0" w:color="auto"/>
            </w:tcBorders>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32.9</w:t>
            </w:r>
          </w:p>
        </w:tc>
      </w:tr>
      <w:tr w:rsidR="00E65C8D" w:rsidRPr="00CF3673" w:rsidTr="003C0D92">
        <w:trPr>
          <w:trHeight w:val="288"/>
          <w:jc w:val="center"/>
        </w:trPr>
        <w:tc>
          <w:tcPr>
            <w:tcW w:w="2748" w:type="dxa"/>
            <w:tcBorders>
              <w:top w:val="single" w:sz="4" w:space="0" w:color="auto"/>
              <w:bottom w:val="double" w:sz="4" w:space="0" w:color="auto"/>
            </w:tcBorders>
            <w:noWrap/>
            <w:hideMark/>
          </w:tcPr>
          <w:p w:rsidR="00E65C8D" w:rsidRPr="00CF3673" w:rsidRDefault="00E65C8D" w:rsidP="00C44E58">
            <w:pPr>
              <w:spacing w:line="276" w:lineRule="auto"/>
              <w:rPr>
                <w:rFonts w:eastAsia="Times New Roman" w:cs="Times New Roman"/>
                <w:szCs w:val="20"/>
                <w:lang w:eastAsia="zh-CN"/>
              </w:rPr>
            </w:pPr>
            <w:r w:rsidRPr="00CF3673">
              <w:rPr>
                <w:rFonts w:eastAsia="Times New Roman" w:cs="Times New Roman"/>
                <w:szCs w:val="20"/>
                <w:lang w:eastAsia="zh-CN"/>
              </w:rPr>
              <w:t>Total</w:t>
            </w:r>
          </w:p>
        </w:tc>
        <w:tc>
          <w:tcPr>
            <w:tcW w:w="2051" w:type="dxa"/>
            <w:tcBorders>
              <w:top w:val="single" w:sz="4" w:space="0" w:color="auto"/>
              <w:bottom w:val="double" w:sz="4" w:space="0" w:color="auto"/>
            </w:tcBorders>
            <w:noWrap/>
            <w:hideMark/>
          </w:tcPr>
          <w:p w:rsidR="00E65C8D" w:rsidRPr="00CF3673" w:rsidRDefault="009E50F6" w:rsidP="00737B2E">
            <w:pPr>
              <w:spacing w:line="276" w:lineRule="auto"/>
              <w:jc w:val="center"/>
              <w:rPr>
                <w:rFonts w:eastAsia="Times New Roman" w:cs="Times New Roman"/>
                <w:szCs w:val="20"/>
                <w:lang w:eastAsia="zh-CN"/>
              </w:rPr>
            </w:pPr>
            <w:r w:rsidRPr="00CF3673">
              <w:rPr>
                <w:rFonts w:eastAsia="Times New Roman" w:cs="Times New Roman"/>
                <w:szCs w:val="20"/>
                <w:lang w:eastAsia="zh-CN"/>
              </w:rPr>
              <w:t>79</w:t>
            </w:r>
            <w:r w:rsidR="00737B2E" w:rsidRPr="00CF3673">
              <w:rPr>
                <w:rFonts w:eastAsia="Times New Roman" w:cs="Times New Roman"/>
                <w:szCs w:val="20"/>
                <w:lang w:eastAsia="zh-CN"/>
              </w:rPr>
              <w:t>0</w:t>
            </w:r>
          </w:p>
        </w:tc>
        <w:tc>
          <w:tcPr>
            <w:tcW w:w="1602" w:type="dxa"/>
            <w:tcBorders>
              <w:top w:val="single" w:sz="4" w:space="0" w:color="auto"/>
              <w:bottom w:val="double" w:sz="4" w:space="0" w:color="auto"/>
            </w:tcBorders>
            <w:noWrap/>
            <w:hideMark/>
          </w:tcPr>
          <w:p w:rsidR="00E65C8D" w:rsidRPr="00CF3673" w:rsidRDefault="00E65C8D" w:rsidP="00C44E58">
            <w:pPr>
              <w:spacing w:line="276" w:lineRule="auto"/>
              <w:jc w:val="center"/>
              <w:rPr>
                <w:rFonts w:eastAsia="Times New Roman" w:cs="Times New Roman"/>
                <w:szCs w:val="20"/>
                <w:lang w:eastAsia="zh-CN"/>
              </w:rPr>
            </w:pPr>
            <w:r w:rsidRPr="00CF3673">
              <w:rPr>
                <w:rFonts w:eastAsia="Times New Roman" w:cs="Times New Roman"/>
                <w:szCs w:val="20"/>
                <w:lang w:eastAsia="zh-CN"/>
              </w:rPr>
              <w:t>100.0</w:t>
            </w:r>
          </w:p>
        </w:tc>
      </w:tr>
      <w:tr w:rsidR="003D06B7" w:rsidRPr="00CF3673" w:rsidTr="003C0D92">
        <w:trPr>
          <w:cnfStyle w:val="010000000000" w:firstRow="0" w:lastRow="1" w:firstColumn="0" w:lastColumn="0" w:oddVBand="0" w:evenVBand="0" w:oddHBand="0" w:evenHBand="0" w:firstRowFirstColumn="0" w:firstRowLastColumn="0" w:lastRowFirstColumn="0" w:lastRowLastColumn="0"/>
          <w:trHeight w:val="288"/>
          <w:jc w:val="center"/>
        </w:trPr>
        <w:tc>
          <w:tcPr>
            <w:tcW w:w="6401" w:type="dxa"/>
            <w:gridSpan w:val="3"/>
            <w:tcBorders>
              <w:top w:val="nil"/>
              <w:bottom w:val="nil"/>
            </w:tcBorders>
            <w:noWrap/>
          </w:tcPr>
          <w:p w:rsidR="003D06B7" w:rsidRPr="00CF3673" w:rsidRDefault="00005680" w:rsidP="00005680">
            <w:pPr>
              <w:pStyle w:val="Tablenote"/>
              <w:rPr>
                <w:b/>
                <w:lang w:val="pt-PT" w:eastAsia="zh-CN"/>
              </w:rPr>
            </w:pPr>
            <w:r w:rsidRPr="00CF3673">
              <w:rPr>
                <w:b/>
                <w:lang w:val="pt-PT" w:eastAsia="zh-CN"/>
              </w:rPr>
              <w:t>Fonte</w:t>
            </w:r>
            <w:r w:rsidR="003D06B7" w:rsidRPr="00CF3673">
              <w:rPr>
                <w:b/>
                <w:lang w:val="pt-PT" w:eastAsia="zh-CN"/>
              </w:rPr>
              <w:t>:</w:t>
            </w:r>
            <w:r w:rsidR="003D06B7" w:rsidRPr="00CF3673">
              <w:rPr>
                <w:lang w:val="pt-PT" w:eastAsia="zh-CN"/>
              </w:rPr>
              <w:t xml:space="preserve"> </w:t>
            </w:r>
            <w:r w:rsidRPr="00CF3673">
              <w:rPr>
                <w:lang w:val="pt-PT" w:eastAsia="zh-CN"/>
              </w:rPr>
              <w:t xml:space="preserve">Calculo dos autores com base nos dados do </w:t>
            </w:r>
            <w:r w:rsidR="008F16FF" w:rsidRPr="00CF3673">
              <w:rPr>
                <w:lang w:val="pt-PT" w:eastAsia="zh-CN"/>
              </w:rPr>
              <w:t>CEMPRE</w:t>
            </w:r>
          </w:p>
        </w:tc>
      </w:tr>
    </w:tbl>
    <w:p w:rsidR="009A1B2A" w:rsidRPr="00CF3673" w:rsidRDefault="009A1B2A" w:rsidP="001E664B">
      <w:pPr>
        <w:pStyle w:val="MainText"/>
        <w:rPr>
          <w:lang w:val="pt-PT"/>
        </w:rPr>
      </w:pPr>
    </w:p>
    <w:p w:rsidR="00D210C1" w:rsidRPr="00CF3673" w:rsidRDefault="00D210C1" w:rsidP="001E664B">
      <w:pPr>
        <w:pStyle w:val="MainText"/>
        <w:rPr>
          <w:lang w:val="pt-PT"/>
        </w:rPr>
      </w:pPr>
      <w:r w:rsidRPr="00CF3673">
        <w:rPr>
          <w:lang w:val="pt-PT"/>
        </w:rPr>
        <w:t xml:space="preserve">Como foi mencionado, o </w:t>
      </w:r>
      <w:r w:rsidR="00B20E4D" w:rsidRPr="00CF3673">
        <w:rPr>
          <w:lang w:val="pt-PT"/>
        </w:rPr>
        <w:t>propósito</w:t>
      </w:r>
      <w:r w:rsidRPr="00CF3673">
        <w:rPr>
          <w:lang w:val="pt-PT"/>
        </w:rPr>
        <w:t xml:space="preserve"> do inquérito não </w:t>
      </w:r>
      <w:r w:rsidR="006B5D8C" w:rsidRPr="00CF3673">
        <w:rPr>
          <w:lang w:val="pt-PT"/>
        </w:rPr>
        <w:t xml:space="preserve">foi </w:t>
      </w:r>
      <w:r w:rsidRPr="00CF3673">
        <w:rPr>
          <w:lang w:val="pt-PT"/>
        </w:rPr>
        <w:t>apenas para se ter uma fotografia da indústria manufactureira em 2012 mas também fazer seguimento do desenvolvimento das empresas entrevistadas nos inquéritos passados como forma de obter um painel de dados.</w:t>
      </w:r>
    </w:p>
    <w:p w:rsidR="00D210C1" w:rsidRPr="00CF3673" w:rsidRDefault="00D210C1" w:rsidP="001E664B">
      <w:pPr>
        <w:pStyle w:val="MainText"/>
        <w:rPr>
          <w:lang w:val="pt-PT"/>
        </w:rPr>
      </w:pPr>
      <w:r w:rsidRPr="00CF3673">
        <w:rPr>
          <w:lang w:val="pt-PT"/>
        </w:rPr>
        <w:t xml:space="preserve">Em 2002 </w:t>
      </w:r>
      <w:r w:rsidR="005A6FCF" w:rsidRPr="00CF3673">
        <w:rPr>
          <w:lang w:val="pt-PT"/>
        </w:rPr>
        <w:t>um inquérito</w:t>
      </w:r>
      <w:r w:rsidRPr="00CF3673">
        <w:rPr>
          <w:lang w:val="pt-PT"/>
        </w:rPr>
        <w:t xml:space="preserve"> à</w:t>
      </w:r>
      <w:r w:rsidR="005A6FCF" w:rsidRPr="00CF3673">
        <w:rPr>
          <w:lang w:val="pt-PT"/>
        </w:rPr>
        <w:t>s</w:t>
      </w:r>
      <w:r w:rsidRPr="00CF3673">
        <w:rPr>
          <w:lang w:val="pt-PT"/>
        </w:rPr>
        <w:t xml:space="preserve"> 193 empresas manufactureiras foi conduzido sob </w:t>
      </w:r>
      <w:r w:rsidR="005A6FCF" w:rsidRPr="00CF3673">
        <w:rPr>
          <w:lang w:val="pt-PT"/>
        </w:rPr>
        <w:t xml:space="preserve">os auspícios do Fundo do Banco Mundial para </w:t>
      </w:r>
      <w:r w:rsidRPr="00CF3673">
        <w:rPr>
          <w:lang w:val="pt-PT"/>
        </w:rPr>
        <w:t>Avaliação do Ambiente</w:t>
      </w:r>
      <w:r w:rsidR="005A6FCF" w:rsidRPr="00CF3673">
        <w:rPr>
          <w:lang w:val="pt-PT"/>
        </w:rPr>
        <w:t xml:space="preserve"> de Investimento (ICA, 2003). </w:t>
      </w:r>
      <w:r w:rsidR="002F61B0" w:rsidRPr="00CF3673">
        <w:rPr>
          <w:lang w:val="pt-PT"/>
        </w:rPr>
        <w:t>Para f</w:t>
      </w:r>
      <w:r w:rsidR="005A6FCF" w:rsidRPr="00CF3673">
        <w:rPr>
          <w:lang w:val="pt-PT"/>
        </w:rPr>
        <w:t>azer seguimento</w:t>
      </w:r>
      <w:r w:rsidR="0061581E" w:rsidRPr="00CF3673">
        <w:rPr>
          <w:lang w:val="pt-PT"/>
        </w:rPr>
        <w:t xml:space="preserve"> das empresas no inquérito de 2002, um outro inquérito foi feito pela DNEAP, DERG e CTA em 2006 (DNEAP, 2006), resultando em entrevistas completas </w:t>
      </w:r>
      <w:r w:rsidR="002F61B0" w:rsidRPr="00CF3673">
        <w:rPr>
          <w:lang w:val="pt-PT"/>
        </w:rPr>
        <w:t>de</w:t>
      </w:r>
      <w:r w:rsidR="0061581E" w:rsidRPr="00CF3673">
        <w:rPr>
          <w:lang w:val="pt-PT"/>
        </w:rPr>
        <w:t xml:space="preserve"> 158 empresas, das quais 137 foram entrevistadas em 2008. </w:t>
      </w:r>
      <w:r w:rsidR="005A6FCF" w:rsidRPr="00CF3673">
        <w:rPr>
          <w:lang w:val="pt-PT"/>
        </w:rPr>
        <w:t xml:space="preserve"> </w:t>
      </w:r>
      <w:r w:rsidRPr="00CF3673">
        <w:rPr>
          <w:lang w:val="pt-PT"/>
        </w:rPr>
        <w:t xml:space="preserve"> </w:t>
      </w:r>
    </w:p>
    <w:p w:rsidR="0061581E" w:rsidRPr="00CF3673" w:rsidRDefault="0061581E" w:rsidP="001E664B">
      <w:pPr>
        <w:pStyle w:val="MainText"/>
        <w:rPr>
          <w:lang w:val="pt-PT"/>
        </w:rPr>
      </w:pPr>
      <w:r w:rsidRPr="00CF3673">
        <w:rPr>
          <w:lang w:val="pt-PT"/>
        </w:rPr>
        <w:t xml:space="preserve">A mais recente da avaliação do </w:t>
      </w:r>
      <w:r w:rsidR="002F61B0" w:rsidRPr="00CF3673">
        <w:rPr>
          <w:lang w:val="pt-PT"/>
        </w:rPr>
        <w:t xml:space="preserve">Ambiente </w:t>
      </w:r>
      <w:r w:rsidRPr="00CF3673">
        <w:rPr>
          <w:lang w:val="pt-PT"/>
        </w:rPr>
        <w:t xml:space="preserve">de </w:t>
      </w:r>
      <w:r w:rsidR="002F61B0" w:rsidRPr="00CF3673">
        <w:rPr>
          <w:lang w:val="pt-PT"/>
        </w:rPr>
        <w:t>I</w:t>
      </w:r>
      <w:r w:rsidRPr="00CF3673">
        <w:rPr>
          <w:lang w:val="pt-PT"/>
        </w:rPr>
        <w:t>nvestimento (ICA, 2009) também incluiu in</w:t>
      </w:r>
      <w:r w:rsidR="007F79DE" w:rsidRPr="00CF3673">
        <w:rPr>
          <w:lang w:val="pt-PT"/>
        </w:rPr>
        <w:t xml:space="preserve">quérito </w:t>
      </w:r>
      <w:r w:rsidR="002F61B0" w:rsidRPr="00CF3673">
        <w:rPr>
          <w:lang w:val="pt-PT"/>
        </w:rPr>
        <w:t>a</w:t>
      </w:r>
      <w:r w:rsidR="007F79DE" w:rsidRPr="00CF3673">
        <w:rPr>
          <w:lang w:val="pt-PT"/>
        </w:rPr>
        <w:t xml:space="preserve"> 599 empresas de vários sectores (358 do sector manufactureiro), mas não houve esforço para ligar estas empresas ao primeiro ICA (2003). </w:t>
      </w:r>
      <w:r w:rsidRPr="00CF3673">
        <w:rPr>
          <w:lang w:val="pt-PT"/>
        </w:rPr>
        <w:t xml:space="preserve"> </w:t>
      </w:r>
    </w:p>
    <w:p w:rsidR="008D60A6" w:rsidRPr="00CF3673" w:rsidRDefault="007F79DE" w:rsidP="008D60A6">
      <w:pPr>
        <w:pStyle w:val="MainText"/>
        <w:rPr>
          <w:lang w:val="pt-PT"/>
        </w:rPr>
      </w:pPr>
      <w:r w:rsidRPr="00CF3673">
        <w:rPr>
          <w:lang w:val="pt-PT"/>
        </w:rPr>
        <w:t>O recente inquérito tenta estabelecer a dimensão do painel tanto do inquérito do DNEAP 2006 (</w:t>
      </w:r>
      <w:r w:rsidR="008D60A6" w:rsidRPr="00CF3673">
        <w:rPr>
          <w:lang w:val="pt-PT"/>
        </w:rPr>
        <w:t>deste período em diante</w:t>
      </w:r>
      <w:r w:rsidRPr="00CF3673">
        <w:rPr>
          <w:lang w:val="pt-PT"/>
        </w:rPr>
        <w:t>)</w:t>
      </w:r>
      <w:r w:rsidR="008D60A6" w:rsidRPr="00CF3673">
        <w:rPr>
          <w:lang w:val="pt-PT"/>
        </w:rPr>
        <w:t xml:space="preserve"> e o inquérito ICA de 2009 (deste ano em diante); assim todas as empresas dos dois </w:t>
      </w:r>
      <w:r w:rsidR="008D60A6" w:rsidRPr="00CF3673">
        <w:rPr>
          <w:lang w:val="pt-PT"/>
        </w:rPr>
        <w:lastRenderedPageBreak/>
        <w:t xml:space="preserve">inquéritos (incluindo 27 que aparecem nos dois </w:t>
      </w:r>
      <w:r w:rsidR="00B20E4D" w:rsidRPr="00CF3673">
        <w:rPr>
          <w:lang w:val="pt-PT"/>
        </w:rPr>
        <w:t>inquéritos</w:t>
      </w:r>
      <w:r w:rsidR="008D60A6" w:rsidRPr="00CF3673">
        <w:rPr>
          <w:lang w:val="pt-PT"/>
        </w:rPr>
        <w:t>) foram contactadas para entrevistas para este inquérito. DNEAP06 e ICA09 são ambos tomados para referir se a 2006</w:t>
      </w:r>
      <w:r w:rsidR="008D60A6" w:rsidRPr="00CF3673">
        <w:rPr>
          <w:rStyle w:val="FootnoteReference"/>
          <w:lang w:val="pt-PT"/>
        </w:rPr>
        <w:footnoteReference w:id="7"/>
      </w:r>
      <w:r w:rsidR="008D60A6" w:rsidRPr="00CF3673">
        <w:rPr>
          <w:lang w:val="pt-PT"/>
        </w:rPr>
        <w:t xml:space="preserve">. </w:t>
      </w:r>
    </w:p>
    <w:p w:rsidR="008D60A6" w:rsidRPr="00CF3673" w:rsidRDefault="008D60A6" w:rsidP="001E664B">
      <w:pPr>
        <w:pStyle w:val="MainText"/>
        <w:rPr>
          <w:lang w:val="pt-PT"/>
        </w:rPr>
      </w:pPr>
      <w:r w:rsidRPr="00CF3673">
        <w:rPr>
          <w:lang w:val="pt-PT"/>
        </w:rPr>
        <w:t>Algumas empresas nos inquéritos passados não eram manufactureiras (especialmente ao ICA 2009, onde 241 empresas não eram manufactureiras), algumas eram duplicadas, e algumas tinham um nível de respostas ao questionário muito pobre sobretudo nas questões importantes- todas foram excluídas.</w:t>
      </w:r>
    </w:p>
    <w:p w:rsidR="008D60A6" w:rsidRPr="00CF3673" w:rsidRDefault="00473432" w:rsidP="001E664B">
      <w:pPr>
        <w:pStyle w:val="MainText"/>
        <w:rPr>
          <w:lang w:val="pt-PT"/>
        </w:rPr>
      </w:pPr>
      <w:r w:rsidRPr="00CF3673">
        <w:rPr>
          <w:lang w:val="pt-PT"/>
        </w:rPr>
        <w:t xml:space="preserve">Com base nisso, o ponto de partida foi contactar 446 empresas para este inquérito. Onde </w:t>
      </w:r>
      <w:r w:rsidR="002F61B0" w:rsidRPr="00CF3673">
        <w:rPr>
          <w:lang w:val="pt-PT"/>
        </w:rPr>
        <w:t>possíveis as empresas</w:t>
      </w:r>
      <w:r w:rsidRPr="00CF3673">
        <w:rPr>
          <w:lang w:val="pt-PT"/>
        </w:rPr>
        <w:t xml:space="preserve"> foram contactadas via telefone ou visitadas pelos inquiridores para confirmar o seu </w:t>
      </w:r>
      <w:r w:rsidRPr="00CF3673">
        <w:rPr>
          <w:i/>
          <w:lang w:val="pt-PT"/>
        </w:rPr>
        <w:t>status</w:t>
      </w:r>
      <w:r w:rsidRPr="00CF3673">
        <w:rPr>
          <w:lang w:val="pt-PT"/>
        </w:rPr>
        <w:t xml:space="preserve"> (não localizável, fechada, não operacional durante o tempo de referência, mudança de sector, ou ainda em operações) para aquelas ainda em operação foram feitas tentativas de entrevista-las. Destas 98 foram confirmadas fechadas pelo</w:t>
      </w:r>
      <w:r w:rsidR="002F61B0" w:rsidRPr="00CF3673">
        <w:rPr>
          <w:lang w:val="pt-PT"/>
        </w:rPr>
        <w:t xml:space="preserve"> menos</w:t>
      </w:r>
      <w:r w:rsidRPr="00CF3673">
        <w:rPr>
          <w:lang w:val="pt-PT"/>
        </w:rPr>
        <w:t xml:space="preserve"> durante parte do período coberto por este inquérito (2009-2011) e 52 não foram localizadas</w:t>
      </w:r>
      <w:r w:rsidRPr="00CF3673">
        <w:rPr>
          <w:rStyle w:val="FootnoteReference"/>
          <w:lang w:val="pt-PT"/>
        </w:rPr>
        <w:footnoteReference w:id="8"/>
      </w:r>
      <w:r w:rsidR="002B3F9C" w:rsidRPr="00CF3673">
        <w:rPr>
          <w:lang w:val="pt-PT"/>
        </w:rPr>
        <w:t xml:space="preserve">. Isto equivale a uma taxa de retirada de 21% (94 de 447) por um período de seis anos, </w:t>
      </w:r>
      <w:r w:rsidR="002F61B0" w:rsidRPr="00CF3673">
        <w:rPr>
          <w:lang w:val="pt-PT"/>
        </w:rPr>
        <w:t xml:space="preserve">o </w:t>
      </w:r>
      <w:r w:rsidR="002B3F9C" w:rsidRPr="00CF3673">
        <w:rPr>
          <w:lang w:val="pt-PT"/>
        </w:rPr>
        <w:t>que significa uma taxa de sobrevivência de 96%. Este é um nível</w:t>
      </w:r>
      <w:r w:rsidR="002F61B0" w:rsidRPr="00CF3673">
        <w:rPr>
          <w:lang w:val="pt-PT"/>
        </w:rPr>
        <w:t xml:space="preserve"> alto</w:t>
      </w:r>
      <w:r w:rsidR="002B3F9C" w:rsidRPr="00CF3673">
        <w:rPr>
          <w:lang w:val="pt-PT"/>
        </w:rPr>
        <w:t xml:space="preserve"> de sobrevivência comparado com o padrão internacional. </w:t>
      </w:r>
      <w:r w:rsidRPr="00CF3673">
        <w:rPr>
          <w:lang w:val="pt-PT"/>
        </w:rPr>
        <w:t xml:space="preserve">   </w:t>
      </w:r>
    </w:p>
    <w:p w:rsidR="002B3F9C" w:rsidRPr="00CF3673" w:rsidRDefault="002B3F9C" w:rsidP="001E664B">
      <w:pPr>
        <w:pStyle w:val="MainText"/>
        <w:rPr>
          <w:lang w:val="pt-PT"/>
        </w:rPr>
      </w:pPr>
      <w:r w:rsidRPr="00CF3673">
        <w:rPr>
          <w:lang w:val="pt-PT"/>
        </w:rPr>
        <w:t xml:space="preserve">Isto </w:t>
      </w:r>
      <w:r w:rsidR="00B20E4D" w:rsidRPr="00CF3673">
        <w:rPr>
          <w:lang w:val="pt-PT"/>
        </w:rPr>
        <w:t>trás</w:t>
      </w:r>
      <w:r w:rsidRPr="00CF3673">
        <w:rPr>
          <w:lang w:val="pt-PT"/>
        </w:rPr>
        <w:t xml:space="preserve"> para 296</w:t>
      </w:r>
      <w:r w:rsidR="00F00777" w:rsidRPr="00CF3673">
        <w:rPr>
          <w:lang w:val="pt-PT"/>
        </w:rPr>
        <w:t>,</w:t>
      </w:r>
      <w:r w:rsidRPr="00CF3673">
        <w:rPr>
          <w:lang w:val="pt-PT"/>
        </w:rPr>
        <w:t xml:space="preserve"> o número total de abordadas como pode-se ver pela tabela 2.5. Destas 296 empresas, 52 (ou 18%) não foram entrevistadas (em grande parte por </w:t>
      </w:r>
      <w:r w:rsidR="00B20E4D" w:rsidRPr="00CF3673">
        <w:rPr>
          <w:lang w:val="pt-PT"/>
        </w:rPr>
        <w:t>relutância</w:t>
      </w:r>
      <w:r w:rsidRPr="00CF3673">
        <w:rPr>
          <w:lang w:val="pt-PT"/>
        </w:rPr>
        <w:t xml:space="preserve"> dos respondentes em participar do inquérito) e 28 (ou 9%) mudaram de sector, na maioria pa</w:t>
      </w:r>
      <w:r w:rsidR="00F00777" w:rsidRPr="00CF3673">
        <w:rPr>
          <w:lang w:val="pt-PT"/>
        </w:rPr>
        <w:t>ra o sector da construção, comércio, reparação ou outras actividades</w:t>
      </w:r>
      <w:r w:rsidR="00F00777" w:rsidRPr="00CF3673">
        <w:rPr>
          <w:rStyle w:val="FootnoteReference"/>
          <w:lang w:val="pt-PT"/>
        </w:rPr>
        <w:footnoteReference w:id="9"/>
      </w:r>
      <w:r w:rsidRPr="00CF3673">
        <w:rPr>
          <w:lang w:val="pt-PT"/>
        </w:rPr>
        <w:t xml:space="preserve"> </w:t>
      </w:r>
    </w:p>
    <w:p w:rsidR="00F742A2" w:rsidRPr="00CF3673" w:rsidRDefault="00F742A2" w:rsidP="00B06D3F">
      <w:pPr>
        <w:pStyle w:val="TableTitle"/>
        <w:rPr>
          <w:lang w:val="pt-PT"/>
        </w:rPr>
      </w:pPr>
      <w:bookmarkStart w:id="17" w:name="_Toc360720437"/>
      <w:r w:rsidRPr="00CF3673">
        <w:rPr>
          <w:lang w:val="pt-PT"/>
        </w:rPr>
        <w:t>Ta</w:t>
      </w:r>
      <w:r w:rsidR="00F00777" w:rsidRPr="00CF3673">
        <w:rPr>
          <w:lang w:val="pt-PT"/>
        </w:rPr>
        <w:t>bela</w:t>
      </w:r>
      <w:r w:rsidRPr="00CF3673">
        <w:rPr>
          <w:lang w:val="pt-PT"/>
        </w:rPr>
        <w:t xml:space="preserve"> 2.5</w:t>
      </w:r>
      <w:r w:rsidR="001B37E3" w:rsidRPr="00CF3673">
        <w:rPr>
          <w:lang w:val="pt-PT"/>
        </w:rPr>
        <w:t xml:space="preserve">: </w:t>
      </w:r>
      <w:r w:rsidR="00F00777" w:rsidRPr="00CF3673">
        <w:rPr>
          <w:lang w:val="pt-PT"/>
        </w:rPr>
        <w:t xml:space="preserve">Status e seguimento das empresas do </w:t>
      </w:r>
      <w:r w:rsidR="00263F78" w:rsidRPr="00CF3673">
        <w:rPr>
          <w:lang w:val="pt-PT"/>
        </w:rPr>
        <w:t xml:space="preserve">DNEAP06 </w:t>
      </w:r>
      <w:proofErr w:type="spellStart"/>
      <w:r w:rsidR="00263F78" w:rsidRPr="00CF3673">
        <w:rPr>
          <w:lang w:val="pt-PT"/>
        </w:rPr>
        <w:t>and</w:t>
      </w:r>
      <w:proofErr w:type="spellEnd"/>
      <w:r w:rsidR="00263F78" w:rsidRPr="00CF3673">
        <w:rPr>
          <w:lang w:val="pt-PT"/>
        </w:rPr>
        <w:t xml:space="preserve"> ICA09</w:t>
      </w:r>
      <w:bookmarkEnd w:id="17"/>
    </w:p>
    <w:tbl>
      <w:tblPr>
        <w:tblStyle w:val="StandardTable3"/>
        <w:tblW w:w="6133" w:type="dxa"/>
        <w:jc w:val="center"/>
        <w:tblInd w:w="-384" w:type="dxa"/>
        <w:tblLook w:val="04A0" w:firstRow="1" w:lastRow="0" w:firstColumn="1" w:lastColumn="0" w:noHBand="0" w:noVBand="1"/>
      </w:tblPr>
      <w:tblGrid>
        <w:gridCol w:w="2264"/>
        <w:gridCol w:w="989"/>
        <w:gridCol w:w="960"/>
        <w:gridCol w:w="1309"/>
        <w:gridCol w:w="960"/>
      </w:tblGrid>
      <w:tr w:rsidR="00AF5F0F" w:rsidRPr="00CF3673" w:rsidTr="00AF5F0F">
        <w:trPr>
          <w:cnfStyle w:val="100000000000" w:firstRow="1" w:lastRow="0" w:firstColumn="0" w:lastColumn="0" w:oddVBand="0" w:evenVBand="0" w:oddHBand="0" w:evenHBand="0" w:firstRowFirstColumn="0" w:firstRowLastColumn="0" w:lastRowFirstColumn="0" w:lastRowLastColumn="0"/>
          <w:trHeight w:val="300"/>
          <w:jc w:val="center"/>
        </w:trPr>
        <w:tc>
          <w:tcPr>
            <w:tcW w:w="2264" w:type="dxa"/>
            <w:noWrap/>
            <w:hideMark/>
          </w:tcPr>
          <w:p w:rsidR="00AF5F0F" w:rsidRPr="00CF3673" w:rsidRDefault="00AF5F0F" w:rsidP="00AF5F0F">
            <w:pPr>
              <w:rPr>
                <w:rFonts w:ascii="Calibri" w:eastAsia="Times New Roman" w:hAnsi="Calibri" w:cs="Calibri"/>
                <w:color w:val="000000"/>
                <w:lang w:eastAsia="zh-CN"/>
              </w:rPr>
            </w:pPr>
            <w:r w:rsidRPr="00CF3673">
              <w:rPr>
                <w:rFonts w:ascii="Calibri" w:eastAsia="Times New Roman" w:hAnsi="Calibri" w:cs="Calibri"/>
                <w:color w:val="000000"/>
                <w:lang w:eastAsia="zh-CN"/>
              </w:rPr>
              <w:t> </w:t>
            </w:r>
          </w:p>
        </w:tc>
        <w:tc>
          <w:tcPr>
            <w:tcW w:w="989" w:type="dxa"/>
            <w:noWrap/>
            <w:hideMark/>
          </w:tcPr>
          <w:p w:rsidR="00AF5F0F" w:rsidRPr="00CF3673" w:rsidRDefault="00AF5F0F" w:rsidP="00AF5F0F">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DNEAP06</w:t>
            </w:r>
          </w:p>
        </w:tc>
        <w:tc>
          <w:tcPr>
            <w:tcW w:w="960" w:type="dxa"/>
            <w:noWrap/>
            <w:hideMark/>
          </w:tcPr>
          <w:p w:rsidR="00AF5F0F" w:rsidRPr="00CF3673" w:rsidRDefault="00AF5F0F" w:rsidP="00263F7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ICA0</w:t>
            </w:r>
            <w:r w:rsidR="00263F78" w:rsidRPr="00CF3673">
              <w:rPr>
                <w:rFonts w:ascii="Calibri" w:eastAsia="Times New Roman" w:hAnsi="Calibri" w:cs="Calibri"/>
                <w:color w:val="000000"/>
                <w:lang w:eastAsia="zh-CN"/>
              </w:rPr>
              <w:t>9</w:t>
            </w:r>
          </w:p>
        </w:tc>
        <w:tc>
          <w:tcPr>
            <w:tcW w:w="960" w:type="dxa"/>
            <w:noWrap/>
            <w:hideMark/>
          </w:tcPr>
          <w:p w:rsidR="00AF5F0F" w:rsidRPr="00CF3673" w:rsidRDefault="00F00777" w:rsidP="00F00777">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Sobreposição</w:t>
            </w:r>
          </w:p>
        </w:tc>
        <w:tc>
          <w:tcPr>
            <w:tcW w:w="960" w:type="dxa"/>
            <w:noWrap/>
            <w:hideMark/>
          </w:tcPr>
          <w:p w:rsidR="00AF5F0F" w:rsidRPr="00CF3673" w:rsidRDefault="00AF5F0F" w:rsidP="00AF5F0F">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Total</w:t>
            </w:r>
          </w:p>
        </w:tc>
      </w:tr>
      <w:tr w:rsidR="00AF5F0F" w:rsidRPr="00CF3673" w:rsidTr="00AF5F0F">
        <w:trPr>
          <w:trHeight w:val="300"/>
          <w:jc w:val="center"/>
        </w:trPr>
        <w:tc>
          <w:tcPr>
            <w:tcW w:w="2264" w:type="dxa"/>
            <w:noWrap/>
            <w:hideMark/>
          </w:tcPr>
          <w:p w:rsidR="00AF5F0F" w:rsidRPr="00CF3673" w:rsidRDefault="00AF5F0F" w:rsidP="00263F78">
            <w:pPr>
              <w:rPr>
                <w:rFonts w:ascii="Calibri" w:eastAsia="Times New Roman" w:hAnsi="Calibri" w:cs="Calibri"/>
                <w:color w:val="000000"/>
                <w:lang w:eastAsia="zh-CN"/>
              </w:rPr>
            </w:pPr>
            <w:r w:rsidRPr="00CF3673">
              <w:rPr>
                <w:rFonts w:ascii="Calibri" w:eastAsia="Times New Roman" w:hAnsi="Calibri" w:cs="Calibri"/>
                <w:color w:val="000000"/>
                <w:lang w:eastAsia="zh-CN"/>
              </w:rPr>
              <w:t>Original</w:t>
            </w:r>
          </w:p>
        </w:tc>
        <w:tc>
          <w:tcPr>
            <w:tcW w:w="989" w:type="dxa"/>
            <w:noWrap/>
            <w:hideMark/>
          </w:tcPr>
          <w:p w:rsidR="00AF5F0F" w:rsidRPr="00CF3673" w:rsidRDefault="00AF5F0F" w:rsidP="00AF5F0F">
            <w:pPr>
              <w:jc w:val="center"/>
            </w:pPr>
            <w:r w:rsidRPr="00CF3673">
              <w:t>159</w:t>
            </w:r>
          </w:p>
        </w:tc>
        <w:tc>
          <w:tcPr>
            <w:tcW w:w="960" w:type="dxa"/>
            <w:noWrap/>
            <w:hideMark/>
          </w:tcPr>
          <w:p w:rsidR="00AF5F0F" w:rsidRPr="00CF3673" w:rsidRDefault="00AF5F0F" w:rsidP="00AF5F0F">
            <w:pPr>
              <w:jc w:val="center"/>
            </w:pPr>
            <w:r w:rsidRPr="00CF3673">
              <w:t>599</w:t>
            </w:r>
          </w:p>
        </w:tc>
        <w:tc>
          <w:tcPr>
            <w:tcW w:w="960" w:type="dxa"/>
            <w:noWrap/>
            <w:hideMark/>
          </w:tcPr>
          <w:p w:rsidR="00AF5F0F" w:rsidRPr="00CF3673" w:rsidRDefault="00AF5F0F" w:rsidP="00AF5F0F">
            <w:pPr>
              <w:jc w:val="center"/>
            </w:pPr>
          </w:p>
        </w:tc>
        <w:tc>
          <w:tcPr>
            <w:tcW w:w="960" w:type="dxa"/>
            <w:noWrap/>
            <w:hideMark/>
          </w:tcPr>
          <w:p w:rsidR="00AF5F0F" w:rsidRPr="00CF3673" w:rsidRDefault="00AF5F0F" w:rsidP="00AF5F0F">
            <w:pPr>
              <w:jc w:val="center"/>
            </w:pPr>
            <w:r w:rsidRPr="00CF3673">
              <w:t>758</w:t>
            </w:r>
          </w:p>
        </w:tc>
      </w:tr>
      <w:tr w:rsidR="00263F78" w:rsidRPr="00CF3673" w:rsidTr="00AF5F0F">
        <w:trPr>
          <w:trHeight w:val="300"/>
          <w:jc w:val="center"/>
        </w:trPr>
        <w:tc>
          <w:tcPr>
            <w:tcW w:w="2264" w:type="dxa"/>
            <w:noWrap/>
          </w:tcPr>
          <w:p w:rsidR="00263F78" w:rsidRPr="00CF3673" w:rsidRDefault="00263F78" w:rsidP="00263F78">
            <w:pPr>
              <w:rPr>
                <w:rFonts w:ascii="Calibri" w:eastAsia="Times New Roman" w:hAnsi="Calibri" w:cs="Calibri"/>
                <w:color w:val="000000"/>
                <w:lang w:eastAsia="zh-CN"/>
              </w:rPr>
            </w:pPr>
          </w:p>
        </w:tc>
        <w:tc>
          <w:tcPr>
            <w:tcW w:w="989" w:type="dxa"/>
            <w:noWrap/>
          </w:tcPr>
          <w:p w:rsidR="00263F78" w:rsidRPr="00CF3673" w:rsidRDefault="00263F78" w:rsidP="00AF5F0F">
            <w:pPr>
              <w:jc w:val="center"/>
            </w:pPr>
          </w:p>
        </w:tc>
        <w:tc>
          <w:tcPr>
            <w:tcW w:w="960" w:type="dxa"/>
            <w:noWrap/>
          </w:tcPr>
          <w:p w:rsidR="00263F78" w:rsidRPr="00CF3673" w:rsidRDefault="00263F78" w:rsidP="00AF5F0F">
            <w:pPr>
              <w:jc w:val="center"/>
            </w:pPr>
          </w:p>
        </w:tc>
        <w:tc>
          <w:tcPr>
            <w:tcW w:w="960" w:type="dxa"/>
            <w:noWrap/>
          </w:tcPr>
          <w:p w:rsidR="00263F78" w:rsidRPr="00CF3673" w:rsidRDefault="00263F78" w:rsidP="00AF5F0F">
            <w:pPr>
              <w:jc w:val="center"/>
            </w:pPr>
          </w:p>
        </w:tc>
        <w:tc>
          <w:tcPr>
            <w:tcW w:w="960" w:type="dxa"/>
            <w:noWrap/>
          </w:tcPr>
          <w:p w:rsidR="00263F78" w:rsidRPr="00CF3673" w:rsidRDefault="00263F78" w:rsidP="00AF5F0F">
            <w:pPr>
              <w:jc w:val="center"/>
            </w:pPr>
          </w:p>
        </w:tc>
      </w:tr>
      <w:tr w:rsidR="00AF5F0F" w:rsidRPr="00CF3673" w:rsidTr="00AF5F0F">
        <w:trPr>
          <w:trHeight w:val="300"/>
          <w:jc w:val="center"/>
        </w:trPr>
        <w:tc>
          <w:tcPr>
            <w:tcW w:w="2264" w:type="dxa"/>
            <w:noWrap/>
            <w:hideMark/>
          </w:tcPr>
          <w:p w:rsidR="00AF5F0F" w:rsidRPr="00CF3673" w:rsidRDefault="00AF5F0F" w:rsidP="00AF5F0F">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Survey</w:t>
            </w:r>
            <w:proofErr w:type="spellEnd"/>
            <w:r w:rsidRPr="00CF3673">
              <w:rPr>
                <w:rFonts w:ascii="Calibri" w:eastAsia="Times New Roman" w:hAnsi="Calibri" w:cs="Calibri"/>
                <w:color w:val="000000"/>
                <w:lang w:eastAsia="zh-CN"/>
              </w:rPr>
              <w:t xml:space="preserve"> Fatigue</w:t>
            </w:r>
          </w:p>
        </w:tc>
        <w:tc>
          <w:tcPr>
            <w:tcW w:w="989" w:type="dxa"/>
            <w:noWrap/>
            <w:hideMark/>
          </w:tcPr>
          <w:p w:rsidR="00AF5F0F" w:rsidRPr="00CF3673" w:rsidRDefault="00AF5F0F" w:rsidP="00AF5F0F">
            <w:pPr>
              <w:jc w:val="center"/>
            </w:pPr>
            <w:r w:rsidRPr="00CF3673">
              <w:t>6</w:t>
            </w:r>
          </w:p>
        </w:tc>
        <w:tc>
          <w:tcPr>
            <w:tcW w:w="960" w:type="dxa"/>
            <w:noWrap/>
            <w:hideMark/>
          </w:tcPr>
          <w:p w:rsidR="00AF5F0F" w:rsidRPr="00CF3673" w:rsidRDefault="00AF5F0F" w:rsidP="00AF5F0F">
            <w:pPr>
              <w:jc w:val="center"/>
            </w:pPr>
            <w:r w:rsidRPr="00CF3673">
              <w:t>17</w:t>
            </w:r>
          </w:p>
        </w:tc>
        <w:tc>
          <w:tcPr>
            <w:tcW w:w="960" w:type="dxa"/>
            <w:noWrap/>
            <w:hideMark/>
          </w:tcPr>
          <w:p w:rsidR="00AF5F0F" w:rsidRPr="00CF3673" w:rsidRDefault="00AF5F0F" w:rsidP="00AF5F0F">
            <w:pPr>
              <w:jc w:val="center"/>
            </w:pPr>
          </w:p>
        </w:tc>
        <w:tc>
          <w:tcPr>
            <w:tcW w:w="960" w:type="dxa"/>
            <w:noWrap/>
            <w:hideMark/>
          </w:tcPr>
          <w:p w:rsidR="00AF5F0F" w:rsidRPr="00CF3673" w:rsidRDefault="00AF5F0F" w:rsidP="00AF5F0F">
            <w:pPr>
              <w:jc w:val="center"/>
            </w:pPr>
            <w:r w:rsidRPr="00CF3673">
              <w:t>22</w:t>
            </w:r>
          </w:p>
        </w:tc>
      </w:tr>
      <w:tr w:rsidR="00AF5F0F" w:rsidRPr="00CF3673" w:rsidTr="00AF5F0F">
        <w:trPr>
          <w:trHeight w:val="300"/>
          <w:jc w:val="center"/>
        </w:trPr>
        <w:tc>
          <w:tcPr>
            <w:tcW w:w="2264" w:type="dxa"/>
            <w:noWrap/>
            <w:hideMark/>
          </w:tcPr>
          <w:p w:rsidR="00AF5F0F" w:rsidRPr="00CF3673" w:rsidRDefault="00AF5F0F" w:rsidP="00F00777">
            <w:pPr>
              <w:rPr>
                <w:rFonts w:ascii="Calibri" w:eastAsia="Times New Roman" w:hAnsi="Calibri" w:cs="Calibri"/>
                <w:color w:val="000000"/>
                <w:lang w:eastAsia="zh-CN"/>
              </w:rPr>
            </w:pPr>
            <w:r w:rsidRPr="00CF3673">
              <w:rPr>
                <w:rFonts w:ascii="Calibri" w:eastAsia="Times New Roman" w:hAnsi="Calibri" w:cs="Calibri"/>
                <w:color w:val="000000"/>
                <w:lang w:eastAsia="zh-CN"/>
              </w:rPr>
              <w:t>N</w:t>
            </w:r>
            <w:r w:rsidR="00F00777" w:rsidRPr="00CF3673">
              <w:rPr>
                <w:rFonts w:ascii="Calibri" w:eastAsia="Times New Roman" w:hAnsi="Calibri" w:cs="Calibri"/>
                <w:color w:val="000000"/>
                <w:lang w:eastAsia="zh-CN"/>
              </w:rPr>
              <w:t>ão-</w:t>
            </w:r>
            <w:r w:rsidRPr="00CF3673">
              <w:rPr>
                <w:rFonts w:ascii="Calibri" w:eastAsia="Times New Roman" w:hAnsi="Calibri" w:cs="Calibri"/>
                <w:color w:val="000000"/>
                <w:lang w:eastAsia="zh-CN"/>
              </w:rPr>
              <w:t>manufactur</w:t>
            </w:r>
            <w:r w:rsidR="00F00777" w:rsidRPr="00CF3673">
              <w:rPr>
                <w:rFonts w:ascii="Calibri" w:eastAsia="Times New Roman" w:hAnsi="Calibri" w:cs="Calibri"/>
                <w:color w:val="000000"/>
                <w:lang w:eastAsia="zh-CN"/>
              </w:rPr>
              <w:t>e</w:t>
            </w:r>
            <w:r w:rsidRPr="00CF3673">
              <w:rPr>
                <w:rFonts w:ascii="Calibri" w:eastAsia="Times New Roman" w:hAnsi="Calibri" w:cs="Calibri"/>
                <w:color w:val="000000"/>
                <w:lang w:eastAsia="zh-CN"/>
              </w:rPr>
              <w:t>i</w:t>
            </w:r>
            <w:r w:rsidR="00F00777" w:rsidRPr="00CF3673">
              <w:rPr>
                <w:rFonts w:ascii="Calibri" w:eastAsia="Times New Roman" w:hAnsi="Calibri" w:cs="Calibri"/>
                <w:color w:val="000000"/>
                <w:lang w:eastAsia="zh-CN"/>
              </w:rPr>
              <w:t>ra</w:t>
            </w:r>
          </w:p>
        </w:tc>
        <w:tc>
          <w:tcPr>
            <w:tcW w:w="989" w:type="dxa"/>
            <w:noWrap/>
            <w:hideMark/>
          </w:tcPr>
          <w:p w:rsidR="00AF5F0F" w:rsidRPr="00CF3673" w:rsidRDefault="00AF5F0F" w:rsidP="00AF5F0F">
            <w:pPr>
              <w:jc w:val="center"/>
            </w:pPr>
            <w:r w:rsidRPr="00CF3673">
              <w:t>11</w:t>
            </w:r>
          </w:p>
        </w:tc>
        <w:tc>
          <w:tcPr>
            <w:tcW w:w="960" w:type="dxa"/>
            <w:noWrap/>
            <w:hideMark/>
          </w:tcPr>
          <w:p w:rsidR="00AF5F0F" w:rsidRPr="00CF3673" w:rsidRDefault="00AF5F0F" w:rsidP="00AF5F0F">
            <w:pPr>
              <w:jc w:val="center"/>
            </w:pPr>
            <w:r w:rsidRPr="00CF3673">
              <w:t>241</w:t>
            </w:r>
          </w:p>
        </w:tc>
        <w:tc>
          <w:tcPr>
            <w:tcW w:w="960" w:type="dxa"/>
            <w:noWrap/>
            <w:hideMark/>
          </w:tcPr>
          <w:p w:rsidR="00AF5F0F" w:rsidRPr="00CF3673" w:rsidRDefault="00AF5F0F" w:rsidP="00AF5F0F">
            <w:pPr>
              <w:jc w:val="center"/>
            </w:pPr>
          </w:p>
        </w:tc>
        <w:tc>
          <w:tcPr>
            <w:tcW w:w="960" w:type="dxa"/>
            <w:noWrap/>
            <w:hideMark/>
          </w:tcPr>
          <w:p w:rsidR="00AF5F0F" w:rsidRPr="00CF3673" w:rsidRDefault="00AF5F0F" w:rsidP="00AF5F0F">
            <w:pPr>
              <w:jc w:val="center"/>
            </w:pPr>
            <w:r w:rsidRPr="00CF3673">
              <w:t>252</w:t>
            </w:r>
          </w:p>
        </w:tc>
      </w:tr>
      <w:tr w:rsidR="00AF5F0F" w:rsidRPr="00CF3673" w:rsidTr="00AF5F0F">
        <w:trPr>
          <w:trHeight w:val="300"/>
          <w:jc w:val="center"/>
        </w:trPr>
        <w:tc>
          <w:tcPr>
            <w:tcW w:w="2264" w:type="dxa"/>
            <w:tcBorders>
              <w:bottom w:val="nil"/>
            </w:tcBorders>
            <w:noWrap/>
            <w:hideMark/>
          </w:tcPr>
          <w:p w:rsidR="00AF5F0F" w:rsidRPr="00CF3673" w:rsidRDefault="00AF5F0F" w:rsidP="00F00777">
            <w:pPr>
              <w:rPr>
                <w:rFonts w:ascii="Calibri" w:eastAsia="Times New Roman" w:hAnsi="Calibri" w:cs="Calibri"/>
                <w:color w:val="000000"/>
                <w:lang w:eastAsia="zh-CN"/>
              </w:rPr>
            </w:pPr>
            <w:r w:rsidRPr="00CF3673">
              <w:rPr>
                <w:rFonts w:ascii="Calibri" w:eastAsia="Times New Roman" w:hAnsi="Calibri" w:cs="Calibri"/>
                <w:color w:val="000000"/>
                <w:lang w:eastAsia="zh-CN"/>
              </w:rPr>
              <w:t>Duplica</w:t>
            </w:r>
            <w:r w:rsidR="00F00777" w:rsidRPr="00CF3673">
              <w:rPr>
                <w:rFonts w:ascii="Calibri" w:eastAsia="Times New Roman" w:hAnsi="Calibri" w:cs="Calibri"/>
                <w:color w:val="000000"/>
                <w:lang w:eastAsia="zh-CN"/>
              </w:rPr>
              <w:t>dos</w:t>
            </w:r>
          </w:p>
        </w:tc>
        <w:tc>
          <w:tcPr>
            <w:tcW w:w="989" w:type="dxa"/>
            <w:tcBorders>
              <w:bottom w:val="nil"/>
            </w:tcBorders>
            <w:noWrap/>
            <w:hideMark/>
          </w:tcPr>
          <w:p w:rsidR="00AF5F0F" w:rsidRPr="00CF3673" w:rsidRDefault="00AF5F0F" w:rsidP="00AF5F0F">
            <w:pPr>
              <w:jc w:val="center"/>
            </w:pPr>
            <w:r w:rsidRPr="00CF3673">
              <w:t>1</w:t>
            </w:r>
          </w:p>
        </w:tc>
        <w:tc>
          <w:tcPr>
            <w:tcW w:w="960" w:type="dxa"/>
            <w:tcBorders>
              <w:bottom w:val="nil"/>
            </w:tcBorders>
            <w:noWrap/>
            <w:hideMark/>
          </w:tcPr>
          <w:p w:rsidR="00AF5F0F" w:rsidRPr="00CF3673" w:rsidRDefault="00AF5F0F" w:rsidP="00AF5F0F">
            <w:pPr>
              <w:jc w:val="center"/>
            </w:pPr>
            <w:r w:rsidRPr="00CF3673">
              <w:t>9</w:t>
            </w:r>
          </w:p>
        </w:tc>
        <w:tc>
          <w:tcPr>
            <w:tcW w:w="960" w:type="dxa"/>
            <w:tcBorders>
              <w:bottom w:val="nil"/>
            </w:tcBorders>
            <w:noWrap/>
            <w:hideMark/>
          </w:tcPr>
          <w:p w:rsidR="00AF5F0F" w:rsidRPr="00CF3673" w:rsidRDefault="00AF5F0F" w:rsidP="00AF5F0F">
            <w:pPr>
              <w:jc w:val="center"/>
            </w:pPr>
          </w:p>
        </w:tc>
        <w:tc>
          <w:tcPr>
            <w:tcW w:w="960" w:type="dxa"/>
            <w:tcBorders>
              <w:bottom w:val="nil"/>
            </w:tcBorders>
            <w:noWrap/>
            <w:hideMark/>
          </w:tcPr>
          <w:p w:rsidR="00AF5F0F" w:rsidRPr="00CF3673" w:rsidRDefault="00AF5F0F" w:rsidP="00AF5F0F">
            <w:pPr>
              <w:jc w:val="center"/>
            </w:pPr>
            <w:r w:rsidRPr="00CF3673">
              <w:t>10</w:t>
            </w:r>
          </w:p>
        </w:tc>
      </w:tr>
      <w:tr w:rsidR="00AF5F0F" w:rsidRPr="00CF3673" w:rsidTr="00AF5F0F">
        <w:trPr>
          <w:trHeight w:val="300"/>
          <w:jc w:val="center"/>
        </w:trPr>
        <w:tc>
          <w:tcPr>
            <w:tcW w:w="2264" w:type="dxa"/>
            <w:tcBorders>
              <w:top w:val="nil"/>
              <w:bottom w:val="single" w:sz="4" w:space="0" w:color="auto"/>
            </w:tcBorders>
            <w:noWrap/>
            <w:hideMark/>
          </w:tcPr>
          <w:p w:rsidR="00AF5F0F" w:rsidRPr="00CF3673" w:rsidRDefault="00F00777" w:rsidP="00F00777">
            <w:pPr>
              <w:rPr>
                <w:rFonts w:ascii="Calibri" w:eastAsia="Times New Roman" w:hAnsi="Calibri" w:cs="Calibri"/>
                <w:color w:val="000000"/>
                <w:lang w:eastAsia="zh-CN"/>
              </w:rPr>
            </w:pPr>
            <w:r w:rsidRPr="00CF3673">
              <w:rPr>
                <w:rFonts w:ascii="Calibri" w:eastAsia="Times New Roman" w:hAnsi="Calibri" w:cs="Calibri"/>
                <w:color w:val="000000"/>
                <w:lang w:eastAsia="zh-CN"/>
              </w:rPr>
              <w:t>Sobreposição</w:t>
            </w:r>
          </w:p>
        </w:tc>
        <w:tc>
          <w:tcPr>
            <w:tcW w:w="989" w:type="dxa"/>
            <w:tcBorders>
              <w:top w:val="nil"/>
              <w:bottom w:val="single" w:sz="4" w:space="0" w:color="auto"/>
            </w:tcBorders>
            <w:noWrap/>
            <w:hideMark/>
          </w:tcPr>
          <w:p w:rsidR="00AF5F0F" w:rsidRPr="00CF3673" w:rsidRDefault="00AF5F0F" w:rsidP="00AF5F0F">
            <w:pPr>
              <w:jc w:val="center"/>
            </w:pPr>
            <w:r w:rsidRPr="00CF3673">
              <w:t>27</w:t>
            </w:r>
          </w:p>
        </w:tc>
        <w:tc>
          <w:tcPr>
            <w:tcW w:w="960" w:type="dxa"/>
            <w:tcBorders>
              <w:top w:val="nil"/>
              <w:bottom w:val="single" w:sz="4" w:space="0" w:color="auto"/>
            </w:tcBorders>
            <w:noWrap/>
            <w:hideMark/>
          </w:tcPr>
          <w:p w:rsidR="00AF5F0F" w:rsidRPr="00CF3673" w:rsidRDefault="00AF5F0F" w:rsidP="00AF5F0F">
            <w:pPr>
              <w:jc w:val="center"/>
            </w:pPr>
            <w:r w:rsidRPr="00CF3673">
              <w:t>27</w:t>
            </w:r>
          </w:p>
        </w:tc>
        <w:tc>
          <w:tcPr>
            <w:tcW w:w="960" w:type="dxa"/>
            <w:tcBorders>
              <w:top w:val="nil"/>
              <w:bottom w:val="single" w:sz="4" w:space="0" w:color="auto"/>
            </w:tcBorders>
            <w:noWrap/>
            <w:hideMark/>
          </w:tcPr>
          <w:p w:rsidR="00AF5F0F" w:rsidRPr="00CF3673" w:rsidRDefault="00AF5F0F" w:rsidP="00AF5F0F">
            <w:pPr>
              <w:jc w:val="center"/>
            </w:pPr>
            <w:r w:rsidRPr="00CF3673">
              <w:t>27</w:t>
            </w:r>
          </w:p>
        </w:tc>
        <w:tc>
          <w:tcPr>
            <w:tcW w:w="960" w:type="dxa"/>
            <w:tcBorders>
              <w:top w:val="nil"/>
              <w:bottom w:val="single" w:sz="4" w:space="0" w:color="auto"/>
            </w:tcBorders>
            <w:noWrap/>
            <w:hideMark/>
          </w:tcPr>
          <w:p w:rsidR="00AF5F0F" w:rsidRPr="00CF3673" w:rsidRDefault="00AF5F0F" w:rsidP="00AF5F0F">
            <w:pPr>
              <w:jc w:val="center"/>
            </w:pPr>
            <w:r w:rsidRPr="00CF3673">
              <w:t>27</w:t>
            </w:r>
          </w:p>
        </w:tc>
      </w:tr>
      <w:tr w:rsidR="00AF5F0F" w:rsidRPr="00CF3673" w:rsidTr="00AF5F0F">
        <w:trPr>
          <w:trHeight w:val="300"/>
          <w:jc w:val="center"/>
        </w:trPr>
        <w:tc>
          <w:tcPr>
            <w:tcW w:w="2264" w:type="dxa"/>
            <w:tcBorders>
              <w:top w:val="single" w:sz="4" w:space="0" w:color="auto"/>
            </w:tcBorders>
            <w:noWrap/>
            <w:hideMark/>
          </w:tcPr>
          <w:p w:rsidR="00AF5F0F" w:rsidRPr="00CF3673" w:rsidRDefault="00F00777" w:rsidP="00F00777">
            <w:pPr>
              <w:rPr>
                <w:rFonts w:ascii="Calibri" w:eastAsia="Times New Roman" w:hAnsi="Calibri" w:cs="Calibri"/>
                <w:color w:val="000000"/>
                <w:lang w:eastAsia="zh-CN"/>
              </w:rPr>
            </w:pPr>
            <w:r w:rsidRPr="00CF3673">
              <w:rPr>
                <w:rFonts w:ascii="Calibri" w:eastAsia="Times New Roman" w:hAnsi="Calibri" w:cs="Calibri"/>
                <w:color w:val="000000"/>
                <w:lang w:eastAsia="zh-CN"/>
              </w:rPr>
              <w:t>Contactadas para o inquérito</w:t>
            </w:r>
          </w:p>
        </w:tc>
        <w:tc>
          <w:tcPr>
            <w:tcW w:w="989" w:type="dxa"/>
            <w:tcBorders>
              <w:top w:val="single" w:sz="4" w:space="0" w:color="auto"/>
            </w:tcBorders>
            <w:noWrap/>
            <w:hideMark/>
          </w:tcPr>
          <w:p w:rsidR="00AF5F0F" w:rsidRPr="00CF3673" w:rsidRDefault="00AF5F0F" w:rsidP="00AF5F0F">
            <w:pPr>
              <w:jc w:val="center"/>
            </w:pPr>
            <w:r w:rsidRPr="00CF3673">
              <w:t>114</w:t>
            </w:r>
          </w:p>
        </w:tc>
        <w:tc>
          <w:tcPr>
            <w:tcW w:w="960" w:type="dxa"/>
            <w:tcBorders>
              <w:top w:val="single" w:sz="4" w:space="0" w:color="auto"/>
            </w:tcBorders>
            <w:noWrap/>
            <w:hideMark/>
          </w:tcPr>
          <w:p w:rsidR="00AF5F0F" w:rsidRPr="00CF3673" w:rsidRDefault="00AF5F0F" w:rsidP="00AF5F0F">
            <w:pPr>
              <w:jc w:val="center"/>
            </w:pPr>
            <w:r w:rsidRPr="00CF3673">
              <w:t>305</w:t>
            </w:r>
          </w:p>
        </w:tc>
        <w:tc>
          <w:tcPr>
            <w:tcW w:w="960" w:type="dxa"/>
            <w:tcBorders>
              <w:top w:val="single" w:sz="4" w:space="0" w:color="auto"/>
            </w:tcBorders>
            <w:noWrap/>
            <w:hideMark/>
          </w:tcPr>
          <w:p w:rsidR="00AF5F0F" w:rsidRPr="00CF3673" w:rsidRDefault="00AF5F0F" w:rsidP="00AF5F0F">
            <w:pPr>
              <w:jc w:val="center"/>
            </w:pPr>
            <w:r w:rsidRPr="00CF3673">
              <w:t>27</w:t>
            </w:r>
          </w:p>
        </w:tc>
        <w:tc>
          <w:tcPr>
            <w:tcW w:w="960" w:type="dxa"/>
            <w:tcBorders>
              <w:top w:val="single" w:sz="4" w:space="0" w:color="auto"/>
            </w:tcBorders>
            <w:noWrap/>
            <w:hideMark/>
          </w:tcPr>
          <w:p w:rsidR="00AF5F0F" w:rsidRPr="00CF3673" w:rsidRDefault="00AF5F0F" w:rsidP="00121754">
            <w:pPr>
              <w:jc w:val="center"/>
            </w:pPr>
            <w:r w:rsidRPr="00CF3673">
              <w:t>44</w:t>
            </w:r>
            <w:r w:rsidR="00121754" w:rsidRPr="00CF3673">
              <w:t>6</w:t>
            </w:r>
          </w:p>
        </w:tc>
      </w:tr>
      <w:tr w:rsidR="00AF5F0F" w:rsidRPr="00CF3673" w:rsidTr="00AF5F0F">
        <w:trPr>
          <w:trHeight w:val="300"/>
          <w:jc w:val="center"/>
        </w:trPr>
        <w:tc>
          <w:tcPr>
            <w:tcW w:w="2264" w:type="dxa"/>
            <w:noWrap/>
            <w:hideMark/>
          </w:tcPr>
          <w:p w:rsidR="00AF5F0F" w:rsidRPr="00CF3673" w:rsidRDefault="00AF5F0F" w:rsidP="00AF5F0F">
            <w:pPr>
              <w:rPr>
                <w:rFonts w:ascii="Calibri" w:eastAsia="Times New Roman" w:hAnsi="Calibri" w:cs="Calibri"/>
                <w:color w:val="000000"/>
                <w:lang w:eastAsia="zh-CN"/>
              </w:rPr>
            </w:pPr>
          </w:p>
        </w:tc>
        <w:tc>
          <w:tcPr>
            <w:tcW w:w="989" w:type="dxa"/>
            <w:noWrap/>
            <w:hideMark/>
          </w:tcPr>
          <w:p w:rsidR="00AF5F0F" w:rsidRPr="00CF3673" w:rsidRDefault="00AF5F0F" w:rsidP="00AF5F0F">
            <w:pPr>
              <w:jc w:val="center"/>
            </w:pPr>
          </w:p>
        </w:tc>
        <w:tc>
          <w:tcPr>
            <w:tcW w:w="960" w:type="dxa"/>
            <w:noWrap/>
            <w:hideMark/>
          </w:tcPr>
          <w:p w:rsidR="00AF5F0F" w:rsidRPr="00CF3673" w:rsidRDefault="00AF5F0F" w:rsidP="00AF5F0F">
            <w:pPr>
              <w:jc w:val="center"/>
            </w:pPr>
          </w:p>
        </w:tc>
        <w:tc>
          <w:tcPr>
            <w:tcW w:w="960" w:type="dxa"/>
            <w:noWrap/>
            <w:hideMark/>
          </w:tcPr>
          <w:p w:rsidR="00AF5F0F" w:rsidRPr="00CF3673" w:rsidRDefault="00AF5F0F" w:rsidP="00AF5F0F">
            <w:pPr>
              <w:jc w:val="center"/>
            </w:pPr>
          </w:p>
        </w:tc>
        <w:tc>
          <w:tcPr>
            <w:tcW w:w="960" w:type="dxa"/>
            <w:noWrap/>
            <w:hideMark/>
          </w:tcPr>
          <w:p w:rsidR="00AF5F0F" w:rsidRPr="00CF3673" w:rsidRDefault="00AF5F0F" w:rsidP="00AF5F0F">
            <w:pPr>
              <w:jc w:val="center"/>
            </w:pPr>
          </w:p>
        </w:tc>
      </w:tr>
      <w:tr w:rsidR="00AF5F0F" w:rsidRPr="00CF3673" w:rsidTr="00AF5F0F">
        <w:trPr>
          <w:trHeight w:val="300"/>
          <w:jc w:val="center"/>
        </w:trPr>
        <w:tc>
          <w:tcPr>
            <w:tcW w:w="2264" w:type="dxa"/>
            <w:noWrap/>
            <w:hideMark/>
          </w:tcPr>
          <w:p w:rsidR="00AF5F0F" w:rsidRPr="00CF3673" w:rsidRDefault="00F00777" w:rsidP="00F00777">
            <w:pPr>
              <w:rPr>
                <w:rFonts w:ascii="Calibri" w:eastAsia="Times New Roman" w:hAnsi="Calibri" w:cs="Calibri"/>
                <w:color w:val="000000"/>
                <w:lang w:eastAsia="zh-CN"/>
              </w:rPr>
            </w:pPr>
            <w:r w:rsidRPr="00CF3673">
              <w:rPr>
                <w:rFonts w:ascii="Calibri" w:eastAsia="Times New Roman" w:hAnsi="Calibri" w:cs="Calibri"/>
                <w:color w:val="000000"/>
                <w:lang w:eastAsia="zh-CN"/>
              </w:rPr>
              <w:lastRenderedPageBreak/>
              <w:t>Confirmado fecho</w:t>
            </w:r>
          </w:p>
        </w:tc>
        <w:tc>
          <w:tcPr>
            <w:tcW w:w="989" w:type="dxa"/>
            <w:noWrap/>
            <w:hideMark/>
          </w:tcPr>
          <w:p w:rsidR="00AF5F0F" w:rsidRPr="00CF3673" w:rsidRDefault="00AF5F0F" w:rsidP="00AF5F0F">
            <w:pPr>
              <w:jc w:val="center"/>
            </w:pPr>
            <w:r w:rsidRPr="00CF3673">
              <w:t>26</w:t>
            </w:r>
          </w:p>
        </w:tc>
        <w:tc>
          <w:tcPr>
            <w:tcW w:w="960" w:type="dxa"/>
            <w:noWrap/>
            <w:hideMark/>
          </w:tcPr>
          <w:p w:rsidR="00AF5F0F" w:rsidRPr="00CF3673" w:rsidRDefault="00AF5F0F" w:rsidP="00AF5F0F">
            <w:pPr>
              <w:jc w:val="center"/>
            </w:pPr>
            <w:r w:rsidRPr="00CF3673">
              <w:t>66</w:t>
            </w:r>
          </w:p>
        </w:tc>
        <w:tc>
          <w:tcPr>
            <w:tcW w:w="960" w:type="dxa"/>
            <w:noWrap/>
            <w:hideMark/>
          </w:tcPr>
          <w:p w:rsidR="00AF5F0F" w:rsidRPr="00CF3673" w:rsidRDefault="00AF5F0F" w:rsidP="00AF5F0F">
            <w:pPr>
              <w:jc w:val="center"/>
            </w:pPr>
            <w:r w:rsidRPr="00CF3673">
              <w:t>2</w:t>
            </w:r>
          </w:p>
        </w:tc>
        <w:tc>
          <w:tcPr>
            <w:tcW w:w="960" w:type="dxa"/>
            <w:noWrap/>
            <w:hideMark/>
          </w:tcPr>
          <w:p w:rsidR="00AF5F0F" w:rsidRPr="00CF3673" w:rsidRDefault="00AF5F0F" w:rsidP="00AF5F0F">
            <w:pPr>
              <w:jc w:val="center"/>
            </w:pPr>
            <w:r w:rsidRPr="00CF3673">
              <w:t>94</w:t>
            </w:r>
          </w:p>
        </w:tc>
      </w:tr>
      <w:tr w:rsidR="00AF5F0F" w:rsidRPr="00CF3673" w:rsidTr="00AF5F0F">
        <w:trPr>
          <w:trHeight w:val="300"/>
          <w:jc w:val="center"/>
        </w:trPr>
        <w:tc>
          <w:tcPr>
            <w:tcW w:w="2264" w:type="dxa"/>
            <w:tcBorders>
              <w:bottom w:val="nil"/>
            </w:tcBorders>
            <w:noWrap/>
            <w:hideMark/>
          </w:tcPr>
          <w:p w:rsidR="00AF5F0F" w:rsidRPr="00CF3673" w:rsidRDefault="00F00777" w:rsidP="00F00777">
            <w:pPr>
              <w:rPr>
                <w:rFonts w:ascii="Calibri" w:eastAsia="Times New Roman" w:hAnsi="Calibri" w:cs="Calibri"/>
                <w:color w:val="000000"/>
                <w:lang w:eastAsia="zh-CN"/>
              </w:rPr>
            </w:pPr>
            <w:r w:rsidRPr="00CF3673">
              <w:rPr>
                <w:rFonts w:ascii="Calibri" w:eastAsia="Times New Roman" w:hAnsi="Calibri" w:cs="Calibri"/>
                <w:color w:val="000000"/>
                <w:lang w:eastAsia="zh-CN"/>
              </w:rPr>
              <w:t>Não operacional</w:t>
            </w:r>
          </w:p>
        </w:tc>
        <w:tc>
          <w:tcPr>
            <w:tcW w:w="989" w:type="dxa"/>
            <w:tcBorders>
              <w:bottom w:val="nil"/>
            </w:tcBorders>
            <w:noWrap/>
            <w:hideMark/>
          </w:tcPr>
          <w:p w:rsidR="00AF5F0F" w:rsidRPr="00CF3673" w:rsidRDefault="00AF5F0F" w:rsidP="00AF5F0F">
            <w:pPr>
              <w:jc w:val="center"/>
            </w:pPr>
            <w:r w:rsidRPr="00CF3673">
              <w:t>0</w:t>
            </w:r>
          </w:p>
        </w:tc>
        <w:tc>
          <w:tcPr>
            <w:tcW w:w="960" w:type="dxa"/>
            <w:tcBorders>
              <w:bottom w:val="nil"/>
            </w:tcBorders>
            <w:noWrap/>
            <w:hideMark/>
          </w:tcPr>
          <w:p w:rsidR="00AF5F0F" w:rsidRPr="00CF3673" w:rsidRDefault="00AF5F0F" w:rsidP="00AF5F0F">
            <w:pPr>
              <w:jc w:val="center"/>
            </w:pPr>
            <w:r w:rsidRPr="00CF3673">
              <w:t>3</w:t>
            </w:r>
          </w:p>
        </w:tc>
        <w:tc>
          <w:tcPr>
            <w:tcW w:w="960" w:type="dxa"/>
            <w:tcBorders>
              <w:bottom w:val="nil"/>
            </w:tcBorders>
            <w:noWrap/>
            <w:hideMark/>
          </w:tcPr>
          <w:p w:rsidR="00AF5F0F" w:rsidRPr="00CF3673" w:rsidRDefault="00AF5F0F" w:rsidP="00AF5F0F">
            <w:pPr>
              <w:jc w:val="center"/>
            </w:pPr>
            <w:r w:rsidRPr="00CF3673">
              <w:t>1</w:t>
            </w:r>
          </w:p>
        </w:tc>
        <w:tc>
          <w:tcPr>
            <w:tcW w:w="960" w:type="dxa"/>
            <w:tcBorders>
              <w:bottom w:val="nil"/>
            </w:tcBorders>
            <w:noWrap/>
            <w:hideMark/>
          </w:tcPr>
          <w:p w:rsidR="00AF5F0F" w:rsidRPr="00CF3673" w:rsidRDefault="00AF5F0F" w:rsidP="00AF5F0F">
            <w:pPr>
              <w:jc w:val="center"/>
            </w:pPr>
            <w:r w:rsidRPr="00CF3673">
              <w:t>4</w:t>
            </w:r>
          </w:p>
        </w:tc>
      </w:tr>
      <w:tr w:rsidR="00AF5F0F" w:rsidRPr="00CF3673" w:rsidTr="00AF5F0F">
        <w:trPr>
          <w:trHeight w:val="300"/>
          <w:jc w:val="center"/>
        </w:trPr>
        <w:tc>
          <w:tcPr>
            <w:tcW w:w="2264" w:type="dxa"/>
            <w:tcBorders>
              <w:top w:val="nil"/>
              <w:bottom w:val="single" w:sz="4" w:space="0" w:color="auto"/>
            </w:tcBorders>
            <w:noWrap/>
            <w:hideMark/>
          </w:tcPr>
          <w:p w:rsidR="00AF5F0F" w:rsidRPr="00CF3673" w:rsidRDefault="00F00777" w:rsidP="00F00777">
            <w:pPr>
              <w:rPr>
                <w:rFonts w:ascii="Calibri" w:eastAsia="Times New Roman" w:hAnsi="Calibri" w:cs="Calibri"/>
                <w:color w:val="000000"/>
                <w:lang w:eastAsia="zh-CN"/>
              </w:rPr>
            </w:pPr>
            <w:r w:rsidRPr="00CF3673">
              <w:rPr>
                <w:rFonts w:ascii="Calibri" w:eastAsia="Times New Roman" w:hAnsi="Calibri" w:cs="Calibri"/>
                <w:color w:val="000000"/>
                <w:lang w:eastAsia="zh-CN"/>
              </w:rPr>
              <w:t>Não-</w:t>
            </w:r>
            <w:r w:rsidR="00AF5F0F" w:rsidRPr="00CF3673">
              <w:rPr>
                <w:rFonts w:ascii="Calibri" w:eastAsia="Times New Roman" w:hAnsi="Calibri" w:cs="Calibri"/>
                <w:color w:val="000000"/>
                <w:lang w:eastAsia="zh-CN"/>
              </w:rPr>
              <w:t>localiz</w:t>
            </w:r>
            <w:r w:rsidRPr="00CF3673">
              <w:rPr>
                <w:rFonts w:ascii="Calibri" w:eastAsia="Times New Roman" w:hAnsi="Calibri" w:cs="Calibri"/>
                <w:color w:val="000000"/>
                <w:lang w:eastAsia="zh-CN"/>
              </w:rPr>
              <w:t>ada</w:t>
            </w:r>
          </w:p>
        </w:tc>
        <w:tc>
          <w:tcPr>
            <w:tcW w:w="989" w:type="dxa"/>
            <w:tcBorders>
              <w:top w:val="nil"/>
              <w:bottom w:val="single" w:sz="4" w:space="0" w:color="auto"/>
            </w:tcBorders>
            <w:noWrap/>
            <w:hideMark/>
          </w:tcPr>
          <w:p w:rsidR="00AF5F0F" w:rsidRPr="00CF3673" w:rsidRDefault="00AF5F0F" w:rsidP="00AF5F0F">
            <w:pPr>
              <w:jc w:val="center"/>
            </w:pPr>
            <w:r w:rsidRPr="00CF3673">
              <w:t>4</w:t>
            </w:r>
          </w:p>
        </w:tc>
        <w:tc>
          <w:tcPr>
            <w:tcW w:w="960" w:type="dxa"/>
            <w:tcBorders>
              <w:top w:val="nil"/>
              <w:bottom w:val="single" w:sz="4" w:space="0" w:color="auto"/>
            </w:tcBorders>
            <w:noWrap/>
            <w:hideMark/>
          </w:tcPr>
          <w:p w:rsidR="00AF5F0F" w:rsidRPr="00CF3673" w:rsidRDefault="00AF5F0F" w:rsidP="00AF5F0F">
            <w:pPr>
              <w:jc w:val="center"/>
            </w:pPr>
            <w:r w:rsidRPr="00CF3673">
              <w:t>48</w:t>
            </w:r>
          </w:p>
        </w:tc>
        <w:tc>
          <w:tcPr>
            <w:tcW w:w="960" w:type="dxa"/>
            <w:tcBorders>
              <w:top w:val="nil"/>
              <w:bottom w:val="single" w:sz="4" w:space="0" w:color="auto"/>
            </w:tcBorders>
            <w:noWrap/>
            <w:hideMark/>
          </w:tcPr>
          <w:p w:rsidR="00AF5F0F" w:rsidRPr="00CF3673" w:rsidRDefault="00AF5F0F" w:rsidP="00AF5F0F">
            <w:pPr>
              <w:jc w:val="center"/>
            </w:pPr>
            <w:r w:rsidRPr="00CF3673">
              <w:t>0</w:t>
            </w:r>
          </w:p>
        </w:tc>
        <w:tc>
          <w:tcPr>
            <w:tcW w:w="960" w:type="dxa"/>
            <w:tcBorders>
              <w:top w:val="nil"/>
              <w:bottom w:val="single" w:sz="4" w:space="0" w:color="auto"/>
            </w:tcBorders>
            <w:noWrap/>
            <w:hideMark/>
          </w:tcPr>
          <w:p w:rsidR="00AF5F0F" w:rsidRPr="00CF3673" w:rsidRDefault="00AF5F0F" w:rsidP="00AF5F0F">
            <w:pPr>
              <w:jc w:val="center"/>
            </w:pPr>
            <w:r w:rsidRPr="00CF3673">
              <w:t>52</w:t>
            </w:r>
          </w:p>
        </w:tc>
      </w:tr>
      <w:tr w:rsidR="00AF5F0F" w:rsidRPr="00CF3673" w:rsidTr="00AF5F0F">
        <w:trPr>
          <w:trHeight w:val="300"/>
          <w:jc w:val="center"/>
        </w:trPr>
        <w:tc>
          <w:tcPr>
            <w:tcW w:w="2264" w:type="dxa"/>
            <w:tcBorders>
              <w:top w:val="single" w:sz="4" w:space="0" w:color="auto"/>
            </w:tcBorders>
            <w:noWrap/>
            <w:hideMark/>
          </w:tcPr>
          <w:p w:rsidR="00AF5F0F" w:rsidRPr="00CF3673" w:rsidRDefault="00F00777" w:rsidP="00F00777">
            <w:pPr>
              <w:rPr>
                <w:rFonts w:ascii="Calibri" w:eastAsia="Times New Roman" w:hAnsi="Calibri" w:cs="Calibri"/>
                <w:color w:val="000000"/>
                <w:lang w:eastAsia="zh-CN"/>
              </w:rPr>
            </w:pPr>
            <w:r w:rsidRPr="00CF3673">
              <w:rPr>
                <w:rFonts w:ascii="Calibri" w:eastAsia="Times New Roman" w:hAnsi="Calibri" w:cs="Calibri"/>
                <w:color w:val="000000"/>
                <w:lang w:eastAsia="zh-CN"/>
              </w:rPr>
              <w:t>Em operação</w:t>
            </w:r>
          </w:p>
        </w:tc>
        <w:tc>
          <w:tcPr>
            <w:tcW w:w="989" w:type="dxa"/>
            <w:tcBorders>
              <w:top w:val="single" w:sz="4" w:space="0" w:color="auto"/>
            </w:tcBorders>
            <w:noWrap/>
            <w:hideMark/>
          </w:tcPr>
          <w:p w:rsidR="00AF5F0F" w:rsidRPr="00CF3673" w:rsidRDefault="00AF5F0F" w:rsidP="00AF5F0F">
            <w:pPr>
              <w:jc w:val="center"/>
            </w:pPr>
            <w:r w:rsidRPr="00CF3673">
              <w:t>84</w:t>
            </w:r>
          </w:p>
        </w:tc>
        <w:tc>
          <w:tcPr>
            <w:tcW w:w="960" w:type="dxa"/>
            <w:tcBorders>
              <w:top w:val="single" w:sz="4" w:space="0" w:color="auto"/>
            </w:tcBorders>
            <w:noWrap/>
            <w:hideMark/>
          </w:tcPr>
          <w:p w:rsidR="00AF5F0F" w:rsidRPr="00CF3673" w:rsidRDefault="00AF5F0F" w:rsidP="00AF5F0F">
            <w:pPr>
              <w:jc w:val="center"/>
            </w:pPr>
            <w:r w:rsidRPr="00CF3673">
              <w:t>188</w:t>
            </w:r>
          </w:p>
        </w:tc>
        <w:tc>
          <w:tcPr>
            <w:tcW w:w="960" w:type="dxa"/>
            <w:tcBorders>
              <w:top w:val="single" w:sz="4" w:space="0" w:color="auto"/>
            </w:tcBorders>
            <w:noWrap/>
            <w:hideMark/>
          </w:tcPr>
          <w:p w:rsidR="00AF5F0F" w:rsidRPr="00CF3673" w:rsidRDefault="00AF5F0F" w:rsidP="00AF5F0F">
            <w:pPr>
              <w:jc w:val="center"/>
            </w:pPr>
            <w:r w:rsidRPr="00CF3673">
              <w:t>24</w:t>
            </w:r>
          </w:p>
        </w:tc>
        <w:tc>
          <w:tcPr>
            <w:tcW w:w="960" w:type="dxa"/>
            <w:tcBorders>
              <w:top w:val="single" w:sz="4" w:space="0" w:color="auto"/>
            </w:tcBorders>
            <w:noWrap/>
            <w:hideMark/>
          </w:tcPr>
          <w:p w:rsidR="00AF5F0F" w:rsidRPr="00CF3673" w:rsidRDefault="00AF5F0F" w:rsidP="00121754">
            <w:pPr>
              <w:jc w:val="center"/>
            </w:pPr>
            <w:r w:rsidRPr="00CF3673">
              <w:t>29</w:t>
            </w:r>
            <w:r w:rsidR="00121754" w:rsidRPr="00CF3673">
              <w:t>6</w:t>
            </w:r>
          </w:p>
        </w:tc>
      </w:tr>
      <w:tr w:rsidR="00AF5F0F" w:rsidRPr="00CF3673" w:rsidTr="00AF5F0F">
        <w:trPr>
          <w:trHeight w:val="300"/>
          <w:jc w:val="center"/>
        </w:trPr>
        <w:tc>
          <w:tcPr>
            <w:tcW w:w="2264" w:type="dxa"/>
            <w:noWrap/>
            <w:hideMark/>
          </w:tcPr>
          <w:p w:rsidR="00AF5F0F" w:rsidRPr="00CF3673" w:rsidRDefault="00AF5F0F" w:rsidP="00AF5F0F">
            <w:pPr>
              <w:rPr>
                <w:rFonts w:ascii="Calibri" w:eastAsia="Times New Roman" w:hAnsi="Calibri" w:cs="Calibri"/>
                <w:color w:val="000000"/>
                <w:lang w:eastAsia="zh-CN"/>
              </w:rPr>
            </w:pPr>
          </w:p>
        </w:tc>
        <w:tc>
          <w:tcPr>
            <w:tcW w:w="989" w:type="dxa"/>
            <w:noWrap/>
            <w:hideMark/>
          </w:tcPr>
          <w:p w:rsidR="00AF5F0F" w:rsidRPr="00CF3673" w:rsidRDefault="00AF5F0F" w:rsidP="00AF5F0F">
            <w:pPr>
              <w:jc w:val="center"/>
            </w:pPr>
          </w:p>
        </w:tc>
        <w:tc>
          <w:tcPr>
            <w:tcW w:w="960" w:type="dxa"/>
            <w:noWrap/>
            <w:hideMark/>
          </w:tcPr>
          <w:p w:rsidR="00AF5F0F" w:rsidRPr="00CF3673" w:rsidRDefault="00AF5F0F" w:rsidP="00AF5F0F">
            <w:pPr>
              <w:jc w:val="center"/>
            </w:pPr>
          </w:p>
        </w:tc>
        <w:tc>
          <w:tcPr>
            <w:tcW w:w="960" w:type="dxa"/>
            <w:noWrap/>
            <w:hideMark/>
          </w:tcPr>
          <w:p w:rsidR="00AF5F0F" w:rsidRPr="00CF3673" w:rsidRDefault="00AF5F0F" w:rsidP="00AF5F0F">
            <w:pPr>
              <w:jc w:val="center"/>
            </w:pPr>
          </w:p>
        </w:tc>
        <w:tc>
          <w:tcPr>
            <w:tcW w:w="960" w:type="dxa"/>
            <w:noWrap/>
            <w:hideMark/>
          </w:tcPr>
          <w:p w:rsidR="00AF5F0F" w:rsidRPr="00CF3673" w:rsidRDefault="00AF5F0F" w:rsidP="00AF5F0F">
            <w:pPr>
              <w:jc w:val="center"/>
            </w:pPr>
          </w:p>
        </w:tc>
      </w:tr>
      <w:tr w:rsidR="00AF5F0F" w:rsidRPr="00CF3673" w:rsidTr="00AF5F0F">
        <w:trPr>
          <w:trHeight w:val="300"/>
          <w:jc w:val="center"/>
        </w:trPr>
        <w:tc>
          <w:tcPr>
            <w:tcW w:w="2264" w:type="dxa"/>
            <w:tcBorders>
              <w:bottom w:val="nil"/>
            </w:tcBorders>
            <w:noWrap/>
            <w:hideMark/>
          </w:tcPr>
          <w:p w:rsidR="00AF5F0F" w:rsidRPr="00CF3673" w:rsidRDefault="00B43EFF" w:rsidP="00B43EFF">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Mudaram </w:t>
            </w:r>
            <w:r w:rsidR="00AF5F0F" w:rsidRPr="00CF3673">
              <w:rPr>
                <w:rFonts w:ascii="Calibri" w:eastAsia="Times New Roman" w:hAnsi="Calibri" w:cs="Calibri"/>
                <w:color w:val="000000"/>
                <w:lang w:eastAsia="zh-CN"/>
              </w:rPr>
              <w:t>sector</w:t>
            </w:r>
          </w:p>
        </w:tc>
        <w:tc>
          <w:tcPr>
            <w:tcW w:w="989" w:type="dxa"/>
            <w:tcBorders>
              <w:bottom w:val="nil"/>
            </w:tcBorders>
            <w:noWrap/>
            <w:hideMark/>
          </w:tcPr>
          <w:p w:rsidR="00AF5F0F" w:rsidRPr="00CF3673" w:rsidRDefault="00AF5F0F" w:rsidP="00AF5F0F">
            <w:pPr>
              <w:jc w:val="center"/>
            </w:pPr>
            <w:r w:rsidRPr="00CF3673">
              <w:t>14</w:t>
            </w:r>
          </w:p>
        </w:tc>
        <w:tc>
          <w:tcPr>
            <w:tcW w:w="960" w:type="dxa"/>
            <w:tcBorders>
              <w:bottom w:val="nil"/>
            </w:tcBorders>
            <w:noWrap/>
            <w:hideMark/>
          </w:tcPr>
          <w:p w:rsidR="00AF5F0F" w:rsidRPr="00CF3673" w:rsidRDefault="00AF5F0F" w:rsidP="00AF5F0F">
            <w:pPr>
              <w:jc w:val="center"/>
            </w:pPr>
            <w:r w:rsidRPr="00CF3673">
              <w:t>14</w:t>
            </w:r>
          </w:p>
        </w:tc>
        <w:tc>
          <w:tcPr>
            <w:tcW w:w="960" w:type="dxa"/>
            <w:tcBorders>
              <w:bottom w:val="nil"/>
            </w:tcBorders>
            <w:noWrap/>
            <w:hideMark/>
          </w:tcPr>
          <w:p w:rsidR="00AF5F0F" w:rsidRPr="00CF3673" w:rsidRDefault="00AF5F0F" w:rsidP="00AF5F0F">
            <w:pPr>
              <w:jc w:val="center"/>
            </w:pPr>
            <w:r w:rsidRPr="00CF3673">
              <w:t>0</w:t>
            </w:r>
          </w:p>
        </w:tc>
        <w:tc>
          <w:tcPr>
            <w:tcW w:w="960" w:type="dxa"/>
            <w:tcBorders>
              <w:bottom w:val="nil"/>
            </w:tcBorders>
            <w:noWrap/>
            <w:hideMark/>
          </w:tcPr>
          <w:p w:rsidR="00AF5F0F" w:rsidRPr="00CF3673" w:rsidRDefault="00AF5F0F" w:rsidP="00AF5F0F">
            <w:pPr>
              <w:jc w:val="center"/>
            </w:pPr>
            <w:r w:rsidRPr="00CF3673">
              <w:t>28</w:t>
            </w:r>
          </w:p>
        </w:tc>
      </w:tr>
      <w:tr w:rsidR="00AF5F0F" w:rsidRPr="00CF3673" w:rsidTr="00AF5F0F">
        <w:trPr>
          <w:trHeight w:val="300"/>
          <w:jc w:val="center"/>
        </w:trPr>
        <w:tc>
          <w:tcPr>
            <w:tcW w:w="2264" w:type="dxa"/>
            <w:tcBorders>
              <w:top w:val="nil"/>
              <w:bottom w:val="single" w:sz="4" w:space="0" w:color="auto"/>
            </w:tcBorders>
            <w:noWrap/>
            <w:hideMark/>
          </w:tcPr>
          <w:p w:rsidR="00AF5F0F" w:rsidRPr="00CF3673" w:rsidRDefault="00B43EFF" w:rsidP="00B43EFF">
            <w:pPr>
              <w:rPr>
                <w:rFonts w:ascii="Calibri" w:eastAsia="Times New Roman" w:hAnsi="Calibri" w:cs="Calibri"/>
                <w:color w:val="000000"/>
                <w:lang w:eastAsia="zh-CN"/>
              </w:rPr>
            </w:pPr>
            <w:r w:rsidRPr="00CF3673">
              <w:rPr>
                <w:rFonts w:ascii="Calibri" w:eastAsia="Times New Roman" w:hAnsi="Calibri" w:cs="Calibri"/>
                <w:color w:val="000000"/>
                <w:lang w:eastAsia="zh-CN"/>
              </w:rPr>
              <w:t>Não-entrevistada</w:t>
            </w:r>
          </w:p>
        </w:tc>
        <w:tc>
          <w:tcPr>
            <w:tcW w:w="989" w:type="dxa"/>
            <w:tcBorders>
              <w:top w:val="nil"/>
              <w:bottom w:val="single" w:sz="4" w:space="0" w:color="auto"/>
            </w:tcBorders>
            <w:noWrap/>
            <w:hideMark/>
          </w:tcPr>
          <w:p w:rsidR="00AF5F0F" w:rsidRPr="00CF3673" w:rsidRDefault="00AF5F0F" w:rsidP="00AF5F0F">
            <w:pPr>
              <w:jc w:val="center"/>
            </w:pPr>
            <w:r w:rsidRPr="00CF3673">
              <w:t>16</w:t>
            </w:r>
          </w:p>
        </w:tc>
        <w:tc>
          <w:tcPr>
            <w:tcW w:w="960" w:type="dxa"/>
            <w:tcBorders>
              <w:top w:val="nil"/>
              <w:bottom w:val="single" w:sz="4" w:space="0" w:color="auto"/>
            </w:tcBorders>
            <w:noWrap/>
            <w:hideMark/>
          </w:tcPr>
          <w:p w:rsidR="00AF5F0F" w:rsidRPr="00CF3673" w:rsidRDefault="00AF5F0F" w:rsidP="00AF5F0F">
            <w:pPr>
              <w:jc w:val="center"/>
            </w:pPr>
            <w:r w:rsidRPr="00CF3673">
              <w:t>33</w:t>
            </w:r>
          </w:p>
        </w:tc>
        <w:tc>
          <w:tcPr>
            <w:tcW w:w="960" w:type="dxa"/>
            <w:tcBorders>
              <w:top w:val="nil"/>
              <w:bottom w:val="single" w:sz="4" w:space="0" w:color="auto"/>
            </w:tcBorders>
            <w:noWrap/>
            <w:hideMark/>
          </w:tcPr>
          <w:p w:rsidR="00AF5F0F" w:rsidRPr="00CF3673" w:rsidRDefault="00AF5F0F" w:rsidP="00AF5F0F">
            <w:pPr>
              <w:jc w:val="center"/>
            </w:pPr>
            <w:r w:rsidRPr="00CF3673">
              <w:t>3</w:t>
            </w:r>
          </w:p>
        </w:tc>
        <w:tc>
          <w:tcPr>
            <w:tcW w:w="960" w:type="dxa"/>
            <w:tcBorders>
              <w:top w:val="nil"/>
              <w:bottom w:val="single" w:sz="4" w:space="0" w:color="auto"/>
            </w:tcBorders>
            <w:noWrap/>
            <w:hideMark/>
          </w:tcPr>
          <w:p w:rsidR="00AF5F0F" w:rsidRPr="00CF3673" w:rsidRDefault="00AF5F0F" w:rsidP="00AF5F0F">
            <w:pPr>
              <w:jc w:val="center"/>
            </w:pPr>
            <w:r w:rsidRPr="00CF3673">
              <w:t>52</w:t>
            </w:r>
          </w:p>
        </w:tc>
      </w:tr>
      <w:tr w:rsidR="00AF5F0F" w:rsidRPr="00CF3673" w:rsidTr="00AF5F0F">
        <w:trPr>
          <w:trHeight w:val="300"/>
          <w:jc w:val="center"/>
        </w:trPr>
        <w:tc>
          <w:tcPr>
            <w:tcW w:w="2264" w:type="dxa"/>
            <w:tcBorders>
              <w:top w:val="nil"/>
              <w:bottom w:val="double" w:sz="4" w:space="0" w:color="auto"/>
            </w:tcBorders>
            <w:noWrap/>
            <w:hideMark/>
          </w:tcPr>
          <w:p w:rsidR="00AF5F0F" w:rsidRPr="00CF3673" w:rsidRDefault="00B43EFF" w:rsidP="00AF5F0F">
            <w:pPr>
              <w:rPr>
                <w:rFonts w:ascii="Calibri" w:eastAsia="Times New Roman" w:hAnsi="Calibri" w:cs="Calibri"/>
                <w:color w:val="000000"/>
                <w:lang w:eastAsia="zh-CN"/>
              </w:rPr>
            </w:pPr>
            <w:r w:rsidRPr="00CF3673">
              <w:rPr>
                <w:rFonts w:ascii="Calibri" w:eastAsia="Times New Roman" w:hAnsi="Calibri" w:cs="Calibri"/>
                <w:color w:val="000000"/>
                <w:lang w:eastAsia="zh-CN"/>
              </w:rPr>
              <w:t>Entrevistada</w:t>
            </w:r>
          </w:p>
        </w:tc>
        <w:tc>
          <w:tcPr>
            <w:tcW w:w="989" w:type="dxa"/>
            <w:tcBorders>
              <w:top w:val="nil"/>
              <w:bottom w:val="double" w:sz="4" w:space="0" w:color="auto"/>
            </w:tcBorders>
            <w:noWrap/>
            <w:hideMark/>
          </w:tcPr>
          <w:p w:rsidR="00AF5F0F" w:rsidRPr="00CF3673" w:rsidRDefault="00AF5F0F" w:rsidP="00AF5F0F">
            <w:pPr>
              <w:jc w:val="center"/>
            </w:pPr>
            <w:r w:rsidRPr="00CF3673">
              <w:t>54</w:t>
            </w:r>
          </w:p>
        </w:tc>
        <w:tc>
          <w:tcPr>
            <w:tcW w:w="960" w:type="dxa"/>
            <w:tcBorders>
              <w:top w:val="nil"/>
              <w:bottom w:val="double" w:sz="4" w:space="0" w:color="auto"/>
            </w:tcBorders>
            <w:noWrap/>
            <w:hideMark/>
          </w:tcPr>
          <w:p w:rsidR="00AF5F0F" w:rsidRPr="00CF3673" w:rsidRDefault="00AF5F0F" w:rsidP="00AF5F0F">
            <w:pPr>
              <w:jc w:val="center"/>
            </w:pPr>
            <w:r w:rsidRPr="00CF3673">
              <w:t>141</w:t>
            </w:r>
          </w:p>
        </w:tc>
        <w:tc>
          <w:tcPr>
            <w:tcW w:w="960" w:type="dxa"/>
            <w:tcBorders>
              <w:top w:val="nil"/>
              <w:bottom w:val="double" w:sz="4" w:space="0" w:color="auto"/>
            </w:tcBorders>
            <w:noWrap/>
            <w:hideMark/>
          </w:tcPr>
          <w:p w:rsidR="00AF5F0F" w:rsidRPr="00CF3673" w:rsidRDefault="00AF5F0F" w:rsidP="00AF5F0F">
            <w:pPr>
              <w:jc w:val="center"/>
            </w:pPr>
            <w:r w:rsidRPr="00CF3673">
              <w:t>21</w:t>
            </w:r>
          </w:p>
        </w:tc>
        <w:tc>
          <w:tcPr>
            <w:tcW w:w="960" w:type="dxa"/>
            <w:tcBorders>
              <w:top w:val="nil"/>
              <w:bottom w:val="double" w:sz="4" w:space="0" w:color="auto"/>
            </w:tcBorders>
            <w:noWrap/>
            <w:hideMark/>
          </w:tcPr>
          <w:p w:rsidR="00AF5F0F" w:rsidRPr="00CF3673" w:rsidRDefault="00AF5F0F" w:rsidP="00AF5F0F">
            <w:pPr>
              <w:jc w:val="center"/>
            </w:pPr>
            <w:r w:rsidRPr="00CF3673">
              <w:t>216</w:t>
            </w:r>
          </w:p>
        </w:tc>
      </w:tr>
      <w:tr w:rsidR="00AF5F0F" w:rsidRPr="00CF3673" w:rsidTr="00AF5F0F">
        <w:trPr>
          <w:trHeight w:val="300"/>
          <w:jc w:val="center"/>
        </w:trPr>
        <w:tc>
          <w:tcPr>
            <w:tcW w:w="6133" w:type="dxa"/>
            <w:gridSpan w:val="5"/>
            <w:tcBorders>
              <w:top w:val="double" w:sz="4" w:space="0" w:color="auto"/>
            </w:tcBorders>
            <w:noWrap/>
          </w:tcPr>
          <w:p w:rsidR="00AF5F0F" w:rsidRPr="00CF3673" w:rsidRDefault="00B43EFF" w:rsidP="00B43EFF">
            <w:pPr>
              <w:pStyle w:val="Tablenote"/>
              <w:rPr>
                <w:lang w:val="pt-PT" w:eastAsia="zh-CN"/>
              </w:rPr>
            </w:pPr>
            <w:r w:rsidRPr="00CF3673">
              <w:rPr>
                <w:b/>
                <w:lang w:val="pt-PT" w:eastAsia="zh-CN"/>
              </w:rPr>
              <w:t>Fonte</w:t>
            </w:r>
            <w:r w:rsidR="00AF5F0F" w:rsidRPr="00CF3673">
              <w:rPr>
                <w:b/>
                <w:lang w:val="pt-PT" w:eastAsia="zh-CN"/>
              </w:rPr>
              <w:t>:</w:t>
            </w:r>
            <w:r w:rsidR="00AF5F0F" w:rsidRPr="00CF3673">
              <w:rPr>
                <w:lang w:val="pt-PT" w:eastAsia="zh-CN"/>
              </w:rPr>
              <w:t xml:space="preserve"> </w:t>
            </w:r>
            <w:r w:rsidR="00B20E4D" w:rsidRPr="00CF3673">
              <w:rPr>
                <w:lang w:val="pt-PT" w:eastAsia="zh-CN"/>
              </w:rPr>
              <w:t>Cálculos</w:t>
            </w:r>
            <w:r w:rsidRPr="00CF3673">
              <w:rPr>
                <w:lang w:val="pt-PT" w:eastAsia="zh-CN"/>
              </w:rPr>
              <w:t xml:space="preserve"> do autor usando </w:t>
            </w:r>
            <w:r w:rsidR="00263F78" w:rsidRPr="00CF3673">
              <w:rPr>
                <w:lang w:val="pt-PT"/>
              </w:rPr>
              <w:t xml:space="preserve">IIM 2012, DNEAP (2006) </w:t>
            </w:r>
            <w:r w:rsidRPr="00CF3673">
              <w:rPr>
                <w:lang w:val="pt-PT"/>
              </w:rPr>
              <w:t>e</w:t>
            </w:r>
            <w:r w:rsidR="00263F78" w:rsidRPr="00CF3673">
              <w:rPr>
                <w:lang w:val="pt-PT"/>
              </w:rPr>
              <w:t xml:space="preserve"> ICA (2009).</w:t>
            </w:r>
          </w:p>
        </w:tc>
      </w:tr>
    </w:tbl>
    <w:p w:rsidR="00651D4B" w:rsidRPr="00CF3673" w:rsidRDefault="00651D4B" w:rsidP="00651D4B">
      <w:pPr>
        <w:pStyle w:val="MainText"/>
        <w:rPr>
          <w:lang w:val="pt-PT"/>
        </w:rPr>
      </w:pPr>
    </w:p>
    <w:p w:rsidR="00651D4B" w:rsidRPr="00CF3673" w:rsidRDefault="007664A1" w:rsidP="00651D4B">
      <w:pPr>
        <w:pStyle w:val="MainText"/>
        <w:rPr>
          <w:lang w:val="pt-PT"/>
        </w:rPr>
      </w:pPr>
      <w:r w:rsidRPr="00CF3673">
        <w:rPr>
          <w:lang w:val="pt-PT"/>
        </w:rPr>
        <w:t>Para identificar novas empresas a serem entrevistadas, o método de</w:t>
      </w:r>
      <w:r w:rsidR="007E7128" w:rsidRPr="00CF3673">
        <w:rPr>
          <w:lang w:val="pt-PT"/>
        </w:rPr>
        <w:t xml:space="preserve"> bola de neve</w:t>
      </w:r>
      <w:r w:rsidRPr="00CF3673">
        <w:rPr>
          <w:lang w:val="pt-PT"/>
        </w:rPr>
        <w:t xml:space="preserve"> foi usado. Dado que informa</w:t>
      </w:r>
      <w:r w:rsidR="00CD22A9" w:rsidRPr="00CF3673">
        <w:rPr>
          <w:lang w:val="pt-PT"/>
        </w:rPr>
        <w:t xml:space="preserve">ção sobre a presença e localização de empresas </w:t>
      </w:r>
      <w:r w:rsidR="00B20E4D" w:rsidRPr="00CF3673">
        <w:rPr>
          <w:lang w:val="pt-PT"/>
        </w:rPr>
        <w:t>manufactureiras</w:t>
      </w:r>
      <w:r w:rsidR="00CD22A9" w:rsidRPr="00CF3673">
        <w:rPr>
          <w:lang w:val="pt-PT"/>
        </w:rPr>
        <w:t xml:space="preserve"> específicas não era disponível, baseamo-nos no conhecimento local das companhias entrevistadas. Ap</w:t>
      </w:r>
      <w:r w:rsidR="007E7128" w:rsidRPr="00CF3673">
        <w:rPr>
          <w:lang w:val="pt-PT"/>
        </w:rPr>
        <w:t>ó</w:t>
      </w:r>
      <w:r w:rsidR="00CD22A9" w:rsidRPr="00CF3673">
        <w:rPr>
          <w:lang w:val="pt-PT"/>
        </w:rPr>
        <w:t>s cada entrevista,</w:t>
      </w:r>
      <w:r w:rsidR="007E7128" w:rsidRPr="00CF3673">
        <w:rPr>
          <w:lang w:val="pt-PT"/>
        </w:rPr>
        <w:t xml:space="preserve"> cada respondente era perguntado </w:t>
      </w:r>
      <w:r w:rsidR="00CD22A9" w:rsidRPr="00CF3673">
        <w:rPr>
          <w:lang w:val="pt-PT"/>
        </w:rPr>
        <w:t>se ele/ela conhecia alguma empresa manufactureira nas proximidades</w:t>
      </w:r>
      <w:r w:rsidR="00651D4B" w:rsidRPr="00CF3673">
        <w:rPr>
          <w:lang w:val="pt-PT"/>
        </w:rPr>
        <w:t xml:space="preserve">. </w:t>
      </w:r>
      <w:r w:rsidR="00CD22A9" w:rsidRPr="00CF3673">
        <w:rPr>
          <w:lang w:val="pt-PT"/>
        </w:rPr>
        <w:t xml:space="preserve">Nas </w:t>
      </w:r>
      <w:r w:rsidR="00B20E4D" w:rsidRPr="00CF3673">
        <w:rPr>
          <w:lang w:val="pt-PT"/>
        </w:rPr>
        <w:t>províncias</w:t>
      </w:r>
      <w:r w:rsidR="00CD22A9" w:rsidRPr="00CF3673">
        <w:rPr>
          <w:lang w:val="pt-PT"/>
        </w:rPr>
        <w:t xml:space="preserve"> </w:t>
      </w:r>
      <w:r w:rsidR="007E7128" w:rsidRPr="00CF3673">
        <w:rPr>
          <w:lang w:val="pt-PT"/>
        </w:rPr>
        <w:t xml:space="preserve">onde </w:t>
      </w:r>
      <w:r w:rsidR="00CD22A9" w:rsidRPr="00CF3673">
        <w:rPr>
          <w:lang w:val="pt-PT"/>
        </w:rPr>
        <w:t>existiam empresas sobreviventes, este método serviu como ponto de partida para abordagem de amostragem com bas</w:t>
      </w:r>
      <w:r w:rsidR="007E7128" w:rsidRPr="00CF3673">
        <w:rPr>
          <w:lang w:val="pt-PT"/>
        </w:rPr>
        <w:t>e na bola de neve</w:t>
      </w:r>
      <w:r w:rsidR="00651D4B" w:rsidRPr="00CF3673">
        <w:rPr>
          <w:lang w:val="pt-PT"/>
        </w:rPr>
        <w:t xml:space="preserve">. </w:t>
      </w:r>
      <w:r w:rsidR="00CD22A9" w:rsidRPr="00CF3673">
        <w:rPr>
          <w:lang w:val="pt-PT"/>
        </w:rPr>
        <w:t>Para complementar, os dados do CEMPRE foram usados para identificar duma maneira geral, “áreas de actividade industrial”</w:t>
      </w:r>
      <w:r w:rsidR="00651D4B" w:rsidRPr="00CF3673">
        <w:rPr>
          <w:lang w:val="pt-PT"/>
        </w:rPr>
        <w:t xml:space="preserve"> </w:t>
      </w:r>
      <w:r w:rsidR="00CD22A9" w:rsidRPr="00CF3673">
        <w:rPr>
          <w:lang w:val="pt-PT"/>
        </w:rPr>
        <w:t>e identificar aleatoriamente</w:t>
      </w:r>
      <w:r w:rsidR="007E7128" w:rsidRPr="00CF3673">
        <w:rPr>
          <w:lang w:val="pt-PT"/>
        </w:rPr>
        <w:t xml:space="preserve"> uma empresas</w:t>
      </w:r>
      <w:r w:rsidR="00CD22A9" w:rsidRPr="00CF3673">
        <w:rPr>
          <w:lang w:val="pt-PT"/>
        </w:rPr>
        <w:t xml:space="preserve"> para iniciar o método de </w:t>
      </w:r>
      <w:r w:rsidR="007E7128" w:rsidRPr="00CF3673">
        <w:rPr>
          <w:lang w:val="pt-PT"/>
        </w:rPr>
        <w:t>bola de neve</w:t>
      </w:r>
      <w:r w:rsidR="00651D4B" w:rsidRPr="00CF3673">
        <w:rPr>
          <w:lang w:val="pt-PT"/>
        </w:rPr>
        <w:t xml:space="preserve">. </w:t>
      </w:r>
      <w:r w:rsidR="00B20E4D" w:rsidRPr="00CF3673">
        <w:rPr>
          <w:lang w:val="pt-PT"/>
        </w:rPr>
        <w:t>Algumas</w:t>
      </w:r>
      <w:r w:rsidR="00CD22A9" w:rsidRPr="00CF3673">
        <w:rPr>
          <w:lang w:val="pt-PT"/>
        </w:rPr>
        <w:t xml:space="preserve"> empresas foram </w:t>
      </w:r>
      <w:r w:rsidR="00B20E4D" w:rsidRPr="00CF3673">
        <w:rPr>
          <w:lang w:val="pt-PT"/>
        </w:rPr>
        <w:t>identificadas</w:t>
      </w:r>
      <w:r w:rsidR="00CD22A9" w:rsidRPr="00CF3673">
        <w:rPr>
          <w:lang w:val="pt-PT"/>
        </w:rPr>
        <w:t xml:space="preserve"> pelos Inquiridores com base nas informações </w:t>
      </w:r>
      <w:r w:rsidR="007E7128" w:rsidRPr="00CF3673">
        <w:rPr>
          <w:lang w:val="pt-PT"/>
        </w:rPr>
        <w:t xml:space="preserve">obtidas </w:t>
      </w:r>
      <w:r w:rsidR="00CD22A9" w:rsidRPr="00CF3673">
        <w:rPr>
          <w:lang w:val="pt-PT"/>
        </w:rPr>
        <w:t>localmente.</w:t>
      </w:r>
      <w:r w:rsidR="00651D4B" w:rsidRPr="00CF3673">
        <w:rPr>
          <w:lang w:val="pt-PT"/>
        </w:rPr>
        <w:t xml:space="preserve"> </w:t>
      </w:r>
      <w:r w:rsidR="00C84EA9" w:rsidRPr="00CF3673">
        <w:rPr>
          <w:lang w:val="pt-PT"/>
        </w:rPr>
        <w:t>Nas províncias onde não existiam empresas previamente entrevistadas, estas áreas foram usadas como pontos de partida</w:t>
      </w:r>
      <w:r w:rsidR="00651D4B" w:rsidRPr="00CF3673">
        <w:rPr>
          <w:lang w:val="pt-PT"/>
        </w:rPr>
        <w:t xml:space="preserve">. </w:t>
      </w:r>
      <w:r w:rsidR="00C84EA9" w:rsidRPr="00CF3673">
        <w:rPr>
          <w:lang w:val="pt-PT"/>
        </w:rPr>
        <w:t>O método</w:t>
      </w:r>
      <w:r w:rsidR="007E7128" w:rsidRPr="00CF3673">
        <w:rPr>
          <w:lang w:val="pt-PT"/>
        </w:rPr>
        <w:t xml:space="preserve"> de bola de neve</w:t>
      </w:r>
      <w:r w:rsidR="00651D4B" w:rsidRPr="00CF3673">
        <w:rPr>
          <w:lang w:val="pt-PT"/>
        </w:rPr>
        <w:t xml:space="preserve"> </w:t>
      </w:r>
      <w:r w:rsidR="00C84EA9" w:rsidRPr="00CF3673">
        <w:rPr>
          <w:lang w:val="pt-PT"/>
        </w:rPr>
        <w:t xml:space="preserve">significa que as empresas na amostra não foram </w:t>
      </w:r>
      <w:r w:rsidR="00B20E4D" w:rsidRPr="00CF3673">
        <w:rPr>
          <w:lang w:val="pt-PT"/>
        </w:rPr>
        <w:t>sorteadas</w:t>
      </w:r>
      <w:r w:rsidR="00C84EA9" w:rsidRPr="00CF3673">
        <w:rPr>
          <w:lang w:val="pt-PT"/>
        </w:rPr>
        <w:t xml:space="preserve"> de forma independente das outras</w:t>
      </w:r>
      <w:r w:rsidR="00651D4B" w:rsidRPr="00CF3673">
        <w:rPr>
          <w:lang w:val="pt-PT"/>
        </w:rPr>
        <w:t>.</w:t>
      </w:r>
    </w:p>
    <w:p w:rsidR="00C84EA9" w:rsidRPr="00CF3673" w:rsidRDefault="00C84EA9" w:rsidP="001E664B">
      <w:pPr>
        <w:pStyle w:val="MainText"/>
        <w:rPr>
          <w:lang w:val="pt-PT"/>
        </w:rPr>
      </w:pPr>
      <w:r w:rsidRPr="00CF3673">
        <w:rPr>
          <w:lang w:val="pt-PT"/>
        </w:rPr>
        <w:t>A tabela 2.6 mostra a distribuição das empresas entrevistadas ao longo das 10 cidades (depois da remoção dum total de 70 empresas da amostra- veja a secção da validação).</w:t>
      </w:r>
      <w:r w:rsidRPr="00CF3673">
        <w:rPr>
          <w:rStyle w:val="FootnoteReference"/>
          <w:lang w:val="pt-PT"/>
        </w:rPr>
        <w:footnoteReference w:id="10"/>
      </w:r>
      <w:r w:rsidRPr="00CF3673">
        <w:rPr>
          <w:lang w:val="pt-PT"/>
        </w:rPr>
        <w:t xml:space="preserve"> Comparando as tabelas 2.6 e 2.4, o número de empresas obtidas não difere tanto da estrat</w:t>
      </w:r>
      <w:r w:rsidR="00BF3F25" w:rsidRPr="00CF3673">
        <w:rPr>
          <w:lang w:val="pt-PT"/>
        </w:rPr>
        <w:t>é</w:t>
      </w:r>
      <w:r w:rsidRPr="00CF3673">
        <w:rPr>
          <w:lang w:val="pt-PT"/>
        </w:rPr>
        <w:t>gia de amostragem apresentada na tabela 2.4- a amostra está nivelada por baixo nas empresas</w:t>
      </w:r>
      <w:r w:rsidR="00BF3F25" w:rsidRPr="00CF3673">
        <w:rPr>
          <w:lang w:val="pt-PT"/>
        </w:rPr>
        <w:t xml:space="preserve"> localizadas</w:t>
      </w:r>
      <w:r w:rsidRPr="00CF3673">
        <w:rPr>
          <w:lang w:val="pt-PT"/>
        </w:rPr>
        <w:t xml:space="preserve"> na Matola, Beira e Nampula.</w:t>
      </w:r>
    </w:p>
    <w:p w:rsidR="00045D3E" w:rsidRPr="00CF3673" w:rsidRDefault="00045D3E" w:rsidP="00B06D3F">
      <w:pPr>
        <w:pStyle w:val="TableTitle"/>
        <w:rPr>
          <w:bCs/>
          <w:lang w:val="pt-PT"/>
        </w:rPr>
      </w:pPr>
      <w:bookmarkStart w:id="18" w:name="_Toc360720438"/>
      <w:r w:rsidRPr="00CF3673">
        <w:rPr>
          <w:lang w:val="pt-PT"/>
        </w:rPr>
        <w:t>Tab</w:t>
      </w:r>
      <w:r w:rsidR="00C84EA9" w:rsidRPr="00CF3673">
        <w:rPr>
          <w:lang w:val="pt-PT"/>
        </w:rPr>
        <w:t>ela</w:t>
      </w:r>
      <w:r w:rsidRPr="00CF3673">
        <w:rPr>
          <w:lang w:val="pt-PT"/>
        </w:rPr>
        <w:t xml:space="preserve"> </w:t>
      </w:r>
      <w:r w:rsidR="004D2EFF" w:rsidRPr="00CF3673">
        <w:rPr>
          <w:lang w:val="pt-PT"/>
        </w:rPr>
        <w:t>2.</w:t>
      </w:r>
      <w:r w:rsidRPr="00CF3673">
        <w:rPr>
          <w:lang w:val="pt-PT"/>
        </w:rPr>
        <w:t>6: Distribu</w:t>
      </w:r>
      <w:r w:rsidR="00C84EA9" w:rsidRPr="00CF3673">
        <w:rPr>
          <w:lang w:val="pt-PT"/>
        </w:rPr>
        <w:t>ição das empresas por cidade e tipo</w:t>
      </w:r>
      <w:bookmarkEnd w:id="18"/>
    </w:p>
    <w:tbl>
      <w:tblPr>
        <w:tblW w:w="0" w:type="auto"/>
        <w:jc w:val="center"/>
        <w:tblLayout w:type="fixed"/>
        <w:tblLook w:val="04A0" w:firstRow="1" w:lastRow="0" w:firstColumn="1" w:lastColumn="0" w:noHBand="0" w:noVBand="1"/>
      </w:tblPr>
      <w:tblGrid>
        <w:gridCol w:w="2605"/>
        <w:gridCol w:w="1524"/>
        <w:gridCol w:w="1859"/>
        <w:gridCol w:w="876"/>
      </w:tblGrid>
      <w:tr w:rsidR="00045D3E" w:rsidRPr="00CF3673" w:rsidTr="00AB06BA">
        <w:trPr>
          <w:trHeight w:val="270"/>
          <w:jc w:val="center"/>
        </w:trPr>
        <w:tc>
          <w:tcPr>
            <w:tcW w:w="2605" w:type="dxa"/>
            <w:tcBorders>
              <w:top w:val="double" w:sz="6" w:space="0" w:color="auto"/>
              <w:left w:val="nil"/>
              <w:bottom w:val="single" w:sz="4" w:space="0" w:color="auto"/>
              <w:right w:val="nil"/>
            </w:tcBorders>
            <w:shd w:val="clear" w:color="auto" w:fill="auto"/>
            <w:noWrap/>
            <w:vAlign w:val="bottom"/>
            <w:hideMark/>
          </w:tcPr>
          <w:p w:rsidR="00045D3E" w:rsidRPr="00CF3673" w:rsidRDefault="00C84EA9" w:rsidP="00C84EA9">
            <w:pPr>
              <w:spacing w:after="0"/>
              <w:rPr>
                <w:rFonts w:ascii="Calibri" w:hAnsi="Calibri" w:cs="Calibri"/>
                <w:sz w:val="20"/>
                <w:szCs w:val="20"/>
              </w:rPr>
            </w:pPr>
            <w:r w:rsidRPr="00CF3673">
              <w:rPr>
                <w:rFonts w:ascii="Calibri" w:hAnsi="Calibri" w:cs="Calibri"/>
                <w:sz w:val="20"/>
                <w:szCs w:val="20"/>
              </w:rPr>
              <w:t>Amostra por proví</w:t>
            </w:r>
            <w:r w:rsidR="00045D3E" w:rsidRPr="00CF3673">
              <w:rPr>
                <w:rFonts w:ascii="Calibri" w:hAnsi="Calibri" w:cs="Calibri"/>
                <w:sz w:val="20"/>
                <w:szCs w:val="20"/>
              </w:rPr>
              <w:t>nc</w:t>
            </w:r>
            <w:r w:rsidRPr="00CF3673">
              <w:rPr>
                <w:rFonts w:ascii="Calibri" w:hAnsi="Calibri" w:cs="Calibri"/>
                <w:sz w:val="20"/>
                <w:szCs w:val="20"/>
              </w:rPr>
              <w:t>ia</w:t>
            </w:r>
          </w:p>
        </w:tc>
        <w:tc>
          <w:tcPr>
            <w:tcW w:w="1524" w:type="dxa"/>
            <w:tcBorders>
              <w:top w:val="double" w:sz="6" w:space="0" w:color="auto"/>
              <w:left w:val="nil"/>
              <w:bottom w:val="single" w:sz="4" w:space="0" w:color="auto"/>
              <w:right w:val="nil"/>
            </w:tcBorders>
            <w:shd w:val="clear" w:color="auto" w:fill="auto"/>
            <w:noWrap/>
            <w:vAlign w:val="bottom"/>
            <w:hideMark/>
          </w:tcPr>
          <w:p w:rsidR="00045D3E" w:rsidRPr="00CF3673" w:rsidRDefault="00045D3E" w:rsidP="00C84EA9">
            <w:pPr>
              <w:spacing w:after="0"/>
              <w:jc w:val="center"/>
              <w:rPr>
                <w:rFonts w:ascii="Calibri" w:hAnsi="Calibri" w:cs="Calibri"/>
                <w:sz w:val="20"/>
                <w:szCs w:val="20"/>
              </w:rPr>
            </w:pPr>
            <w:r w:rsidRPr="00CF3673">
              <w:rPr>
                <w:rFonts w:ascii="Calibri" w:hAnsi="Calibri" w:cs="Calibri"/>
                <w:sz w:val="20"/>
                <w:szCs w:val="20"/>
              </w:rPr>
              <w:t>S</w:t>
            </w:r>
            <w:r w:rsidR="00C84EA9" w:rsidRPr="00CF3673">
              <w:rPr>
                <w:rFonts w:ascii="Calibri" w:hAnsi="Calibri" w:cs="Calibri"/>
                <w:sz w:val="20"/>
                <w:szCs w:val="20"/>
              </w:rPr>
              <w:t>obrevivente</w:t>
            </w:r>
            <w:r w:rsidRPr="00CF3673">
              <w:rPr>
                <w:rFonts w:ascii="Calibri" w:hAnsi="Calibri" w:cs="Calibri"/>
                <w:sz w:val="20"/>
                <w:szCs w:val="20"/>
              </w:rPr>
              <w:t xml:space="preserve"> (est.)</w:t>
            </w:r>
          </w:p>
        </w:tc>
        <w:tc>
          <w:tcPr>
            <w:tcW w:w="1859" w:type="dxa"/>
            <w:tcBorders>
              <w:top w:val="double" w:sz="6" w:space="0" w:color="auto"/>
              <w:left w:val="nil"/>
              <w:bottom w:val="single" w:sz="4" w:space="0" w:color="auto"/>
              <w:right w:val="nil"/>
            </w:tcBorders>
            <w:shd w:val="clear" w:color="auto" w:fill="auto"/>
            <w:noWrap/>
            <w:vAlign w:val="bottom"/>
            <w:hideMark/>
          </w:tcPr>
          <w:p w:rsidR="00045D3E" w:rsidRPr="00CF3673" w:rsidRDefault="00C84EA9" w:rsidP="00C84EA9">
            <w:pPr>
              <w:spacing w:after="0"/>
              <w:jc w:val="center"/>
              <w:rPr>
                <w:rFonts w:ascii="Calibri" w:hAnsi="Calibri" w:cs="Calibri"/>
                <w:sz w:val="20"/>
                <w:szCs w:val="20"/>
              </w:rPr>
            </w:pPr>
            <w:r w:rsidRPr="00CF3673">
              <w:rPr>
                <w:rFonts w:ascii="Calibri" w:hAnsi="Calibri" w:cs="Calibri"/>
                <w:sz w:val="20"/>
                <w:szCs w:val="20"/>
              </w:rPr>
              <w:t>Nova empresa</w:t>
            </w:r>
          </w:p>
        </w:tc>
        <w:tc>
          <w:tcPr>
            <w:tcW w:w="876" w:type="dxa"/>
            <w:tcBorders>
              <w:top w:val="double" w:sz="6" w:space="0" w:color="auto"/>
              <w:left w:val="nil"/>
              <w:bottom w:val="single" w:sz="4" w:space="0" w:color="auto"/>
              <w:right w:val="nil"/>
            </w:tcBorders>
            <w:shd w:val="clear" w:color="auto" w:fill="auto"/>
            <w:noWrap/>
            <w:vAlign w:val="bottom"/>
            <w:hideMark/>
          </w:tcPr>
          <w:p w:rsidR="00045D3E" w:rsidRPr="00CF3673" w:rsidRDefault="00045D3E" w:rsidP="00045D3E">
            <w:pPr>
              <w:spacing w:after="0"/>
              <w:jc w:val="center"/>
              <w:rPr>
                <w:rFonts w:ascii="Calibri" w:hAnsi="Calibri" w:cs="Calibri"/>
                <w:sz w:val="20"/>
                <w:szCs w:val="20"/>
              </w:rPr>
            </w:pPr>
            <w:r w:rsidRPr="00CF3673">
              <w:rPr>
                <w:rFonts w:ascii="Calibri" w:hAnsi="Calibri" w:cs="Calibri"/>
                <w:sz w:val="20"/>
                <w:szCs w:val="20"/>
              </w:rPr>
              <w:t>Total</w:t>
            </w:r>
          </w:p>
        </w:tc>
      </w:tr>
      <w:tr w:rsidR="00172B4B" w:rsidRPr="00CF3673" w:rsidTr="00AB06BA">
        <w:trPr>
          <w:trHeight w:val="255"/>
          <w:jc w:val="center"/>
        </w:trPr>
        <w:tc>
          <w:tcPr>
            <w:tcW w:w="2605" w:type="dxa"/>
            <w:tcBorders>
              <w:top w:val="nil"/>
              <w:left w:val="nil"/>
              <w:bottom w:val="nil"/>
              <w:right w:val="nil"/>
            </w:tcBorders>
            <w:shd w:val="clear" w:color="auto" w:fill="auto"/>
            <w:noWrap/>
            <w:vAlign w:val="bottom"/>
            <w:hideMark/>
          </w:tcPr>
          <w:p w:rsidR="00172B4B" w:rsidRPr="00CF3673" w:rsidRDefault="00172B4B" w:rsidP="00172B4B">
            <w:pPr>
              <w:spacing w:after="0"/>
              <w:rPr>
                <w:rFonts w:ascii="Calibri" w:hAnsi="Calibri" w:cs="Calibri"/>
                <w:sz w:val="20"/>
                <w:szCs w:val="20"/>
              </w:rPr>
            </w:pPr>
            <w:r w:rsidRPr="00CF3673">
              <w:rPr>
                <w:rFonts w:ascii="Calibri" w:hAnsi="Calibri" w:cs="Calibri"/>
                <w:sz w:val="20"/>
                <w:szCs w:val="20"/>
              </w:rPr>
              <w:t>Maputo Cidade</w:t>
            </w:r>
          </w:p>
        </w:tc>
        <w:tc>
          <w:tcPr>
            <w:tcW w:w="1524"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142</w:t>
            </w:r>
          </w:p>
        </w:tc>
        <w:tc>
          <w:tcPr>
            <w:tcW w:w="1859" w:type="dxa"/>
            <w:tcBorders>
              <w:top w:val="nil"/>
              <w:left w:val="nil"/>
              <w:bottom w:val="nil"/>
              <w:right w:val="nil"/>
            </w:tcBorders>
            <w:shd w:val="clear" w:color="auto" w:fill="auto"/>
            <w:noWrap/>
            <w:hideMark/>
          </w:tcPr>
          <w:p w:rsidR="00172B4B" w:rsidRPr="00CF3673" w:rsidRDefault="00AB06BA" w:rsidP="00AB06BA">
            <w:pPr>
              <w:spacing w:after="0"/>
              <w:jc w:val="center"/>
              <w:rPr>
                <w:sz w:val="20"/>
                <w:szCs w:val="20"/>
              </w:rPr>
            </w:pPr>
            <w:r w:rsidRPr="00CF3673">
              <w:rPr>
                <w:sz w:val="20"/>
                <w:szCs w:val="20"/>
              </w:rPr>
              <w:t>126</w:t>
            </w:r>
          </w:p>
        </w:tc>
        <w:tc>
          <w:tcPr>
            <w:tcW w:w="876" w:type="dxa"/>
            <w:tcBorders>
              <w:top w:val="nil"/>
              <w:left w:val="nil"/>
              <w:bottom w:val="nil"/>
              <w:right w:val="nil"/>
            </w:tcBorders>
            <w:shd w:val="clear" w:color="auto" w:fill="auto"/>
            <w:noWrap/>
            <w:hideMark/>
          </w:tcPr>
          <w:p w:rsidR="00172B4B" w:rsidRPr="00CF3673" w:rsidRDefault="00AB06BA" w:rsidP="00172B4B">
            <w:pPr>
              <w:spacing w:after="0"/>
              <w:jc w:val="center"/>
              <w:rPr>
                <w:sz w:val="20"/>
                <w:szCs w:val="20"/>
              </w:rPr>
            </w:pPr>
            <w:r w:rsidRPr="00CF3673">
              <w:rPr>
                <w:sz w:val="20"/>
                <w:szCs w:val="20"/>
              </w:rPr>
              <w:t>268</w:t>
            </w:r>
          </w:p>
        </w:tc>
      </w:tr>
      <w:tr w:rsidR="00172B4B" w:rsidRPr="00CF3673" w:rsidTr="00AB06BA">
        <w:trPr>
          <w:trHeight w:val="255"/>
          <w:jc w:val="center"/>
        </w:trPr>
        <w:tc>
          <w:tcPr>
            <w:tcW w:w="2605" w:type="dxa"/>
            <w:tcBorders>
              <w:top w:val="nil"/>
              <w:left w:val="nil"/>
              <w:bottom w:val="nil"/>
              <w:right w:val="nil"/>
            </w:tcBorders>
            <w:shd w:val="clear" w:color="auto" w:fill="auto"/>
            <w:noWrap/>
            <w:vAlign w:val="bottom"/>
            <w:hideMark/>
          </w:tcPr>
          <w:p w:rsidR="00172B4B" w:rsidRPr="00CF3673" w:rsidRDefault="00172B4B" w:rsidP="00172B4B">
            <w:pPr>
              <w:spacing w:after="0"/>
              <w:rPr>
                <w:rFonts w:ascii="Calibri" w:hAnsi="Calibri" w:cs="Calibri"/>
                <w:sz w:val="20"/>
                <w:szCs w:val="20"/>
              </w:rPr>
            </w:pPr>
            <w:r w:rsidRPr="00CF3673">
              <w:rPr>
                <w:rFonts w:ascii="Calibri" w:hAnsi="Calibri" w:cs="Calibri"/>
                <w:sz w:val="20"/>
                <w:szCs w:val="20"/>
              </w:rPr>
              <w:t>Matola</w:t>
            </w:r>
          </w:p>
        </w:tc>
        <w:tc>
          <w:tcPr>
            <w:tcW w:w="1524"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17</w:t>
            </w:r>
          </w:p>
        </w:tc>
        <w:tc>
          <w:tcPr>
            <w:tcW w:w="1859" w:type="dxa"/>
            <w:tcBorders>
              <w:top w:val="nil"/>
              <w:left w:val="nil"/>
              <w:bottom w:val="nil"/>
              <w:right w:val="nil"/>
            </w:tcBorders>
            <w:shd w:val="clear" w:color="auto" w:fill="auto"/>
            <w:noWrap/>
            <w:hideMark/>
          </w:tcPr>
          <w:p w:rsidR="00172B4B" w:rsidRPr="00CF3673" w:rsidRDefault="00AB06BA" w:rsidP="00172B4B">
            <w:pPr>
              <w:spacing w:after="0"/>
              <w:jc w:val="center"/>
              <w:rPr>
                <w:sz w:val="20"/>
                <w:szCs w:val="20"/>
              </w:rPr>
            </w:pPr>
            <w:r w:rsidRPr="00CF3673">
              <w:rPr>
                <w:sz w:val="20"/>
                <w:szCs w:val="20"/>
              </w:rPr>
              <w:t>52</w:t>
            </w:r>
          </w:p>
        </w:tc>
        <w:tc>
          <w:tcPr>
            <w:tcW w:w="876" w:type="dxa"/>
            <w:tcBorders>
              <w:top w:val="nil"/>
              <w:left w:val="nil"/>
              <w:bottom w:val="nil"/>
              <w:right w:val="nil"/>
            </w:tcBorders>
            <w:shd w:val="clear" w:color="auto" w:fill="auto"/>
            <w:noWrap/>
            <w:hideMark/>
          </w:tcPr>
          <w:p w:rsidR="00172B4B" w:rsidRPr="00CF3673" w:rsidRDefault="00AB06BA" w:rsidP="00172B4B">
            <w:pPr>
              <w:spacing w:after="0"/>
              <w:jc w:val="center"/>
              <w:rPr>
                <w:sz w:val="20"/>
                <w:szCs w:val="20"/>
              </w:rPr>
            </w:pPr>
            <w:r w:rsidRPr="00CF3673">
              <w:rPr>
                <w:sz w:val="20"/>
                <w:szCs w:val="20"/>
              </w:rPr>
              <w:t>69</w:t>
            </w:r>
          </w:p>
        </w:tc>
      </w:tr>
      <w:tr w:rsidR="00172B4B" w:rsidRPr="00CF3673" w:rsidTr="00AB06BA">
        <w:trPr>
          <w:trHeight w:val="255"/>
          <w:jc w:val="center"/>
        </w:trPr>
        <w:tc>
          <w:tcPr>
            <w:tcW w:w="2605" w:type="dxa"/>
            <w:tcBorders>
              <w:top w:val="nil"/>
              <w:left w:val="nil"/>
              <w:bottom w:val="nil"/>
              <w:right w:val="nil"/>
            </w:tcBorders>
            <w:shd w:val="clear" w:color="auto" w:fill="auto"/>
            <w:noWrap/>
            <w:vAlign w:val="bottom"/>
            <w:hideMark/>
          </w:tcPr>
          <w:p w:rsidR="00172B4B" w:rsidRPr="00CF3673" w:rsidRDefault="00172B4B" w:rsidP="00172B4B">
            <w:pPr>
              <w:spacing w:after="0"/>
              <w:rPr>
                <w:rFonts w:ascii="Calibri" w:hAnsi="Calibri" w:cs="Calibri"/>
                <w:sz w:val="20"/>
                <w:szCs w:val="20"/>
              </w:rPr>
            </w:pPr>
            <w:r w:rsidRPr="00CF3673">
              <w:rPr>
                <w:rFonts w:ascii="Calibri" w:hAnsi="Calibri" w:cs="Calibri"/>
                <w:sz w:val="20"/>
                <w:szCs w:val="20"/>
              </w:rPr>
              <w:t>Beira</w:t>
            </w:r>
          </w:p>
        </w:tc>
        <w:tc>
          <w:tcPr>
            <w:tcW w:w="1524"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18</w:t>
            </w:r>
          </w:p>
        </w:tc>
        <w:tc>
          <w:tcPr>
            <w:tcW w:w="1859" w:type="dxa"/>
            <w:tcBorders>
              <w:top w:val="nil"/>
              <w:left w:val="nil"/>
              <w:bottom w:val="nil"/>
              <w:right w:val="nil"/>
            </w:tcBorders>
            <w:shd w:val="clear" w:color="auto" w:fill="auto"/>
            <w:noWrap/>
            <w:hideMark/>
          </w:tcPr>
          <w:p w:rsidR="00172B4B" w:rsidRPr="00CF3673" w:rsidRDefault="00AB06BA" w:rsidP="00172B4B">
            <w:pPr>
              <w:spacing w:after="0"/>
              <w:jc w:val="center"/>
              <w:rPr>
                <w:sz w:val="20"/>
                <w:szCs w:val="20"/>
              </w:rPr>
            </w:pPr>
            <w:r w:rsidRPr="00CF3673">
              <w:rPr>
                <w:sz w:val="20"/>
                <w:szCs w:val="20"/>
              </w:rPr>
              <w:t>125</w:t>
            </w:r>
          </w:p>
        </w:tc>
        <w:tc>
          <w:tcPr>
            <w:tcW w:w="876" w:type="dxa"/>
            <w:tcBorders>
              <w:top w:val="nil"/>
              <w:left w:val="nil"/>
              <w:bottom w:val="nil"/>
              <w:right w:val="nil"/>
            </w:tcBorders>
            <w:shd w:val="clear" w:color="auto" w:fill="auto"/>
            <w:noWrap/>
            <w:hideMark/>
          </w:tcPr>
          <w:p w:rsidR="00172B4B" w:rsidRPr="00CF3673" w:rsidRDefault="00AB06BA" w:rsidP="00172B4B">
            <w:pPr>
              <w:spacing w:after="0"/>
              <w:jc w:val="center"/>
              <w:rPr>
                <w:sz w:val="20"/>
                <w:szCs w:val="20"/>
              </w:rPr>
            </w:pPr>
            <w:r w:rsidRPr="00CF3673">
              <w:rPr>
                <w:sz w:val="20"/>
                <w:szCs w:val="20"/>
              </w:rPr>
              <w:t>143</w:t>
            </w:r>
          </w:p>
        </w:tc>
      </w:tr>
      <w:tr w:rsidR="00172B4B" w:rsidRPr="00CF3673" w:rsidTr="00AB06BA">
        <w:trPr>
          <w:trHeight w:val="255"/>
          <w:jc w:val="center"/>
        </w:trPr>
        <w:tc>
          <w:tcPr>
            <w:tcW w:w="2605" w:type="dxa"/>
            <w:tcBorders>
              <w:top w:val="nil"/>
              <w:left w:val="nil"/>
              <w:bottom w:val="nil"/>
              <w:right w:val="nil"/>
            </w:tcBorders>
            <w:shd w:val="clear" w:color="auto" w:fill="auto"/>
            <w:noWrap/>
            <w:vAlign w:val="bottom"/>
            <w:hideMark/>
          </w:tcPr>
          <w:p w:rsidR="00172B4B" w:rsidRPr="00CF3673" w:rsidRDefault="00172B4B" w:rsidP="00C84EA9">
            <w:pPr>
              <w:spacing w:after="0"/>
              <w:rPr>
                <w:rFonts w:ascii="Calibri" w:hAnsi="Calibri" w:cs="Calibri"/>
                <w:sz w:val="20"/>
                <w:szCs w:val="20"/>
              </w:rPr>
            </w:pPr>
            <w:r w:rsidRPr="00CF3673">
              <w:rPr>
                <w:rFonts w:ascii="Calibri" w:hAnsi="Calibri" w:cs="Calibri"/>
                <w:sz w:val="20"/>
                <w:szCs w:val="20"/>
              </w:rPr>
              <w:t>Nampula (</w:t>
            </w:r>
            <w:r w:rsidR="00B20E4D" w:rsidRPr="00CF3673">
              <w:rPr>
                <w:rFonts w:ascii="Calibri" w:hAnsi="Calibri" w:cs="Calibri"/>
                <w:sz w:val="20"/>
                <w:szCs w:val="20"/>
              </w:rPr>
              <w:t>Província</w:t>
            </w:r>
            <w:r w:rsidR="00C84EA9" w:rsidRPr="00CF3673">
              <w:rPr>
                <w:rFonts w:ascii="Calibri" w:hAnsi="Calibri" w:cs="Calibri"/>
                <w:sz w:val="20"/>
                <w:szCs w:val="20"/>
              </w:rPr>
              <w:t xml:space="preserve"> de </w:t>
            </w:r>
            <w:r w:rsidRPr="00CF3673">
              <w:rPr>
                <w:rFonts w:ascii="Calibri" w:hAnsi="Calibri" w:cs="Calibri"/>
                <w:sz w:val="20"/>
                <w:szCs w:val="20"/>
              </w:rPr>
              <w:t>Nampula)</w:t>
            </w:r>
          </w:p>
        </w:tc>
        <w:tc>
          <w:tcPr>
            <w:tcW w:w="1524"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29</w:t>
            </w:r>
          </w:p>
        </w:tc>
        <w:tc>
          <w:tcPr>
            <w:tcW w:w="1859"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19</w:t>
            </w:r>
          </w:p>
        </w:tc>
        <w:tc>
          <w:tcPr>
            <w:tcW w:w="876"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48</w:t>
            </w:r>
          </w:p>
        </w:tc>
      </w:tr>
      <w:tr w:rsidR="00172B4B" w:rsidRPr="00CF3673" w:rsidTr="00AB06BA">
        <w:trPr>
          <w:trHeight w:val="255"/>
          <w:jc w:val="center"/>
        </w:trPr>
        <w:tc>
          <w:tcPr>
            <w:tcW w:w="2605" w:type="dxa"/>
            <w:tcBorders>
              <w:top w:val="nil"/>
              <w:left w:val="nil"/>
              <w:bottom w:val="nil"/>
              <w:right w:val="nil"/>
            </w:tcBorders>
            <w:shd w:val="clear" w:color="auto" w:fill="auto"/>
            <w:noWrap/>
            <w:vAlign w:val="bottom"/>
          </w:tcPr>
          <w:p w:rsidR="00172B4B" w:rsidRPr="00CF3673" w:rsidRDefault="00172B4B" w:rsidP="00172B4B">
            <w:pPr>
              <w:spacing w:after="0"/>
              <w:rPr>
                <w:rFonts w:ascii="Calibri" w:hAnsi="Calibri" w:cs="Calibri"/>
                <w:sz w:val="20"/>
                <w:szCs w:val="20"/>
              </w:rPr>
            </w:pPr>
            <w:r w:rsidRPr="00CF3673">
              <w:rPr>
                <w:rFonts w:ascii="Calibri" w:hAnsi="Calibri" w:cs="Calibri"/>
                <w:sz w:val="20"/>
                <w:szCs w:val="20"/>
              </w:rPr>
              <w:lastRenderedPageBreak/>
              <w:t>Nacala (</w:t>
            </w:r>
            <w:proofErr w:type="spellStart"/>
            <w:r w:rsidR="00B20E4D" w:rsidRPr="00CF3673">
              <w:rPr>
                <w:rFonts w:ascii="Calibri" w:hAnsi="Calibri" w:cs="Calibri"/>
                <w:sz w:val="20"/>
                <w:szCs w:val="20"/>
              </w:rPr>
              <w:t>Provícia</w:t>
            </w:r>
            <w:proofErr w:type="spellEnd"/>
            <w:r w:rsidR="00C84EA9" w:rsidRPr="00CF3673">
              <w:rPr>
                <w:rFonts w:ascii="Calibri" w:hAnsi="Calibri" w:cs="Calibri"/>
                <w:sz w:val="20"/>
                <w:szCs w:val="20"/>
              </w:rPr>
              <w:t xml:space="preserve"> de Nampula</w:t>
            </w:r>
            <w:r w:rsidRPr="00CF3673">
              <w:rPr>
                <w:rFonts w:ascii="Calibri" w:hAnsi="Calibri" w:cs="Calibri"/>
                <w:sz w:val="20"/>
                <w:szCs w:val="20"/>
              </w:rPr>
              <w:t>)</w:t>
            </w:r>
          </w:p>
        </w:tc>
        <w:tc>
          <w:tcPr>
            <w:tcW w:w="1524"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3</w:t>
            </w:r>
          </w:p>
        </w:tc>
        <w:tc>
          <w:tcPr>
            <w:tcW w:w="1859"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20</w:t>
            </w:r>
          </w:p>
        </w:tc>
        <w:tc>
          <w:tcPr>
            <w:tcW w:w="876"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23</w:t>
            </w:r>
          </w:p>
        </w:tc>
      </w:tr>
      <w:tr w:rsidR="00172B4B" w:rsidRPr="00CF3673" w:rsidTr="00AB06BA">
        <w:trPr>
          <w:trHeight w:val="255"/>
          <w:jc w:val="center"/>
        </w:trPr>
        <w:tc>
          <w:tcPr>
            <w:tcW w:w="2605" w:type="dxa"/>
            <w:tcBorders>
              <w:top w:val="nil"/>
              <w:left w:val="nil"/>
              <w:bottom w:val="nil"/>
              <w:right w:val="nil"/>
            </w:tcBorders>
            <w:shd w:val="clear" w:color="auto" w:fill="auto"/>
            <w:noWrap/>
            <w:vAlign w:val="bottom"/>
          </w:tcPr>
          <w:p w:rsidR="00172B4B" w:rsidRPr="00CF3673" w:rsidRDefault="00172B4B" w:rsidP="00172B4B">
            <w:pPr>
              <w:spacing w:after="0"/>
              <w:rPr>
                <w:rFonts w:ascii="Calibri" w:hAnsi="Calibri" w:cs="Calibri"/>
                <w:sz w:val="20"/>
                <w:szCs w:val="20"/>
              </w:rPr>
            </w:pPr>
            <w:r w:rsidRPr="00CF3673">
              <w:rPr>
                <w:rFonts w:ascii="Calibri" w:hAnsi="Calibri" w:cs="Calibri"/>
                <w:sz w:val="20"/>
                <w:szCs w:val="20"/>
              </w:rPr>
              <w:t>Chimoio</w:t>
            </w:r>
          </w:p>
        </w:tc>
        <w:tc>
          <w:tcPr>
            <w:tcW w:w="1524" w:type="dxa"/>
            <w:tcBorders>
              <w:top w:val="nil"/>
              <w:left w:val="nil"/>
              <w:bottom w:val="nil"/>
              <w:right w:val="nil"/>
            </w:tcBorders>
            <w:shd w:val="clear" w:color="auto" w:fill="auto"/>
            <w:noWrap/>
            <w:hideMark/>
          </w:tcPr>
          <w:p w:rsidR="00172B4B" w:rsidRPr="00CF3673" w:rsidRDefault="00AB06BA" w:rsidP="00172B4B">
            <w:pPr>
              <w:spacing w:after="0"/>
              <w:jc w:val="center"/>
              <w:rPr>
                <w:sz w:val="20"/>
                <w:szCs w:val="20"/>
              </w:rPr>
            </w:pPr>
            <w:r w:rsidRPr="00CF3673">
              <w:rPr>
                <w:sz w:val="20"/>
                <w:szCs w:val="20"/>
              </w:rPr>
              <w:t>7</w:t>
            </w:r>
          </w:p>
        </w:tc>
        <w:tc>
          <w:tcPr>
            <w:tcW w:w="1859" w:type="dxa"/>
            <w:tcBorders>
              <w:top w:val="nil"/>
              <w:left w:val="nil"/>
              <w:bottom w:val="nil"/>
              <w:right w:val="nil"/>
            </w:tcBorders>
            <w:shd w:val="clear" w:color="auto" w:fill="auto"/>
            <w:noWrap/>
            <w:hideMark/>
          </w:tcPr>
          <w:p w:rsidR="00172B4B" w:rsidRPr="00CF3673" w:rsidRDefault="00AB06BA" w:rsidP="00172B4B">
            <w:pPr>
              <w:spacing w:after="0"/>
              <w:jc w:val="center"/>
              <w:rPr>
                <w:sz w:val="20"/>
                <w:szCs w:val="20"/>
              </w:rPr>
            </w:pPr>
            <w:r w:rsidRPr="00CF3673">
              <w:rPr>
                <w:sz w:val="20"/>
                <w:szCs w:val="20"/>
              </w:rPr>
              <w:t>78</w:t>
            </w:r>
          </w:p>
        </w:tc>
        <w:tc>
          <w:tcPr>
            <w:tcW w:w="876"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85</w:t>
            </w:r>
          </w:p>
        </w:tc>
      </w:tr>
      <w:tr w:rsidR="00172B4B" w:rsidRPr="00CF3673" w:rsidTr="00AB06BA">
        <w:trPr>
          <w:trHeight w:val="255"/>
          <w:jc w:val="center"/>
        </w:trPr>
        <w:tc>
          <w:tcPr>
            <w:tcW w:w="2605" w:type="dxa"/>
            <w:tcBorders>
              <w:top w:val="nil"/>
              <w:left w:val="nil"/>
              <w:bottom w:val="nil"/>
              <w:right w:val="nil"/>
            </w:tcBorders>
            <w:shd w:val="clear" w:color="auto" w:fill="auto"/>
            <w:noWrap/>
            <w:vAlign w:val="bottom"/>
            <w:hideMark/>
          </w:tcPr>
          <w:p w:rsidR="00172B4B" w:rsidRPr="00CF3673" w:rsidRDefault="00172B4B" w:rsidP="00C84EA9">
            <w:pPr>
              <w:spacing w:after="0"/>
              <w:rPr>
                <w:rFonts w:ascii="Calibri" w:hAnsi="Calibri" w:cs="Calibri"/>
                <w:sz w:val="20"/>
                <w:szCs w:val="20"/>
              </w:rPr>
            </w:pPr>
            <w:r w:rsidRPr="00CF3673">
              <w:rPr>
                <w:rFonts w:ascii="Calibri" w:hAnsi="Calibri" w:cs="Calibri"/>
                <w:sz w:val="20"/>
                <w:szCs w:val="20"/>
              </w:rPr>
              <w:t>Tete (</w:t>
            </w:r>
            <w:r w:rsidR="00B20E4D" w:rsidRPr="00CF3673">
              <w:rPr>
                <w:rFonts w:ascii="Calibri" w:hAnsi="Calibri" w:cs="Calibri"/>
                <w:sz w:val="20"/>
                <w:szCs w:val="20"/>
              </w:rPr>
              <w:t>Província</w:t>
            </w:r>
            <w:r w:rsidR="00C84EA9" w:rsidRPr="00CF3673">
              <w:rPr>
                <w:rFonts w:ascii="Calibri" w:hAnsi="Calibri" w:cs="Calibri"/>
                <w:sz w:val="20"/>
                <w:szCs w:val="20"/>
              </w:rPr>
              <w:t xml:space="preserve"> </w:t>
            </w:r>
            <w:r w:rsidR="00B20E4D" w:rsidRPr="00CF3673">
              <w:rPr>
                <w:rFonts w:ascii="Calibri" w:hAnsi="Calibri" w:cs="Calibri"/>
                <w:sz w:val="20"/>
                <w:szCs w:val="20"/>
              </w:rPr>
              <w:t>de Tete</w:t>
            </w:r>
            <w:r w:rsidRPr="00CF3673">
              <w:rPr>
                <w:rFonts w:ascii="Calibri" w:hAnsi="Calibri" w:cs="Calibri"/>
                <w:sz w:val="20"/>
                <w:szCs w:val="20"/>
              </w:rPr>
              <w:t>)</w:t>
            </w:r>
          </w:p>
        </w:tc>
        <w:tc>
          <w:tcPr>
            <w:tcW w:w="1524"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0</w:t>
            </w:r>
          </w:p>
        </w:tc>
        <w:tc>
          <w:tcPr>
            <w:tcW w:w="1859"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36</w:t>
            </w:r>
          </w:p>
        </w:tc>
        <w:tc>
          <w:tcPr>
            <w:tcW w:w="876"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36</w:t>
            </w:r>
          </w:p>
        </w:tc>
      </w:tr>
      <w:tr w:rsidR="00172B4B" w:rsidRPr="00CF3673" w:rsidTr="00AB06BA">
        <w:trPr>
          <w:trHeight w:val="255"/>
          <w:jc w:val="center"/>
        </w:trPr>
        <w:tc>
          <w:tcPr>
            <w:tcW w:w="2605" w:type="dxa"/>
            <w:tcBorders>
              <w:top w:val="nil"/>
              <w:left w:val="nil"/>
              <w:bottom w:val="nil"/>
              <w:right w:val="nil"/>
            </w:tcBorders>
            <w:shd w:val="clear" w:color="auto" w:fill="auto"/>
            <w:noWrap/>
            <w:vAlign w:val="bottom"/>
            <w:hideMark/>
          </w:tcPr>
          <w:p w:rsidR="00172B4B" w:rsidRPr="00CF3673" w:rsidRDefault="00172B4B" w:rsidP="00AF30EB">
            <w:pPr>
              <w:spacing w:after="0"/>
              <w:rPr>
                <w:rFonts w:ascii="Calibri" w:hAnsi="Calibri" w:cs="Calibri"/>
                <w:sz w:val="20"/>
                <w:szCs w:val="20"/>
              </w:rPr>
            </w:pPr>
            <w:proofErr w:type="spellStart"/>
            <w:r w:rsidRPr="00CF3673">
              <w:rPr>
                <w:rFonts w:ascii="Calibri" w:hAnsi="Calibri" w:cs="Calibri"/>
                <w:sz w:val="20"/>
                <w:szCs w:val="20"/>
              </w:rPr>
              <w:t>Moatize</w:t>
            </w:r>
            <w:proofErr w:type="spellEnd"/>
            <w:r w:rsidRPr="00CF3673">
              <w:rPr>
                <w:rFonts w:ascii="Calibri" w:hAnsi="Calibri" w:cs="Calibri"/>
                <w:sz w:val="20"/>
                <w:szCs w:val="20"/>
              </w:rPr>
              <w:t xml:space="preserve"> (</w:t>
            </w:r>
            <w:r w:rsidR="00B20E4D" w:rsidRPr="00CF3673">
              <w:rPr>
                <w:rFonts w:ascii="Calibri" w:hAnsi="Calibri" w:cs="Calibri"/>
                <w:sz w:val="20"/>
                <w:szCs w:val="20"/>
              </w:rPr>
              <w:t>Província</w:t>
            </w:r>
            <w:r w:rsidR="00C84EA9" w:rsidRPr="00CF3673">
              <w:rPr>
                <w:rFonts w:ascii="Calibri" w:hAnsi="Calibri" w:cs="Calibri"/>
                <w:sz w:val="20"/>
                <w:szCs w:val="20"/>
              </w:rPr>
              <w:t xml:space="preserve"> </w:t>
            </w:r>
            <w:r w:rsidR="00B20E4D" w:rsidRPr="00CF3673">
              <w:rPr>
                <w:rFonts w:ascii="Calibri" w:hAnsi="Calibri" w:cs="Calibri"/>
                <w:sz w:val="20"/>
                <w:szCs w:val="20"/>
              </w:rPr>
              <w:t>de Tete</w:t>
            </w:r>
            <w:r w:rsidRPr="00CF3673">
              <w:rPr>
                <w:rFonts w:ascii="Calibri" w:hAnsi="Calibri" w:cs="Calibri"/>
                <w:sz w:val="20"/>
                <w:szCs w:val="20"/>
              </w:rPr>
              <w:t>)</w:t>
            </w:r>
          </w:p>
        </w:tc>
        <w:tc>
          <w:tcPr>
            <w:tcW w:w="1524"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0</w:t>
            </w:r>
          </w:p>
        </w:tc>
        <w:tc>
          <w:tcPr>
            <w:tcW w:w="1859" w:type="dxa"/>
            <w:tcBorders>
              <w:top w:val="nil"/>
              <w:left w:val="nil"/>
              <w:bottom w:val="nil"/>
              <w:right w:val="nil"/>
            </w:tcBorders>
            <w:shd w:val="clear" w:color="auto" w:fill="auto"/>
            <w:noWrap/>
            <w:hideMark/>
          </w:tcPr>
          <w:p w:rsidR="00172B4B" w:rsidRPr="00CF3673" w:rsidRDefault="00AB06BA" w:rsidP="00172B4B">
            <w:pPr>
              <w:spacing w:after="0"/>
              <w:jc w:val="center"/>
              <w:rPr>
                <w:sz w:val="20"/>
                <w:szCs w:val="20"/>
              </w:rPr>
            </w:pPr>
            <w:r w:rsidRPr="00CF3673">
              <w:rPr>
                <w:sz w:val="20"/>
                <w:szCs w:val="20"/>
              </w:rPr>
              <w:t>16</w:t>
            </w:r>
          </w:p>
        </w:tc>
        <w:tc>
          <w:tcPr>
            <w:tcW w:w="876" w:type="dxa"/>
            <w:tcBorders>
              <w:top w:val="nil"/>
              <w:left w:val="nil"/>
              <w:bottom w:val="nil"/>
              <w:right w:val="nil"/>
            </w:tcBorders>
            <w:shd w:val="clear" w:color="auto" w:fill="auto"/>
            <w:noWrap/>
            <w:hideMark/>
          </w:tcPr>
          <w:p w:rsidR="00172B4B" w:rsidRPr="00CF3673" w:rsidRDefault="00AB06BA" w:rsidP="00172B4B">
            <w:pPr>
              <w:spacing w:after="0"/>
              <w:jc w:val="center"/>
              <w:rPr>
                <w:sz w:val="20"/>
                <w:szCs w:val="20"/>
              </w:rPr>
            </w:pPr>
            <w:r w:rsidRPr="00CF3673">
              <w:rPr>
                <w:sz w:val="20"/>
                <w:szCs w:val="20"/>
              </w:rPr>
              <w:t>16</w:t>
            </w:r>
          </w:p>
        </w:tc>
      </w:tr>
      <w:tr w:rsidR="00172B4B" w:rsidRPr="00CF3673" w:rsidTr="00AB06BA">
        <w:trPr>
          <w:trHeight w:val="255"/>
          <w:jc w:val="center"/>
        </w:trPr>
        <w:tc>
          <w:tcPr>
            <w:tcW w:w="2605" w:type="dxa"/>
            <w:tcBorders>
              <w:top w:val="nil"/>
              <w:left w:val="nil"/>
              <w:bottom w:val="nil"/>
              <w:right w:val="nil"/>
            </w:tcBorders>
            <w:shd w:val="clear" w:color="auto" w:fill="auto"/>
            <w:noWrap/>
            <w:vAlign w:val="bottom"/>
            <w:hideMark/>
          </w:tcPr>
          <w:p w:rsidR="00172B4B" w:rsidRPr="00CF3673" w:rsidRDefault="00172B4B" w:rsidP="00172B4B">
            <w:pPr>
              <w:spacing w:after="0"/>
              <w:rPr>
                <w:rFonts w:ascii="Calibri" w:hAnsi="Calibri" w:cs="Calibri"/>
                <w:sz w:val="20"/>
                <w:szCs w:val="20"/>
              </w:rPr>
            </w:pPr>
            <w:proofErr w:type="spellStart"/>
            <w:r w:rsidRPr="00CF3673">
              <w:rPr>
                <w:rFonts w:ascii="Calibri" w:hAnsi="Calibri" w:cs="Calibri"/>
                <w:sz w:val="20"/>
                <w:szCs w:val="20"/>
              </w:rPr>
              <w:t>Xai-Xai</w:t>
            </w:r>
            <w:proofErr w:type="spellEnd"/>
            <w:r w:rsidRPr="00CF3673">
              <w:rPr>
                <w:rFonts w:ascii="Calibri" w:hAnsi="Calibri" w:cs="Calibri"/>
                <w:sz w:val="20"/>
                <w:szCs w:val="20"/>
              </w:rPr>
              <w:t xml:space="preserve"> (</w:t>
            </w:r>
            <w:r w:rsidR="00AF30EB" w:rsidRPr="00CF3673">
              <w:rPr>
                <w:rFonts w:ascii="Calibri" w:hAnsi="Calibri" w:cs="Calibri"/>
                <w:sz w:val="20"/>
                <w:szCs w:val="20"/>
              </w:rPr>
              <w:t>Província de Gaza</w:t>
            </w:r>
            <w:r w:rsidRPr="00CF3673">
              <w:rPr>
                <w:rFonts w:ascii="Calibri" w:hAnsi="Calibri" w:cs="Calibri"/>
                <w:sz w:val="20"/>
                <w:szCs w:val="20"/>
              </w:rPr>
              <w:t>)</w:t>
            </w:r>
          </w:p>
        </w:tc>
        <w:tc>
          <w:tcPr>
            <w:tcW w:w="1524"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0</w:t>
            </w:r>
          </w:p>
        </w:tc>
        <w:tc>
          <w:tcPr>
            <w:tcW w:w="1859"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44</w:t>
            </w:r>
          </w:p>
        </w:tc>
        <w:tc>
          <w:tcPr>
            <w:tcW w:w="876" w:type="dxa"/>
            <w:tcBorders>
              <w:top w:val="nil"/>
              <w:left w:val="nil"/>
              <w:bottom w:val="nil"/>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44</w:t>
            </w:r>
          </w:p>
        </w:tc>
      </w:tr>
      <w:tr w:rsidR="00172B4B" w:rsidRPr="00CF3673" w:rsidTr="00AB06BA">
        <w:trPr>
          <w:trHeight w:val="255"/>
          <w:jc w:val="center"/>
        </w:trPr>
        <w:tc>
          <w:tcPr>
            <w:tcW w:w="2605" w:type="dxa"/>
            <w:tcBorders>
              <w:top w:val="nil"/>
              <w:left w:val="nil"/>
              <w:bottom w:val="single" w:sz="4" w:space="0" w:color="auto"/>
              <w:right w:val="nil"/>
            </w:tcBorders>
            <w:shd w:val="clear" w:color="auto" w:fill="auto"/>
            <w:noWrap/>
            <w:vAlign w:val="bottom"/>
            <w:hideMark/>
          </w:tcPr>
          <w:p w:rsidR="00172B4B" w:rsidRPr="00CF3673" w:rsidRDefault="00B20E4D" w:rsidP="00172B4B">
            <w:pPr>
              <w:spacing w:after="0"/>
              <w:rPr>
                <w:rFonts w:ascii="Calibri" w:hAnsi="Calibri" w:cs="Calibri"/>
                <w:sz w:val="20"/>
                <w:szCs w:val="20"/>
              </w:rPr>
            </w:pPr>
            <w:proofErr w:type="spellStart"/>
            <w:r w:rsidRPr="00CF3673">
              <w:rPr>
                <w:rFonts w:ascii="Calibri" w:hAnsi="Calibri" w:cs="Calibri"/>
                <w:sz w:val="20"/>
                <w:szCs w:val="20"/>
              </w:rPr>
              <w:t>Chókwe</w:t>
            </w:r>
            <w:proofErr w:type="spellEnd"/>
            <w:r w:rsidR="00172B4B" w:rsidRPr="00CF3673">
              <w:rPr>
                <w:rFonts w:ascii="Calibri" w:hAnsi="Calibri" w:cs="Calibri"/>
                <w:sz w:val="20"/>
                <w:szCs w:val="20"/>
              </w:rPr>
              <w:t xml:space="preserve"> (</w:t>
            </w:r>
            <w:r w:rsidR="00AF30EB" w:rsidRPr="00CF3673">
              <w:rPr>
                <w:rFonts w:ascii="Calibri" w:hAnsi="Calibri" w:cs="Calibri"/>
                <w:sz w:val="20"/>
                <w:szCs w:val="20"/>
              </w:rPr>
              <w:t>Província de Gaza</w:t>
            </w:r>
            <w:r w:rsidR="00172B4B" w:rsidRPr="00CF3673">
              <w:rPr>
                <w:rFonts w:ascii="Calibri" w:hAnsi="Calibri" w:cs="Calibri"/>
                <w:sz w:val="20"/>
                <w:szCs w:val="20"/>
              </w:rPr>
              <w:t>)</w:t>
            </w:r>
          </w:p>
        </w:tc>
        <w:tc>
          <w:tcPr>
            <w:tcW w:w="1524" w:type="dxa"/>
            <w:tcBorders>
              <w:top w:val="nil"/>
              <w:left w:val="nil"/>
              <w:bottom w:val="single" w:sz="4" w:space="0" w:color="auto"/>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0</w:t>
            </w:r>
          </w:p>
        </w:tc>
        <w:tc>
          <w:tcPr>
            <w:tcW w:w="1859" w:type="dxa"/>
            <w:tcBorders>
              <w:top w:val="nil"/>
              <w:left w:val="nil"/>
              <w:bottom w:val="single" w:sz="4" w:space="0" w:color="auto"/>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29</w:t>
            </w:r>
          </w:p>
        </w:tc>
        <w:tc>
          <w:tcPr>
            <w:tcW w:w="876" w:type="dxa"/>
            <w:tcBorders>
              <w:top w:val="nil"/>
              <w:left w:val="nil"/>
              <w:bottom w:val="single" w:sz="4" w:space="0" w:color="auto"/>
              <w:right w:val="nil"/>
            </w:tcBorders>
            <w:shd w:val="clear" w:color="auto" w:fill="auto"/>
            <w:noWrap/>
            <w:hideMark/>
          </w:tcPr>
          <w:p w:rsidR="00172B4B" w:rsidRPr="00CF3673" w:rsidRDefault="00172B4B" w:rsidP="00172B4B">
            <w:pPr>
              <w:spacing w:after="0"/>
              <w:jc w:val="center"/>
              <w:rPr>
                <w:sz w:val="20"/>
                <w:szCs w:val="20"/>
              </w:rPr>
            </w:pPr>
            <w:r w:rsidRPr="00CF3673">
              <w:rPr>
                <w:sz w:val="20"/>
                <w:szCs w:val="20"/>
              </w:rPr>
              <w:t>29</w:t>
            </w:r>
          </w:p>
        </w:tc>
      </w:tr>
      <w:tr w:rsidR="00172B4B" w:rsidRPr="00CF3673" w:rsidTr="00AB06BA">
        <w:trPr>
          <w:trHeight w:val="270"/>
          <w:jc w:val="center"/>
        </w:trPr>
        <w:tc>
          <w:tcPr>
            <w:tcW w:w="2605" w:type="dxa"/>
            <w:tcBorders>
              <w:top w:val="nil"/>
              <w:left w:val="nil"/>
              <w:bottom w:val="double" w:sz="6" w:space="0" w:color="auto"/>
              <w:right w:val="nil"/>
            </w:tcBorders>
            <w:shd w:val="clear" w:color="auto" w:fill="auto"/>
            <w:noWrap/>
            <w:vAlign w:val="bottom"/>
            <w:hideMark/>
          </w:tcPr>
          <w:p w:rsidR="00172B4B" w:rsidRPr="00CF3673" w:rsidRDefault="00172B4B" w:rsidP="00172B4B">
            <w:pPr>
              <w:spacing w:after="0"/>
              <w:rPr>
                <w:rFonts w:ascii="Calibri" w:hAnsi="Calibri" w:cs="Calibri"/>
                <w:sz w:val="20"/>
                <w:szCs w:val="20"/>
              </w:rPr>
            </w:pPr>
            <w:r w:rsidRPr="00CF3673">
              <w:rPr>
                <w:rFonts w:ascii="Calibri" w:hAnsi="Calibri" w:cs="Calibri"/>
                <w:sz w:val="20"/>
                <w:szCs w:val="20"/>
              </w:rPr>
              <w:t>Total</w:t>
            </w:r>
          </w:p>
        </w:tc>
        <w:tc>
          <w:tcPr>
            <w:tcW w:w="1524" w:type="dxa"/>
            <w:tcBorders>
              <w:top w:val="nil"/>
              <w:left w:val="nil"/>
              <w:bottom w:val="double" w:sz="6" w:space="0" w:color="auto"/>
              <w:right w:val="nil"/>
            </w:tcBorders>
            <w:shd w:val="clear" w:color="auto" w:fill="auto"/>
            <w:noWrap/>
            <w:hideMark/>
          </w:tcPr>
          <w:p w:rsidR="00172B4B" w:rsidRPr="00CF3673" w:rsidRDefault="00172B4B" w:rsidP="00AB06BA">
            <w:pPr>
              <w:spacing w:after="0"/>
              <w:jc w:val="center"/>
              <w:rPr>
                <w:sz w:val="20"/>
                <w:szCs w:val="20"/>
              </w:rPr>
            </w:pPr>
            <w:r w:rsidRPr="00CF3673">
              <w:rPr>
                <w:sz w:val="20"/>
                <w:szCs w:val="20"/>
              </w:rPr>
              <w:t>21</w:t>
            </w:r>
            <w:r w:rsidR="00AB06BA" w:rsidRPr="00CF3673">
              <w:rPr>
                <w:sz w:val="20"/>
                <w:szCs w:val="20"/>
              </w:rPr>
              <w:t>6</w:t>
            </w:r>
          </w:p>
        </w:tc>
        <w:tc>
          <w:tcPr>
            <w:tcW w:w="1859" w:type="dxa"/>
            <w:tcBorders>
              <w:top w:val="nil"/>
              <w:left w:val="nil"/>
              <w:bottom w:val="double" w:sz="6" w:space="0" w:color="auto"/>
              <w:right w:val="nil"/>
            </w:tcBorders>
            <w:shd w:val="clear" w:color="auto" w:fill="auto"/>
            <w:noWrap/>
            <w:hideMark/>
          </w:tcPr>
          <w:p w:rsidR="00172B4B" w:rsidRPr="00CF3673" w:rsidRDefault="00172B4B" w:rsidP="00661429">
            <w:pPr>
              <w:spacing w:after="0"/>
              <w:jc w:val="center"/>
              <w:rPr>
                <w:sz w:val="20"/>
                <w:szCs w:val="20"/>
              </w:rPr>
            </w:pPr>
            <w:r w:rsidRPr="00CF3673">
              <w:rPr>
                <w:sz w:val="20"/>
                <w:szCs w:val="20"/>
              </w:rPr>
              <w:t>5</w:t>
            </w:r>
            <w:r w:rsidR="00661429" w:rsidRPr="00CF3673">
              <w:rPr>
                <w:sz w:val="20"/>
                <w:szCs w:val="20"/>
              </w:rPr>
              <w:t>45</w:t>
            </w:r>
          </w:p>
        </w:tc>
        <w:tc>
          <w:tcPr>
            <w:tcW w:w="876" w:type="dxa"/>
            <w:tcBorders>
              <w:top w:val="nil"/>
              <w:left w:val="nil"/>
              <w:bottom w:val="double" w:sz="6" w:space="0" w:color="auto"/>
              <w:right w:val="nil"/>
            </w:tcBorders>
            <w:shd w:val="clear" w:color="auto" w:fill="auto"/>
            <w:noWrap/>
            <w:hideMark/>
          </w:tcPr>
          <w:p w:rsidR="00172B4B" w:rsidRPr="00CF3673" w:rsidRDefault="00172B4B" w:rsidP="00661429">
            <w:pPr>
              <w:spacing w:after="0"/>
              <w:jc w:val="center"/>
              <w:rPr>
                <w:sz w:val="20"/>
                <w:szCs w:val="20"/>
              </w:rPr>
            </w:pPr>
            <w:r w:rsidRPr="00CF3673">
              <w:rPr>
                <w:sz w:val="20"/>
                <w:szCs w:val="20"/>
              </w:rPr>
              <w:t>76</w:t>
            </w:r>
            <w:r w:rsidR="00661429" w:rsidRPr="00CF3673">
              <w:rPr>
                <w:sz w:val="20"/>
                <w:szCs w:val="20"/>
              </w:rPr>
              <w:t>1</w:t>
            </w:r>
          </w:p>
        </w:tc>
      </w:tr>
      <w:tr w:rsidR="00AB06BA" w:rsidRPr="00CF3673" w:rsidTr="00AB06BA">
        <w:trPr>
          <w:trHeight w:val="270"/>
          <w:jc w:val="center"/>
        </w:trPr>
        <w:tc>
          <w:tcPr>
            <w:tcW w:w="6864" w:type="dxa"/>
            <w:gridSpan w:val="4"/>
            <w:tcBorders>
              <w:top w:val="double" w:sz="6" w:space="0" w:color="auto"/>
              <w:left w:val="nil"/>
              <w:bottom w:val="nil"/>
              <w:right w:val="nil"/>
            </w:tcBorders>
            <w:shd w:val="clear" w:color="auto" w:fill="auto"/>
            <w:noWrap/>
          </w:tcPr>
          <w:p w:rsidR="00AB06BA" w:rsidRPr="00CF3673" w:rsidRDefault="00AB06BA" w:rsidP="00AF30EB">
            <w:pPr>
              <w:pStyle w:val="Tablenote"/>
              <w:rPr>
                <w:b/>
                <w:lang w:val="pt-PT" w:eastAsia="zh-CN"/>
              </w:rPr>
            </w:pPr>
            <w:r w:rsidRPr="00CF3673">
              <w:rPr>
                <w:b/>
                <w:lang w:val="pt-PT" w:eastAsia="zh-CN"/>
              </w:rPr>
              <w:t>Not</w:t>
            </w:r>
            <w:r w:rsidR="00AF30EB" w:rsidRPr="00CF3673">
              <w:rPr>
                <w:b/>
                <w:lang w:val="pt-PT" w:eastAsia="zh-CN"/>
              </w:rPr>
              <w:t>a</w:t>
            </w:r>
            <w:r w:rsidRPr="00CF3673">
              <w:rPr>
                <w:b/>
                <w:lang w:val="pt-PT" w:eastAsia="zh-CN"/>
              </w:rPr>
              <w:t>:</w:t>
            </w:r>
            <w:r w:rsidRPr="00CF3673">
              <w:rPr>
                <w:lang w:val="pt-PT" w:eastAsia="zh-CN"/>
              </w:rPr>
              <w:t xml:space="preserve"> </w:t>
            </w:r>
            <w:r w:rsidR="00AF30EB" w:rsidRPr="00CF3673">
              <w:rPr>
                <w:lang w:val="pt-PT" w:eastAsia="zh-CN"/>
              </w:rPr>
              <w:t xml:space="preserve">Localização baseada na informação </w:t>
            </w:r>
            <w:r w:rsidR="00B20E4D" w:rsidRPr="00CF3673">
              <w:rPr>
                <w:lang w:val="pt-PT" w:eastAsia="zh-CN"/>
              </w:rPr>
              <w:t>disponível</w:t>
            </w:r>
            <w:r w:rsidR="00AF30EB" w:rsidRPr="00CF3673">
              <w:rPr>
                <w:lang w:val="pt-PT" w:eastAsia="zh-CN"/>
              </w:rPr>
              <w:t xml:space="preserve"> sobre localizações da sede e não Localização do local da entrevista</w:t>
            </w:r>
            <w:r w:rsidRPr="00CF3673">
              <w:rPr>
                <w:lang w:val="pt-PT" w:eastAsia="zh-CN"/>
              </w:rPr>
              <w:t>.</w:t>
            </w:r>
          </w:p>
        </w:tc>
      </w:tr>
      <w:tr w:rsidR="00AB06BA" w:rsidRPr="00CF3673" w:rsidTr="00AB06BA">
        <w:trPr>
          <w:trHeight w:val="270"/>
          <w:jc w:val="center"/>
        </w:trPr>
        <w:tc>
          <w:tcPr>
            <w:tcW w:w="6864" w:type="dxa"/>
            <w:gridSpan w:val="4"/>
            <w:tcBorders>
              <w:top w:val="nil"/>
              <w:left w:val="nil"/>
              <w:right w:val="nil"/>
            </w:tcBorders>
            <w:shd w:val="clear" w:color="auto" w:fill="auto"/>
            <w:noWrap/>
          </w:tcPr>
          <w:p w:rsidR="00AB06BA" w:rsidRPr="00CF3673" w:rsidRDefault="00AF30EB" w:rsidP="00AF30EB">
            <w:pPr>
              <w:pStyle w:val="Tablenote"/>
              <w:rPr>
                <w:b/>
                <w:lang w:val="pt-PT" w:eastAsia="zh-CN"/>
              </w:rPr>
            </w:pPr>
            <w:r w:rsidRPr="00CF3673">
              <w:rPr>
                <w:b/>
                <w:lang w:val="pt-PT" w:eastAsia="zh-CN"/>
              </w:rPr>
              <w:t>Fonte</w:t>
            </w:r>
            <w:r w:rsidR="00AB06BA" w:rsidRPr="00CF3673">
              <w:rPr>
                <w:b/>
                <w:lang w:val="pt-PT" w:eastAsia="zh-CN"/>
              </w:rPr>
              <w:t>:</w:t>
            </w:r>
            <w:r w:rsidR="00AB06BA" w:rsidRPr="00CF3673">
              <w:rPr>
                <w:lang w:val="pt-PT" w:eastAsia="zh-CN"/>
              </w:rPr>
              <w:t xml:space="preserve"> </w:t>
            </w:r>
            <w:r w:rsidR="00B20E4D" w:rsidRPr="00CF3673">
              <w:rPr>
                <w:lang w:val="pt-PT" w:eastAsia="zh-CN"/>
              </w:rPr>
              <w:t>Cálculos</w:t>
            </w:r>
            <w:r w:rsidRPr="00CF3673">
              <w:rPr>
                <w:lang w:val="pt-PT" w:eastAsia="zh-CN"/>
              </w:rPr>
              <w:t xml:space="preserve"> dos autores usando </w:t>
            </w:r>
            <w:r w:rsidR="00AB06BA" w:rsidRPr="00CF3673">
              <w:rPr>
                <w:lang w:val="pt-PT" w:eastAsia="zh-CN"/>
              </w:rPr>
              <w:t>IIM 2012.</w:t>
            </w:r>
          </w:p>
        </w:tc>
      </w:tr>
    </w:tbl>
    <w:p w:rsidR="00045D3E" w:rsidRPr="00CF3673" w:rsidRDefault="00045D3E" w:rsidP="00045D3E">
      <w:pPr>
        <w:jc w:val="both"/>
        <w:rPr>
          <w:rFonts w:ascii="Calibri" w:hAnsi="Calibri" w:cs="Calibri"/>
        </w:rPr>
      </w:pPr>
    </w:p>
    <w:p w:rsidR="00CE7CCB" w:rsidRPr="00CF3673" w:rsidRDefault="00B162AB" w:rsidP="001E664B">
      <w:pPr>
        <w:pStyle w:val="MainText"/>
        <w:rPr>
          <w:lang w:val="pt-PT"/>
        </w:rPr>
      </w:pPr>
      <w:r w:rsidRPr="00CF3673">
        <w:rPr>
          <w:lang w:val="pt-PT"/>
        </w:rPr>
        <w:t xml:space="preserve">O questionário utilizado é baseado </w:t>
      </w:r>
      <w:r w:rsidR="00CE7CCB" w:rsidRPr="00CF3673">
        <w:rPr>
          <w:lang w:val="pt-PT"/>
        </w:rPr>
        <w:t>num outro usado no inquérito do DNEAP 2006 para facilitar compara</w:t>
      </w:r>
      <w:r w:rsidR="00C440A6" w:rsidRPr="00CF3673">
        <w:rPr>
          <w:lang w:val="pt-PT"/>
        </w:rPr>
        <w:t>ção</w:t>
      </w:r>
      <w:r w:rsidR="00CE7CCB" w:rsidRPr="00CF3673">
        <w:rPr>
          <w:lang w:val="pt-PT"/>
        </w:rPr>
        <w:t>. De qualquer modo, particularmente nas secções relativas à rede social e ambiente de negócio foi incluída uma nova secção sobre informalidade. O questionário contém um total de 156 perguntas divididas em 12 secções como mostra a tabela 2.7.</w:t>
      </w:r>
    </w:p>
    <w:p w:rsidR="00BD18AE" w:rsidRPr="00CF3673" w:rsidRDefault="00BD18AE" w:rsidP="00126BB3">
      <w:pPr>
        <w:pStyle w:val="MainText"/>
        <w:rPr>
          <w:lang w:val="pt-PT"/>
        </w:rPr>
      </w:pPr>
      <w:r w:rsidRPr="00CF3673">
        <w:rPr>
          <w:lang w:val="pt-PT"/>
        </w:rPr>
        <w:t xml:space="preserve">Dado que o inquérito de 2012 é baseado no questionário do DNEAP06, a comparação destes dois é </w:t>
      </w:r>
      <w:r w:rsidR="00B20E4D" w:rsidRPr="00CF3673">
        <w:rPr>
          <w:lang w:val="pt-PT"/>
        </w:rPr>
        <w:t>fácil</w:t>
      </w:r>
      <w:r w:rsidRPr="00CF3673">
        <w:rPr>
          <w:lang w:val="pt-PT"/>
        </w:rPr>
        <w:t xml:space="preserve">. Por outro lado, o ICA09 foi conduzido usando o questionário padrão do Banco Mundial para Avaliação do Clima de Investimentos, assim a comparação não pode ser tomada de </w:t>
      </w:r>
      <w:r w:rsidR="00B20E4D" w:rsidRPr="00CF3673">
        <w:rPr>
          <w:lang w:val="pt-PT"/>
        </w:rPr>
        <w:t>ânimo</w:t>
      </w:r>
      <w:r w:rsidRPr="00CF3673">
        <w:rPr>
          <w:lang w:val="pt-PT"/>
        </w:rPr>
        <w:t xml:space="preserve"> leve. Comentários e observações serão feitos se a dimensão do painel tiver algumas inconsistências.</w:t>
      </w:r>
    </w:p>
    <w:p w:rsidR="00E46FC3" w:rsidRPr="00CF3673" w:rsidRDefault="00E46FC3" w:rsidP="00B06D3F">
      <w:pPr>
        <w:pStyle w:val="TableTitle"/>
        <w:rPr>
          <w:lang w:val="pt-PT"/>
        </w:rPr>
      </w:pPr>
      <w:bookmarkStart w:id="19" w:name="_Toc360720439"/>
      <w:r w:rsidRPr="00CF3673">
        <w:rPr>
          <w:lang w:val="pt-PT"/>
        </w:rPr>
        <w:t>Tab</w:t>
      </w:r>
      <w:r w:rsidR="00BD18AE" w:rsidRPr="00CF3673">
        <w:rPr>
          <w:lang w:val="pt-PT"/>
        </w:rPr>
        <w:t>e</w:t>
      </w:r>
      <w:r w:rsidRPr="00CF3673">
        <w:rPr>
          <w:lang w:val="pt-PT"/>
        </w:rPr>
        <w:t>l</w:t>
      </w:r>
      <w:r w:rsidR="00BD18AE" w:rsidRPr="00CF3673">
        <w:rPr>
          <w:lang w:val="pt-PT"/>
        </w:rPr>
        <w:t>a</w:t>
      </w:r>
      <w:r w:rsidRPr="00CF3673">
        <w:rPr>
          <w:lang w:val="pt-PT"/>
        </w:rPr>
        <w:t xml:space="preserve"> 2.</w:t>
      </w:r>
      <w:r w:rsidR="004D2EFF" w:rsidRPr="00CF3673">
        <w:rPr>
          <w:lang w:val="pt-PT"/>
        </w:rPr>
        <w:t>7</w:t>
      </w:r>
      <w:r w:rsidR="001B37E3" w:rsidRPr="00CF3673">
        <w:rPr>
          <w:lang w:val="pt-PT"/>
        </w:rPr>
        <w:t xml:space="preserve">: </w:t>
      </w:r>
      <w:r w:rsidR="00B20E4D" w:rsidRPr="00CF3673">
        <w:rPr>
          <w:lang w:val="pt-PT"/>
        </w:rPr>
        <w:t>Estrutura</w:t>
      </w:r>
      <w:r w:rsidR="00BD18AE" w:rsidRPr="00CF3673">
        <w:rPr>
          <w:lang w:val="pt-PT"/>
        </w:rPr>
        <w:t xml:space="preserve"> do </w:t>
      </w:r>
      <w:r w:rsidR="001B37E3" w:rsidRPr="00CF3673">
        <w:rPr>
          <w:lang w:val="pt-PT"/>
        </w:rPr>
        <w:t>Question</w:t>
      </w:r>
      <w:r w:rsidR="00BD18AE" w:rsidRPr="00CF3673">
        <w:rPr>
          <w:lang w:val="pt-PT"/>
        </w:rPr>
        <w:t>ário</w:t>
      </w:r>
      <w:bookmarkEnd w:id="19"/>
    </w:p>
    <w:tbl>
      <w:tblPr>
        <w:tblStyle w:val="StandardTable"/>
        <w:tblW w:w="0" w:type="auto"/>
        <w:jc w:val="center"/>
        <w:tblLayout w:type="fixed"/>
        <w:tblLook w:val="0000" w:firstRow="0" w:lastRow="0" w:firstColumn="0" w:lastColumn="0" w:noHBand="0" w:noVBand="0"/>
      </w:tblPr>
      <w:tblGrid>
        <w:gridCol w:w="1032"/>
        <w:gridCol w:w="5189"/>
      </w:tblGrid>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A</w:t>
            </w:r>
          </w:p>
        </w:tc>
        <w:tc>
          <w:tcPr>
            <w:tcW w:w="5189" w:type="dxa"/>
          </w:tcPr>
          <w:p w:rsidR="00A95A4F" w:rsidRPr="00CF3673" w:rsidRDefault="00BD18AE" w:rsidP="00BD18AE">
            <w:pPr>
              <w:autoSpaceDE w:val="0"/>
              <w:autoSpaceDN w:val="0"/>
              <w:adjustRightInd w:val="0"/>
              <w:rPr>
                <w:rFonts w:cs="Times New Roman"/>
                <w:color w:val="000000"/>
                <w:szCs w:val="20"/>
              </w:rPr>
            </w:pPr>
            <w:r w:rsidRPr="00CF3673">
              <w:rPr>
                <w:rFonts w:cs="Times New Roman"/>
                <w:color w:val="000000"/>
                <w:szCs w:val="20"/>
              </w:rPr>
              <w:t>Informação ge</w:t>
            </w:r>
            <w:r w:rsidR="00A95A4F" w:rsidRPr="00CF3673">
              <w:rPr>
                <w:rFonts w:cs="Times New Roman"/>
                <w:color w:val="000000"/>
                <w:szCs w:val="20"/>
              </w:rPr>
              <w:t>ral</w:t>
            </w:r>
            <w:r w:rsidRPr="00CF3673">
              <w:rPr>
                <w:rFonts w:cs="Times New Roman"/>
                <w:color w:val="000000"/>
                <w:szCs w:val="20"/>
              </w:rPr>
              <w:t xml:space="preserve"> sobre a empresa</w:t>
            </w:r>
          </w:p>
        </w:tc>
      </w:tr>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B</w:t>
            </w:r>
          </w:p>
        </w:tc>
        <w:tc>
          <w:tcPr>
            <w:tcW w:w="5189" w:type="dxa"/>
          </w:tcPr>
          <w:p w:rsidR="00A95A4F" w:rsidRPr="00CF3673" w:rsidRDefault="00BD18AE" w:rsidP="00BD18AE">
            <w:pPr>
              <w:autoSpaceDE w:val="0"/>
              <w:autoSpaceDN w:val="0"/>
              <w:adjustRightInd w:val="0"/>
              <w:rPr>
                <w:rFonts w:cs="Times New Roman"/>
                <w:color w:val="000000"/>
                <w:szCs w:val="20"/>
              </w:rPr>
            </w:pPr>
            <w:r w:rsidRPr="00CF3673">
              <w:rPr>
                <w:rFonts w:cs="Times New Roman"/>
                <w:color w:val="000000"/>
                <w:szCs w:val="20"/>
              </w:rPr>
              <w:t>Emprego</w:t>
            </w:r>
          </w:p>
        </w:tc>
      </w:tr>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C</w:t>
            </w:r>
          </w:p>
        </w:tc>
        <w:tc>
          <w:tcPr>
            <w:tcW w:w="5189" w:type="dxa"/>
          </w:tcPr>
          <w:p w:rsidR="00A95A4F" w:rsidRPr="00CF3673" w:rsidRDefault="00B20E4D" w:rsidP="00BD18AE">
            <w:pPr>
              <w:autoSpaceDE w:val="0"/>
              <w:autoSpaceDN w:val="0"/>
              <w:adjustRightInd w:val="0"/>
              <w:rPr>
                <w:rFonts w:cs="Times New Roman"/>
                <w:color w:val="000000"/>
                <w:szCs w:val="20"/>
              </w:rPr>
            </w:pPr>
            <w:r w:rsidRPr="00CF3673">
              <w:rPr>
                <w:rFonts w:cs="Times New Roman"/>
                <w:color w:val="000000"/>
                <w:szCs w:val="20"/>
              </w:rPr>
              <w:t>Características</w:t>
            </w:r>
            <w:r w:rsidR="00BD18AE" w:rsidRPr="00CF3673">
              <w:rPr>
                <w:rFonts w:cs="Times New Roman"/>
                <w:color w:val="000000"/>
                <w:szCs w:val="20"/>
              </w:rPr>
              <w:t xml:space="preserve"> do proprietário e Director Geral</w:t>
            </w:r>
          </w:p>
        </w:tc>
      </w:tr>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D</w:t>
            </w:r>
          </w:p>
        </w:tc>
        <w:tc>
          <w:tcPr>
            <w:tcW w:w="5189" w:type="dxa"/>
          </w:tcPr>
          <w:p w:rsidR="00A95A4F" w:rsidRPr="00CF3673" w:rsidRDefault="00A95A4F" w:rsidP="00BD18AE">
            <w:pPr>
              <w:autoSpaceDE w:val="0"/>
              <w:autoSpaceDN w:val="0"/>
              <w:adjustRightInd w:val="0"/>
              <w:rPr>
                <w:rFonts w:cs="Times New Roman"/>
                <w:color w:val="000000"/>
                <w:szCs w:val="20"/>
              </w:rPr>
            </w:pPr>
            <w:r w:rsidRPr="00CF3673">
              <w:rPr>
                <w:rFonts w:cs="Times New Roman"/>
                <w:color w:val="000000"/>
                <w:szCs w:val="20"/>
              </w:rPr>
              <w:t>Invest</w:t>
            </w:r>
            <w:r w:rsidR="00BD18AE" w:rsidRPr="00CF3673">
              <w:rPr>
                <w:rFonts w:cs="Times New Roman"/>
                <w:color w:val="000000"/>
                <w:szCs w:val="20"/>
              </w:rPr>
              <w:t>i</w:t>
            </w:r>
            <w:r w:rsidRPr="00CF3673">
              <w:rPr>
                <w:rFonts w:cs="Times New Roman"/>
                <w:color w:val="000000"/>
                <w:szCs w:val="20"/>
              </w:rPr>
              <w:t>ment</w:t>
            </w:r>
            <w:r w:rsidR="00BD18AE" w:rsidRPr="00CF3673">
              <w:rPr>
                <w:rFonts w:cs="Times New Roman"/>
                <w:color w:val="000000"/>
                <w:szCs w:val="20"/>
              </w:rPr>
              <w:t>o</w:t>
            </w:r>
            <w:r w:rsidRPr="00CF3673">
              <w:rPr>
                <w:rFonts w:cs="Times New Roman"/>
                <w:color w:val="000000"/>
                <w:szCs w:val="20"/>
              </w:rPr>
              <w:t xml:space="preserve"> </w:t>
            </w:r>
            <w:r w:rsidR="00BD18AE" w:rsidRPr="00CF3673">
              <w:rPr>
                <w:rFonts w:cs="Times New Roman"/>
                <w:color w:val="000000"/>
                <w:szCs w:val="20"/>
              </w:rPr>
              <w:t>e</w:t>
            </w:r>
            <w:r w:rsidRPr="00CF3673">
              <w:rPr>
                <w:rFonts w:cs="Times New Roman"/>
                <w:color w:val="000000"/>
                <w:szCs w:val="20"/>
              </w:rPr>
              <w:t xml:space="preserve"> R&amp;D</w:t>
            </w:r>
          </w:p>
        </w:tc>
      </w:tr>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E</w:t>
            </w:r>
          </w:p>
        </w:tc>
        <w:tc>
          <w:tcPr>
            <w:tcW w:w="5189" w:type="dxa"/>
          </w:tcPr>
          <w:p w:rsidR="00A95A4F" w:rsidRPr="00CF3673" w:rsidRDefault="00A95A4F" w:rsidP="00BD18AE">
            <w:pPr>
              <w:autoSpaceDE w:val="0"/>
              <w:autoSpaceDN w:val="0"/>
              <w:adjustRightInd w:val="0"/>
              <w:rPr>
                <w:rFonts w:cs="Times New Roman"/>
                <w:color w:val="000000"/>
                <w:szCs w:val="20"/>
              </w:rPr>
            </w:pPr>
            <w:r w:rsidRPr="00CF3673">
              <w:rPr>
                <w:rFonts w:cs="Times New Roman"/>
                <w:color w:val="000000"/>
                <w:szCs w:val="20"/>
              </w:rPr>
              <w:t>Export</w:t>
            </w:r>
            <w:r w:rsidR="00BD18AE" w:rsidRPr="00CF3673">
              <w:rPr>
                <w:rFonts w:cs="Times New Roman"/>
                <w:color w:val="000000"/>
                <w:szCs w:val="20"/>
              </w:rPr>
              <w:t xml:space="preserve">ações e </w:t>
            </w:r>
            <w:r w:rsidRPr="00CF3673">
              <w:rPr>
                <w:rFonts w:cs="Times New Roman"/>
                <w:color w:val="000000"/>
                <w:szCs w:val="20"/>
              </w:rPr>
              <w:t>Import</w:t>
            </w:r>
            <w:r w:rsidR="00BD18AE" w:rsidRPr="00CF3673">
              <w:rPr>
                <w:rFonts w:cs="Times New Roman"/>
                <w:color w:val="000000"/>
                <w:szCs w:val="20"/>
              </w:rPr>
              <w:t>ações</w:t>
            </w:r>
          </w:p>
        </w:tc>
      </w:tr>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F</w:t>
            </w:r>
          </w:p>
        </w:tc>
        <w:tc>
          <w:tcPr>
            <w:tcW w:w="5189" w:type="dxa"/>
          </w:tcPr>
          <w:p w:rsidR="00A95A4F" w:rsidRPr="00CF3673" w:rsidRDefault="00BD18AE" w:rsidP="00BD18AE">
            <w:pPr>
              <w:autoSpaceDE w:val="0"/>
              <w:autoSpaceDN w:val="0"/>
              <w:adjustRightInd w:val="0"/>
              <w:rPr>
                <w:rFonts w:cs="Times New Roman"/>
                <w:color w:val="000000"/>
                <w:szCs w:val="20"/>
              </w:rPr>
            </w:pPr>
            <w:r w:rsidRPr="00CF3673">
              <w:rPr>
                <w:rFonts w:cs="Times New Roman"/>
                <w:color w:val="000000"/>
                <w:szCs w:val="20"/>
              </w:rPr>
              <w:t>Impostos</w:t>
            </w:r>
            <w:r w:rsidR="00A95A4F" w:rsidRPr="00CF3673">
              <w:rPr>
                <w:rFonts w:cs="Times New Roman"/>
                <w:color w:val="000000"/>
                <w:szCs w:val="20"/>
              </w:rPr>
              <w:t xml:space="preserve">, </w:t>
            </w:r>
            <w:r w:rsidRPr="00CF3673">
              <w:rPr>
                <w:rFonts w:cs="Times New Roman"/>
                <w:color w:val="000000"/>
                <w:szCs w:val="20"/>
              </w:rPr>
              <w:t>Impostos e custo do sector informal</w:t>
            </w:r>
          </w:p>
        </w:tc>
      </w:tr>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G</w:t>
            </w:r>
          </w:p>
        </w:tc>
        <w:tc>
          <w:tcPr>
            <w:tcW w:w="5189" w:type="dxa"/>
          </w:tcPr>
          <w:p w:rsidR="00A95A4F" w:rsidRPr="00CF3673" w:rsidRDefault="00B20E4D" w:rsidP="00BD18AE">
            <w:pPr>
              <w:autoSpaceDE w:val="0"/>
              <w:autoSpaceDN w:val="0"/>
              <w:adjustRightInd w:val="0"/>
              <w:rPr>
                <w:rFonts w:cs="Times New Roman"/>
                <w:color w:val="000000"/>
                <w:szCs w:val="20"/>
              </w:rPr>
            </w:pPr>
            <w:r w:rsidRPr="00CF3673">
              <w:rPr>
                <w:rFonts w:cs="Times New Roman"/>
                <w:color w:val="000000"/>
                <w:szCs w:val="20"/>
              </w:rPr>
              <w:t>Competição</w:t>
            </w:r>
          </w:p>
        </w:tc>
      </w:tr>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H</w:t>
            </w:r>
          </w:p>
        </w:tc>
        <w:tc>
          <w:tcPr>
            <w:tcW w:w="5189" w:type="dxa"/>
          </w:tcPr>
          <w:p w:rsidR="00A95A4F" w:rsidRPr="00CF3673" w:rsidRDefault="00BD18AE" w:rsidP="00BD18AE">
            <w:pPr>
              <w:autoSpaceDE w:val="0"/>
              <w:autoSpaceDN w:val="0"/>
              <w:adjustRightInd w:val="0"/>
              <w:rPr>
                <w:rFonts w:cs="Times New Roman"/>
                <w:color w:val="000000"/>
                <w:szCs w:val="20"/>
              </w:rPr>
            </w:pPr>
            <w:r w:rsidRPr="00CF3673">
              <w:rPr>
                <w:rFonts w:cs="Times New Roman"/>
                <w:color w:val="000000"/>
                <w:szCs w:val="20"/>
              </w:rPr>
              <w:t>Ac</w:t>
            </w:r>
            <w:r w:rsidR="00A95A4F" w:rsidRPr="00CF3673">
              <w:rPr>
                <w:rFonts w:cs="Times New Roman"/>
                <w:color w:val="000000"/>
                <w:szCs w:val="20"/>
              </w:rPr>
              <w:t>ess</w:t>
            </w:r>
            <w:r w:rsidRPr="00CF3673">
              <w:rPr>
                <w:rFonts w:cs="Times New Roman"/>
                <w:color w:val="000000"/>
                <w:szCs w:val="20"/>
              </w:rPr>
              <w:t>o</w:t>
            </w:r>
            <w:r w:rsidR="00A95A4F" w:rsidRPr="00CF3673">
              <w:rPr>
                <w:rFonts w:cs="Times New Roman"/>
                <w:color w:val="000000"/>
                <w:szCs w:val="20"/>
              </w:rPr>
              <w:t xml:space="preserve"> </w:t>
            </w:r>
            <w:r w:rsidRPr="00CF3673">
              <w:rPr>
                <w:rFonts w:cs="Times New Roman"/>
                <w:color w:val="000000"/>
                <w:szCs w:val="20"/>
              </w:rPr>
              <w:t>ao</w:t>
            </w:r>
            <w:r w:rsidR="00A95A4F" w:rsidRPr="00CF3673">
              <w:rPr>
                <w:rFonts w:cs="Times New Roman"/>
                <w:color w:val="000000"/>
                <w:szCs w:val="20"/>
              </w:rPr>
              <w:t xml:space="preserve"> Financ</w:t>
            </w:r>
            <w:r w:rsidRPr="00CF3673">
              <w:rPr>
                <w:rFonts w:cs="Times New Roman"/>
                <w:color w:val="000000"/>
                <w:szCs w:val="20"/>
              </w:rPr>
              <w:t>iamento</w:t>
            </w:r>
          </w:p>
        </w:tc>
      </w:tr>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I</w:t>
            </w:r>
          </w:p>
        </w:tc>
        <w:tc>
          <w:tcPr>
            <w:tcW w:w="5189" w:type="dxa"/>
          </w:tcPr>
          <w:p w:rsidR="00A95A4F" w:rsidRPr="00CF3673" w:rsidRDefault="00A95A4F" w:rsidP="00BD18AE">
            <w:pPr>
              <w:autoSpaceDE w:val="0"/>
              <w:autoSpaceDN w:val="0"/>
              <w:adjustRightInd w:val="0"/>
              <w:rPr>
                <w:rFonts w:cs="Times New Roman"/>
                <w:color w:val="000000"/>
                <w:szCs w:val="20"/>
              </w:rPr>
            </w:pPr>
            <w:r w:rsidRPr="00CF3673">
              <w:rPr>
                <w:rFonts w:cs="Times New Roman"/>
                <w:color w:val="000000"/>
                <w:szCs w:val="20"/>
              </w:rPr>
              <w:t>Networks, disput</w:t>
            </w:r>
            <w:r w:rsidR="00BD18AE" w:rsidRPr="00CF3673">
              <w:rPr>
                <w:rFonts w:cs="Times New Roman"/>
                <w:color w:val="000000"/>
                <w:szCs w:val="20"/>
              </w:rPr>
              <w:t>as</w:t>
            </w:r>
            <w:r w:rsidRPr="00CF3673">
              <w:rPr>
                <w:rFonts w:cs="Times New Roman"/>
                <w:color w:val="000000"/>
                <w:szCs w:val="20"/>
              </w:rPr>
              <w:t xml:space="preserve"> </w:t>
            </w:r>
            <w:r w:rsidR="00BD18AE" w:rsidRPr="00CF3673">
              <w:rPr>
                <w:rFonts w:cs="Times New Roman"/>
                <w:color w:val="000000"/>
                <w:szCs w:val="20"/>
              </w:rPr>
              <w:t xml:space="preserve">e </w:t>
            </w:r>
            <w:r w:rsidRPr="00CF3673">
              <w:rPr>
                <w:rFonts w:cs="Times New Roman"/>
                <w:color w:val="000000"/>
                <w:szCs w:val="20"/>
              </w:rPr>
              <w:t>reputa</w:t>
            </w:r>
            <w:r w:rsidR="00BD18AE" w:rsidRPr="00CF3673">
              <w:rPr>
                <w:rFonts w:cs="Times New Roman"/>
                <w:color w:val="000000"/>
                <w:szCs w:val="20"/>
              </w:rPr>
              <w:t>ção</w:t>
            </w:r>
          </w:p>
        </w:tc>
      </w:tr>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J</w:t>
            </w:r>
          </w:p>
        </w:tc>
        <w:tc>
          <w:tcPr>
            <w:tcW w:w="5189" w:type="dxa"/>
          </w:tcPr>
          <w:p w:rsidR="00A95A4F" w:rsidRPr="00CF3673" w:rsidRDefault="00BD18AE" w:rsidP="00BD18AE">
            <w:pPr>
              <w:autoSpaceDE w:val="0"/>
              <w:autoSpaceDN w:val="0"/>
              <w:adjustRightInd w:val="0"/>
              <w:rPr>
                <w:rFonts w:cs="Times New Roman"/>
                <w:color w:val="000000"/>
                <w:szCs w:val="20"/>
              </w:rPr>
            </w:pPr>
            <w:r w:rsidRPr="00CF3673">
              <w:rPr>
                <w:rFonts w:cs="Times New Roman"/>
                <w:color w:val="000000"/>
                <w:szCs w:val="20"/>
              </w:rPr>
              <w:t>Associação de Negócios</w:t>
            </w:r>
          </w:p>
        </w:tc>
      </w:tr>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K</w:t>
            </w:r>
          </w:p>
        </w:tc>
        <w:tc>
          <w:tcPr>
            <w:tcW w:w="5189" w:type="dxa"/>
          </w:tcPr>
          <w:p w:rsidR="00A95A4F" w:rsidRPr="00CF3673" w:rsidRDefault="00BD18AE" w:rsidP="00BD18AE">
            <w:pPr>
              <w:autoSpaceDE w:val="0"/>
              <w:autoSpaceDN w:val="0"/>
              <w:adjustRightInd w:val="0"/>
              <w:rPr>
                <w:rFonts w:cs="Times New Roman"/>
                <w:color w:val="000000"/>
                <w:szCs w:val="20"/>
              </w:rPr>
            </w:pPr>
            <w:r w:rsidRPr="00CF3673">
              <w:rPr>
                <w:rFonts w:cs="Times New Roman"/>
                <w:color w:val="000000"/>
                <w:szCs w:val="20"/>
              </w:rPr>
              <w:t>Empresas Informais</w:t>
            </w:r>
          </w:p>
        </w:tc>
      </w:tr>
      <w:tr w:rsidR="00A95A4F" w:rsidRPr="00CF3673" w:rsidTr="00FE410D">
        <w:trPr>
          <w:trHeight w:val="305"/>
          <w:jc w:val="center"/>
        </w:trPr>
        <w:tc>
          <w:tcPr>
            <w:tcW w:w="1032" w:type="dxa"/>
          </w:tcPr>
          <w:p w:rsidR="00A95A4F" w:rsidRPr="00CF3673" w:rsidRDefault="00A95A4F" w:rsidP="00E46FC3">
            <w:pPr>
              <w:autoSpaceDE w:val="0"/>
              <w:autoSpaceDN w:val="0"/>
              <w:adjustRightInd w:val="0"/>
              <w:jc w:val="center"/>
              <w:rPr>
                <w:rFonts w:cs="Calibri"/>
                <w:color w:val="000000"/>
                <w:szCs w:val="20"/>
              </w:rPr>
            </w:pPr>
            <w:r w:rsidRPr="00CF3673">
              <w:rPr>
                <w:rFonts w:cs="Calibri"/>
                <w:color w:val="000000"/>
                <w:szCs w:val="20"/>
              </w:rPr>
              <w:t>L</w:t>
            </w:r>
          </w:p>
        </w:tc>
        <w:tc>
          <w:tcPr>
            <w:tcW w:w="5189" w:type="dxa"/>
          </w:tcPr>
          <w:p w:rsidR="00A95A4F" w:rsidRPr="00CF3673" w:rsidRDefault="00BD18AE" w:rsidP="004C5559">
            <w:pPr>
              <w:autoSpaceDE w:val="0"/>
              <w:autoSpaceDN w:val="0"/>
              <w:adjustRightInd w:val="0"/>
              <w:rPr>
                <w:rFonts w:cs="Times New Roman"/>
                <w:color w:val="000000"/>
                <w:szCs w:val="20"/>
              </w:rPr>
            </w:pPr>
            <w:r w:rsidRPr="00CF3673">
              <w:rPr>
                <w:rFonts w:cs="Times New Roman"/>
                <w:color w:val="000000"/>
                <w:szCs w:val="20"/>
              </w:rPr>
              <w:t>S</w:t>
            </w:r>
            <w:r w:rsidR="004C5559" w:rsidRPr="00CF3673">
              <w:rPr>
                <w:rFonts w:cs="Times New Roman"/>
                <w:color w:val="000000"/>
                <w:szCs w:val="20"/>
              </w:rPr>
              <w:t>ituação</w:t>
            </w:r>
            <w:r w:rsidRPr="00CF3673">
              <w:rPr>
                <w:rFonts w:cs="Times New Roman"/>
                <w:color w:val="000000"/>
                <w:szCs w:val="20"/>
              </w:rPr>
              <w:t xml:space="preserve"> </w:t>
            </w:r>
            <w:r w:rsidR="00B20E4D" w:rsidRPr="00CF3673">
              <w:rPr>
                <w:rFonts w:cs="Times New Roman"/>
                <w:color w:val="000000"/>
                <w:szCs w:val="20"/>
              </w:rPr>
              <w:t>Económica</w:t>
            </w:r>
            <w:r w:rsidR="00A95A4F" w:rsidRPr="00CF3673">
              <w:rPr>
                <w:rFonts w:cs="Times New Roman"/>
                <w:color w:val="000000"/>
                <w:szCs w:val="20"/>
              </w:rPr>
              <w:t xml:space="preserve"> </w:t>
            </w:r>
            <w:r w:rsidRPr="00CF3673">
              <w:rPr>
                <w:rFonts w:cs="Times New Roman"/>
                <w:color w:val="000000"/>
                <w:szCs w:val="20"/>
              </w:rPr>
              <w:t>e ambiente geral de negócio</w:t>
            </w:r>
          </w:p>
        </w:tc>
      </w:tr>
    </w:tbl>
    <w:p w:rsidR="00C440A6" w:rsidRPr="00CF3673" w:rsidRDefault="00C440A6" w:rsidP="001E664B">
      <w:pPr>
        <w:pStyle w:val="SectionTitle"/>
        <w:rPr>
          <w:lang w:val="pt-PT"/>
        </w:rPr>
      </w:pPr>
      <w:bookmarkStart w:id="20" w:name="_Toc360720383"/>
    </w:p>
    <w:p w:rsidR="00C440A6" w:rsidRPr="00CF3673" w:rsidRDefault="00C440A6" w:rsidP="001E664B">
      <w:pPr>
        <w:pStyle w:val="SectionTitle"/>
        <w:rPr>
          <w:lang w:val="pt-PT"/>
        </w:rPr>
      </w:pPr>
    </w:p>
    <w:p w:rsidR="00E050BA" w:rsidRPr="00CF3673" w:rsidRDefault="0023112F" w:rsidP="001E664B">
      <w:pPr>
        <w:pStyle w:val="SectionTitle"/>
        <w:rPr>
          <w:lang w:val="pt-PT"/>
        </w:rPr>
      </w:pPr>
      <w:r w:rsidRPr="00CF3673">
        <w:rPr>
          <w:lang w:val="pt-PT"/>
        </w:rPr>
        <w:t>2.2</w:t>
      </w:r>
      <w:r w:rsidR="00E766FF" w:rsidRPr="00CF3673">
        <w:rPr>
          <w:lang w:val="pt-PT"/>
        </w:rPr>
        <w:t>.</w:t>
      </w:r>
      <w:r w:rsidRPr="00CF3673">
        <w:rPr>
          <w:lang w:val="pt-PT"/>
        </w:rPr>
        <w:t xml:space="preserve"> </w:t>
      </w:r>
      <w:r w:rsidR="00B06D3F" w:rsidRPr="00CF3673">
        <w:rPr>
          <w:lang w:val="pt-PT"/>
        </w:rPr>
        <w:t>Implementa</w:t>
      </w:r>
      <w:r w:rsidR="005C716B" w:rsidRPr="00CF3673">
        <w:rPr>
          <w:lang w:val="pt-PT"/>
        </w:rPr>
        <w:t>ção</w:t>
      </w:r>
      <w:r w:rsidR="00D1077A" w:rsidRPr="00CF3673">
        <w:rPr>
          <w:lang w:val="pt-PT"/>
        </w:rPr>
        <w:t xml:space="preserve"> </w:t>
      </w:r>
      <w:r w:rsidR="005C716B" w:rsidRPr="00CF3673">
        <w:rPr>
          <w:lang w:val="pt-PT"/>
        </w:rPr>
        <w:t xml:space="preserve">e </w:t>
      </w:r>
      <w:r w:rsidR="00D1077A" w:rsidRPr="00CF3673">
        <w:rPr>
          <w:lang w:val="pt-PT"/>
        </w:rPr>
        <w:t>valida</w:t>
      </w:r>
      <w:r w:rsidR="005C716B" w:rsidRPr="00CF3673">
        <w:rPr>
          <w:lang w:val="pt-PT"/>
        </w:rPr>
        <w:t>ção</w:t>
      </w:r>
      <w:bookmarkEnd w:id="20"/>
    </w:p>
    <w:p w:rsidR="005C716B" w:rsidRPr="00CF3673" w:rsidRDefault="005C716B" w:rsidP="001E664B">
      <w:pPr>
        <w:pStyle w:val="MainText"/>
        <w:rPr>
          <w:lang w:val="pt-PT"/>
        </w:rPr>
      </w:pPr>
      <w:r w:rsidRPr="00CF3673">
        <w:rPr>
          <w:lang w:val="pt-PT"/>
        </w:rPr>
        <w:lastRenderedPageBreak/>
        <w:t xml:space="preserve">Duma maneira geral a implementação foi conduzida pela CTA e inquiridores recrutados pela CTA com a DNEAP e DERG a prestarem assessoria e retorno. </w:t>
      </w:r>
      <w:r w:rsidR="007923BD" w:rsidRPr="00CF3673">
        <w:rPr>
          <w:lang w:val="pt-PT"/>
        </w:rPr>
        <w:t xml:space="preserve">A validação foi conduzida pela DERG com assistência da CTA. </w:t>
      </w:r>
    </w:p>
    <w:p w:rsidR="007923BD" w:rsidRPr="00CF3673" w:rsidRDefault="007923BD" w:rsidP="001E664B">
      <w:pPr>
        <w:pStyle w:val="MainText"/>
        <w:rPr>
          <w:lang w:val="pt-PT"/>
        </w:rPr>
      </w:pPr>
      <w:r w:rsidRPr="00CF3673">
        <w:rPr>
          <w:lang w:val="pt-PT"/>
        </w:rPr>
        <w:t xml:space="preserve">30 Inquiridores foram treinados (a maioria dos quais com previa experiencia na administração de </w:t>
      </w:r>
      <w:r w:rsidR="00B20E4D" w:rsidRPr="00CF3673">
        <w:rPr>
          <w:lang w:val="pt-PT"/>
        </w:rPr>
        <w:t>inquéritos</w:t>
      </w:r>
      <w:r w:rsidRPr="00CF3673">
        <w:rPr>
          <w:lang w:val="pt-PT"/>
        </w:rPr>
        <w:t>) e um inquérito piloto foi realizado a 42 empresas, lançada em Abril de 2012.</w:t>
      </w:r>
      <w:r w:rsidR="00D20279" w:rsidRPr="00CF3673">
        <w:rPr>
          <w:lang w:val="pt-PT"/>
        </w:rPr>
        <w:t xml:space="preserve"> As discussões havidas com os inquiridores apos a formação e inquérito piloto trouxeram elementos importantes para tornar o questionário e a </w:t>
      </w:r>
      <w:r w:rsidR="00B20E4D" w:rsidRPr="00CF3673">
        <w:rPr>
          <w:lang w:val="pt-PT"/>
        </w:rPr>
        <w:t>estratégia</w:t>
      </w:r>
      <w:r w:rsidR="00D20279" w:rsidRPr="00CF3673">
        <w:rPr>
          <w:lang w:val="pt-PT"/>
        </w:rPr>
        <w:t xml:space="preserve"> de amostragem funcional no campo.</w:t>
      </w:r>
    </w:p>
    <w:p w:rsidR="00D20279" w:rsidRPr="00CF3673" w:rsidRDefault="00D20279" w:rsidP="001E664B">
      <w:pPr>
        <w:pStyle w:val="MainText"/>
        <w:rPr>
          <w:lang w:val="pt-PT"/>
        </w:rPr>
      </w:pPr>
      <w:r w:rsidRPr="00CF3673">
        <w:rPr>
          <w:lang w:val="pt-PT"/>
        </w:rPr>
        <w:t>Os questionários foram preenchidos presencialmente, invariavelmente nas instalações da respectiva empresa. As entrevistas tiveram lugar no período</w:t>
      </w:r>
      <w:r w:rsidR="001A6B7C" w:rsidRPr="00CF3673">
        <w:rPr>
          <w:lang w:val="pt-PT"/>
        </w:rPr>
        <w:t xml:space="preserve"> entre</w:t>
      </w:r>
      <w:r w:rsidRPr="00CF3673">
        <w:rPr>
          <w:lang w:val="pt-PT"/>
        </w:rPr>
        <w:t xml:space="preserve"> Maio-Agosto de 2012. Nas províncias fora do Maputo, o processo foi conduzido por supervisores (inquiridores selecci</w:t>
      </w:r>
      <w:r w:rsidR="001A6B7C" w:rsidRPr="00CF3673">
        <w:rPr>
          <w:lang w:val="pt-PT"/>
        </w:rPr>
        <w:t>o</w:t>
      </w:r>
      <w:r w:rsidRPr="00CF3673">
        <w:rPr>
          <w:lang w:val="pt-PT"/>
        </w:rPr>
        <w:t>nados) liderando equipe</w:t>
      </w:r>
      <w:r w:rsidR="001A6B7C" w:rsidRPr="00CF3673">
        <w:rPr>
          <w:lang w:val="pt-PT"/>
        </w:rPr>
        <w:t>s até 5 inquiridores, enquanto em</w:t>
      </w:r>
      <w:r w:rsidRPr="00CF3673">
        <w:rPr>
          <w:lang w:val="pt-PT"/>
        </w:rPr>
        <w:t xml:space="preserve"> Maputo e Matola, as entrevistas foram coordenadas pela CTA em Maputo.</w:t>
      </w:r>
    </w:p>
    <w:p w:rsidR="00A23D96" w:rsidRPr="00CF3673" w:rsidRDefault="00D20279" w:rsidP="001E664B">
      <w:pPr>
        <w:pStyle w:val="MainText"/>
        <w:rPr>
          <w:lang w:val="pt-PT"/>
        </w:rPr>
      </w:pPr>
      <w:r w:rsidRPr="00CF3673">
        <w:rPr>
          <w:lang w:val="pt-PT"/>
        </w:rPr>
        <w:t>Durante e nas entrevistas seguintes, o pessoal da DERG visitou uma selecção de empresas (total de 85) em 6 das 7 províncias.</w:t>
      </w:r>
      <w:r w:rsidR="00D1077A" w:rsidRPr="00CF3673">
        <w:rPr>
          <w:lang w:val="pt-PT"/>
        </w:rPr>
        <w:t xml:space="preserve"> </w:t>
      </w:r>
      <w:r w:rsidR="00A23D96" w:rsidRPr="00CF3673">
        <w:rPr>
          <w:lang w:val="pt-PT"/>
        </w:rPr>
        <w:t>O propósito das visitas era para validar a qualidade dos dados recolhidos bem como compreender a situação das empresas do ponto de vista qualitativo.</w:t>
      </w:r>
      <w:r w:rsidR="00D1077A" w:rsidRPr="00CF3673">
        <w:rPr>
          <w:lang w:val="pt-PT"/>
        </w:rPr>
        <w:t xml:space="preserve"> </w:t>
      </w:r>
      <w:r w:rsidR="00A23D96" w:rsidRPr="00CF3673">
        <w:rPr>
          <w:lang w:val="pt-PT"/>
        </w:rPr>
        <w:t xml:space="preserve">Estas 85 entrevistas </w:t>
      </w:r>
      <w:r w:rsidR="00B20E4D" w:rsidRPr="00CF3673">
        <w:rPr>
          <w:lang w:val="pt-PT"/>
        </w:rPr>
        <w:t>semiestruturadas</w:t>
      </w:r>
      <w:r w:rsidR="00A23D96" w:rsidRPr="00CF3673">
        <w:rPr>
          <w:lang w:val="pt-PT"/>
        </w:rPr>
        <w:t xml:space="preserve"> servem como informação qualitativa a ser usada para complementar dos dados do IIM 2012.</w:t>
      </w:r>
    </w:p>
    <w:p w:rsidR="00A23D96" w:rsidRPr="00CF3673" w:rsidRDefault="00A23D96" w:rsidP="001E664B">
      <w:pPr>
        <w:pStyle w:val="MainText"/>
        <w:rPr>
          <w:lang w:val="pt-PT"/>
        </w:rPr>
      </w:pPr>
      <w:r w:rsidRPr="00CF3673">
        <w:rPr>
          <w:lang w:val="pt-PT"/>
        </w:rPr>
        <w:t>Devido aos problemas d</w:t>
      </w:r>
      <w:r w:rsidR="001A6B7C" w:rsidRPr="00CF3673">
        <w:rPr>
          <w:lang w:val="pt-PT"/>
        </w:rPr>
        <w:t xml:space="preserve">e registo das </w:t>
      </w:r>
      <w:r w:rsidRPr="00CF3673">
        <w:rPr>
          <w:lang w:val="pt-PT"/>
        </w:rPr>
        <w:t xml:space="preserve">empresas e haver grande percentagem </w:t>
      </w:r>
      <w:r w:rsidR="001A6B7C" w:rsidRPr="00CF3673">
        <w:rPr>
          <w:lang w:val="pt-PT"/>
        </w:rPr>
        <w:t xml:space="preserve">de empresas </w:t>
      </w:r>
      <w:r w:rsidRPr="00CF3673">
        <w:rPr>
          <w:lang w:val="pt-PT"/>
        </w:rPr>
        <w:t xml:space="preserve">que não providenciou informação </w:t>
      </w:r>
      <w:r w:rsidR="00B20E4D" w:rsidRPr="00CF3673">
        <w:rPr>
          <w:lang w:val="pt-PT"/>
        </w:rPr>
        <w:t>contabilística</w:t>
      </w:r>
      <w:r w:rsidRPr="00CF3673">
        <w:rPr>
          <w:lang w:val="pt-PT"/>
        </w:rPr>
        <w:t xml:space="preserve">, entrevistas de seguimento por </w:t>
      </w:r>
      <w:r w:rsidR="00B20E4D" w:rsidRPr="00CF3673">
        <w:rPr>
          <w:lang w:val="pt-PT"/>
        </w:rPr>
        <w:t>telefone</w:t>
      </w:r>
      <w:r w:rsidRPr="00CF3673">
        <w:rPr>
          <w:lang w:val="pt-PT"/>
        </w:rPr>
        <w:t xml:space="preserve"> com toda a amostra foram conduzidas em Agosto e Setembro de 2012 para clarificar o sector da</w:t>
      </w:r>
      <w:r w:rsidR="001A6B7C" w:rsidRPr="00CF3673">
        <w:rPr>
          <w:lang w:val="pt-PT"/>
        </w:rPr>
        <w:t>s</w:t>
      </w:r>
      <w:r w:rsidRPr="00CF3673">
        <w:rPr>
          <w:lang w:val="pt-PT"/>
        </w:rPr>
        <w:t xml:space="preserve"> empresas e a informação contabilística, como por exemplo lucros e os números relativos aos custos</w:t>
      </w:r>
      <w:r w:rsidRPr="00CF3673">
        <w:rPr>
          <w:rStyle w:val="FootnoteReference"/>
          <w:lang w:val="pt-PT"/>
        </w:rPr>
        <w:footnoteReference w:id="11"/>
      </w:r>
      <w:r w:rsidRPr="00CF3673">
        <w:rPr>
          <w:lang w:val="pt-PT"/>
        </w:rPr>
        <w:t xml:space="preserve">. </w:t>
      </w:r>
      <w:r w:rsidR="001C3C62" w:rsidRPr="00CF3673">
        <w:rPr>
          <w:lang w:val="pt-PT"/>
        </w:rPr>
        <w:t xml:space="preserve">Onde fosse possível, </w:t>
      </w:r>
      <w:r w:rsidR="00CD7FAA" w:rsidRPr="00CF3673">
        <w:rPr>
          <w:lang w:val="pt-PT"/>
        </w:rPr>
        <w:t>os números contabilísticos foram validados com base no relatório anual do KPMG sobre as “Melhores 100 Empresas em Moçambique ” (KPMG; 2010,2011) que contem informações financeiras das empresas.</w:t>
      </w:r>
      <w:r w:rsidR="00CD7FAA" w:rsidRPr="00CF3673">
        <w:rPr>
          <w:rStyle w:val="FootnoteReference"/>
          <w:lang w:val="pt-PT"/>
        </w:rPr>
        <w:footnoteReference w:id="12"/>
      </w:r>
    </w:p>
    <w:p w:rsidR="006B2AB3" w:rsidRPr="00CF3673" w:rsidRDefault="006B2AB3" w:rsidP="001E664B">
      <w:pPr>
        <w:pStyle w:val="MainText"/>
        <w:rPr>
          <w:lang w:val="pt-PT"/>
        </w:rPr>
      </w:pPr>
      <w:r w:rsidRPr="00CF3673">
        <w:rPr>
          <w:lang w:val="pt-PT"/>
        </w:rPr>
        <w:t xml:space="preserve">A informação obtidas das chamadas telefónicas </w:t>
      </w:r>
      <w:r w:rsidR="008B1BC5" w:rsidRPr="00CF3673">
        <w:rPr>
          <w:lang w:val="pt-PT"/>
        </w:rPr>
        <w:t>e</w:t>
      </w:r>
      <w:r w:rsidR="001A6B7C" w:rsidRPr="00CF3673">
        <w:rPr>
          <w:lang w:val="pt-PT"/>
        </w:rPr>
        <w:t xml:space="preserve"> as visitas de campo foram usada</w:t>
      </w:r>
      <w:r w:rsidR="008B1BC5" w:rsidRPr="00CF3673">
        <w:rPr>
          <w:lang w:val="pt-PT"/>
        </w:rPr>
        <w:t>s para remover observações de empresas que não eram manufactureiras. Este exercício resultou na remoção de 44 observações na base de dados.</w:t>
      </w:r>
      <w:r w:rsidR="008B1BC5" w:rsidRPr="00CF3673">
        <w:rPr>
          <w:rStyle w:val="FootnoteReference"/>
          <w:lang w:val="pt-PT"/>
        </w:rPr>
        <w:footnoteReference w:id="13"/>
      </w:r>
      <w:r w:rsidR="008B1BC5" w:rsidRPr="00CF3673">
        <w:rPr>
          <w:lang w:val="pt-PT"/>
        </w:rPr>
        <w:t xml:space="preserve"> Outras 10 </w:t>
      </w:r>
      <w:r w:rsidR="00B20E4D" w:rsidRPr="00CF3673">
        <w:rPr>
          <w:lang w:val="pt-PT"/>
        </w:rPr>
        <w:t>observações</w:t>
      </w:r>
      <w:r w:rsidR="001A6B7C" w:rsidRPr="00CF3673">
        <w:rPr>
          <w:lang w:val="pt-PT"/>
        </w:rPr>
        <w:t xml:space="preserve"> foram removidas devido </w:t>
      </w:r>
      <w:r w:rsidR="00B20E4D" w:rsidRPr="00CF3673">
        <w:rPr>
          <w:lang w:val="pt-PT"/>
        </w:rPr>
        <w:t>há</w:t>
      </w:r>
      <w:r w:rsidR="008B1BC5" w:rsidRPr="00CF3673">
        <w:rPr>
          <w:lang w:val="pt-PT"/>
        </w:rPr>
        <w:t xml:space="preserve"> discrepâncias entre informação preenchida nos questionários e a informação obtida durante o processo de validação. 11 </w:t>
      </w:r>
      <w:r w:rsidR="008B1BC5" w:rsidRPr="00CF3673">
        <w:rPr>
          <w:lang w:val="pt-PT"/>
        </w:rPr>
        <w:lastRenderedPageBreak/>
        <w:t>observações foram removidas porque as operações das empresas iniciaram ap</w:t>
      </w:r>
      <w:r w:rsidR="001A6B7C" w:rsidRPr="00CF3673">
        <w:rPr>
          <w:lang w:val="pt-PT"/>
        </w:rPr>
        <w:t>á</w:t>
      </w:r>
      <w:r w:rsidR="008B1BC5" w:rsidRPr="00CF3673">
        <w:rPr>
          <w:lang w:val="pt-PT"/>
        </w:rPr>
        <w:t>s 2009. Finalmente, como o inquérito cobre apenas empresas micro, pequenas e medias, uma observação duma empres</w:t>
      </w:r>
      <w:r w:rsidR="001A6B7C" w:rsidRPr="00CF3673">
        <w:rPr>
          <w:lang w:val="pt-PT"/>
        </w:rPr>
        <w:t>a com 1,500 trabalhadores</w:t>
      </w:r>
      <w:r w:rsidR="008B1BC5" w:rsidRPr="00CF3673">
        <w:rPr>
          <w:lang w:val="pt-PT"/>
        </w:rPr>
        <w:t xml:space="preserve"> foi excluída</w:t>
      </w:r>
      <w:r w:rsidR="00745AE9" w:rsidRPr="00CF3673">
        <w:rPr>
          <w:lang w:val="pt-PT"/>
        </w:rPr>
        <w:t xml:space="preserve"> da análise e 4 observações foram removidas que reportaram não tendo trabalhadores a tempo inteiro. Ao todo, o processo da validação resultou na remoção de 70 observações, resultando numa base de dados de 761 observações (216 observações do painel)</w:t>
      </w:r>
      <w:r w:rsidR="0035157A" w:rsidRPr="00CF3673">
        <w:rPr>
          <w:lang w:val="pt-PT"/>
        </w:rPr>
        <w:t>.</w:t>
      </w:r>
    </w:p>
    <w:p w:rsidR="008B1BC5" w:rsidRPr="00CF3673" w:rsidRDefault="0035157A" w:rsidP="001E664B">
      <w:pPr>
        <w:pStyle w:val="MainText"/>
        <w:rPr>
          <w:lang w:val="pt-PT"/>
        </w:rPr>
      </w:pPr>
      <w:r w:rsidRPr="00CF3673">
        <w:rPr>
          <w:lang w:val="pt-PT"/>
        </w:rPr>
        <w:t xml:space="preserve">As chamadas telefónicas também permitiram uma melhor classificação sectorial (as questões sectoriais) bem como o cálculo da produtividade </w:t>
      </w:r>
      <w:r w:rsidR="001A6B7C" w:rsidRPr="00CF3673">
        <w:rPr>
          <w:lang w:val="pt-PT"/>
        </w:rPr>
        <w:t>da</w:t>
      </w:r>
      <w:r w:rsidRPr="00CF3673">
        <w:rPr>
          <w:lang w:val="pt-PT"/>
        </w:rPr>
        <w:t xml:space="preserve"> maioria das empresas adicionais. A informação contabilística foi revista para cada empresa e erros grosseiros registados foram classificados como </w:t>
      </w:r>
      <w:proofErr w:type="spellStart"/>
      <w:r w:rsidR="001A6B7C" w:rsidRPr="00CF3673">
        <w:rPr>
          <w:i/>
          <w:lang w:val="pt-PT"/>
        </w:rPr>
        <w:t>missing</w:t>
      </w:r>
      <w:proofErr w:type="spellEnd"/>
      <w:r w:rsidR="001A6B7C" w:rsidRPr="00CF3673">
        <w:rPr>
          <w:i/>
          <w:lang w:val="pt-PT"/>
        </w:rPr>
        <w:t xml:space="preserve"> </w:t>
      </w:r>
      <w:r w:rsidR="001A6B7C" w:rsidRPr="00CF3673">
        <w:rPr>
          <w:lang w:val="pt-PT"/>
        </w:rPr>
        <w:t>ou em falta</w:t>
      </w:r>
      <w:r w:rsidRPr="00CF3673">
        <w:rPr>
          <w:i/>
          <w:lang w:val="pt-PT"/>
        </w:rPr>
        <w:t xml:space="preserve">. </w:t>
      </w:r>
      <w:r w:rsidRPr="00CF3673">
        <w:rPr>
          <w:lang w:val="pt-PT"/>
        </w:rPr>
        <w:t xml:space="preserve">Depois deste exercício, a base de dados continha número sobre lucros para 330 empresas e informação financeira detalhada para cerca de 180 empresas. Todos valores monetários foram convertidos em meticais (2011) usando o </w:t>
      </w:r>
      <w:r w:rsidR="00B20E4D" w:rsidRPr="00CF3673">
        <w:rPr>
          <w:lang w:val="pt-PT"/>
        </w:rPr>
        <w:t>Índice</w:t>
      </w:r>
      <w:r w:rsidRPr="00CF3673">
        <w:rPr>
          <w:lang w:val="pt-PT"/>
        </w:rPr>
        <w:t xml:space="preserve"> do </w:t>
      </w:r>
      <w:r w:rsidR="00B20E4D" w:rsidRPr="00CF3673">
        <w:rPr>
          <w:lang w:val="pt-PT"/>
        </w:rPr>
        <w:t>Preço</w:t>
      </w:r>
      <w:r w:rsidRPr="00CF3673">
        <w:rPr>
          <w:lang w:val="pt-PT"/>
        </w:rPr>
        <w:t xml:space="preserve"> do Consumido (IPC) do INE. </w:t>
      </w:r>
    </w:p>
    <w:p w:rsidR="0023112F" w:rsidRPr="00CF3673" w:rsidRDefault="0023112F" w:rsidP="001E664B">
      <w:pPr>
        <w:pStyle w:val="SectionTitle"/>
        <w:rPr>
          <w:lang w:val="pt-PT"/>
        </w:rPr>
      </w:pPr>
      <w:bookmarkStart w:id="21" w:name="_Toc360720384"/>
      <w:r w:rsidRPr="00CF3673">
        <w:rPr>
          <w:lang w:val="pt-PT"/>
        </w:rPr>
        <w:t>2.</w:t>
      </w:r>
      <w:r w:rsidR="00E26352" w:rsidRPr="00CF3673">
        <w:rPr>
          <w:lang w:val="pt-PT"/>
        </w:rPr>
        <w:t>3</w:t>
      </w:r>
      <w:r w:rsidR="00E766FF" w:rsidRPr="00CF3673">
        <w:rPr>
          <w:lang w:val="pt-PT"/>
        </w:rPr>
        <w:t>.</w:t>
      </w:r>
      <w:r w:rsidRPr="00CF3673">
        <w:rPr>
          <w:lang w:val="pt-PT"/>
        </w:rPr>
        <w:t xml:space="preserve"> </w:t>
      </w:r>
      <w:r w:rsidR="006B2AB3" w:rsidRPr="00CF3673">
        <w:rPr>
          <w:lang w:val="pt-PT"/>
        </w:rPr>
        <w:t>Descrição de Dados</w:t>
      </w:r>
      <w:bookmarkEnd w:id="21"/>
    </w:p>
    <w:p w:rsidR="003A330B" w:rsidRPr="00CF3673" w:rsidRDefault="002A300A" w:rsidP="001E664B">
      <w:pPr>
        <w:pStyle w:val="MainText"/>
        <w:rPr>
          <w:lang w:val="pt-PT"/>
        </w:rPr>
      </w:pPr>
      <w:r w:rsidRPr="00CF3673">
        <w:rPr>
          <w:lang w:val="pt-PT"/>
        </w:rPr>
        <w:t>Um número de características</w:t>
      </w:r>
      <w:r w:rsidR="001A6B7C" w:rsidRPr="00CF3673">
        <w:rPr>
          <w:lang w:val="pt-PT"/>
        </w:rPr>
        <w:t xml:space="preserve"> das empresas</w:t>
      </w:r>
      <w:r w:rsidRPr="00CF3673">
        <w:rPr>
          <w:lang w:val="pt-PT"/>
        </w:rPr>
        <w:t xml:space="preserve"> está associado</w:t>
      </w:r>
      <w:r w:rsidR="00222DCA" w:rsidRPr="00CF3673">
        <w:rPr>
          <w:lang w:val="pt-PT"/>
        </w:rPr>
        <w:t xml:space="preserve"> </w:t>
      </w:r>
      <w:r w:rsidR="001A6B7C" w:rsidRPr="00CF3673">
        <w:rPr>
          <w:lang w:val="pt-PT"/>
        </w:rPr>
        <w:t>à sua</w:t>
      </w:r>
      <w:r w:rsidRPr="00CF3673">
        <w:rPr>
          <w:lang w:val="pt-PT"/>
        </w:rPr>
        <w:t xml:space="preserve"> dinâmica, em particular tamanho, localização, forma de propriedade, sector e formalidade.</w:t>
      </w:r>
      <w:r w:rsidR="003A330B" w:rsidRPr="00CF3673">
        <w:rPr>
          <w:lang w:val="pt-PT"/>
        </w:rPr>
        <w:t xml:space="preserve"> </w:t>
      </w:r>
      <w:r w:rsidRPr="00CF3673">
        <w:rPr>
          <w:lang w:val="pt-PT"/>
        </w:rPr>
        <w:t>Como forma de ilustrar a estrutura básica da amostra, as tabelas 2.8 a 2.14 mostram diferentes tabulações das diferentes características das empresas</w:t>
      </w:r>
      <w:r w:rsidR="003A330B" w:rsidRPr="00CF3673">
        <w:rPr>
          <w:lang w:val="pt-PT"/>
        </w:rPr>
        <w:t>.</w:t>
      </w:r>
    </w:p>
    <w:p w:rsidR="009E1D2D" w:rsidRPr="00CF3673" w:rsidRDefault="009E1D2D" w:rsidP="001E664B">
      <w:pPr>
        <w:pStyle w:val="MainText"/>
        <w:rPr>
          <w:lang w:val="pt-PT"/>
        </w:rPr>
      </w:pPr>
    </w:p>
    <w:p w:rsidR="009E1D2D" w:rsidRPr="00CF3673" w:rsidRDefault="00B20E4D" w:rsidP="001E664B">
      <w:pPr>
        <w:pStyle w:val="MainText"/>
        <w:rPr>
          <w:lang w:val="pt-PT"/>
        </w:rPr>
      </w:pPr>
      <w:r w:rsidRPr="00CF3673">
        <w:rPr>
          <w:lang w:val="pt-PT"/>
        </w:rPr>
        <w:t xml:space="preserve">A tabela 2.8 apresenta a média e mediana do número de trabalhadores, a média de idade e o número de observações para as várias categorias/grupos de empresa. </w:t>
      </w:r>
      <w:r w:rsidR="00FA4367" w:rsidRPr="00CF3673">
        <w:rPr>
          <w:lang w:val="pt-PT"/>
        </w:rPr>
        <w:t>Mais de 2/3 das empresas são micro</w:t>
      </w:r>
      <w:r w:rsidR="009E1D2D" w:rsidRPr="00CF3673">
        <w:rPr>
          <w:lang w:val="pt-PT"/>
        </w:rPr>
        <w:t xml:space="preserve">, 23% são pequenas e 9% são </w:t>
      </w:r>
      <w:r w:rsidRPr="00CF3673">
        <w:rPr>
          <w:lang w:val="pt-PT"/>
        </w:rPr>
        <w:t>médias</w:t>
      </w:r>
      <w:r w:rsidR="009E1D2D" w:rsidRPr="00CF3673">
        <w:rPr>
          <w:lang w:val="pt-PT"/>
        </w:rPr>
        <w:t>. A mediana das microempresas é de 4 trabalhadores, enquanto para as pequenas é de 18 e para as médias é de 86. Facilmente se pode verificar que existe uma correlação positiva entre o tamanho das empresas com a formalidade e a nacionalidade</w:t>
      </w:r>
      <w:r w:rsidR="007B4F4C" w:rsidRPr="00CF3673">
        <w:rPr>
          <w:lang w:val="pt-PT"/>
        </w:rPr>
        <w:t xml:space="preserve"> do proprietário</w:t>
      </w:r>
      <w:r w:rsidR="00FA4367" w:rsidRPr="00CF3673">
        <w:rPr>
          <w:lang w:val="pt-PT"/>
        </w:rPr>
        <w:t xml:space="preserve">- a media empresa tem duas vezes mais trabalhadores que as empresas media informais enquanto as empresas medias detidas por estrangeiros empregam sete vezes mais trabalhadores dos que os trabalhadores empregues por uma empresa media moçambicana. </w:t>
      </w:r>
      <w:r w:rsidR="007B4F4C" w:rsidRPr="00CF3673">
        <w:rPr>
          <w:lang w:val="pt-PT"/>
        </w:rPr>
        <w:t xml:space="preserve">Existe igualmente a tendência das grandes empresas, formais e detidas por estrangeiros </w:t>
      </w:r>
      <w:r w:rsidR="00E37B3C" w:rsidRPr="00CF3673">
        <w:rPr>
          <w:lang w:val="pt-PT"/>
        </w:rPr>
        <w:t>serem antigas, mas a diferen</w:t>
      </w:r>
      <w:r w:rsidR="00FA4367" w:rsidRPr="00CF3673">
        <w:rPr>
          <w:lang w:val="pt-PT"/>
        </w:rPr>
        <w:t>ça</w:t>
      </w:r>
      <w:r w:rsidR="00E37B3C" w:rsidRPr="00CF3673">
        <w:rPr>
          <w:lang w:val="pt-PT"/>
        </w:rPr>
        <w:t xml:space="preserve"> na média das idades não é tão enorme.</w:t>
      </w:r>
      <w:r w:rsidR="007B4F4C" w:rsidRPr="00CF3673">
        <w:rPr>
          <w:lang w:val="pt-PT"/>
        </w:rPr>
        <w:t xml:space="preserve"> </w:t>
      </w:r>
    </w:p>
    <w:p w:rsidR="00FA4367" w:rsidRPr="00CF3673" w:rsidRDefault="00FA4367" w:rsidP="001E664B">
      <w:pPr>
        <w:pStyle w:val="MainText"/>
        <w:rPr>
          <w:lang w:val="pt-PT"/>
        </w:rPr>
      </w:pPr>
    </w:p>
    <w:p w:rsidR="00451ADE" w:rsidRPr="00CF3673" w:rsidRDefault="00451ADE" w:rsidP="00B06D3F">
      <w:pPr>
        <w:pStyle w:val="TableTitle"/>
        <w:rPr>
          <w:lang w:val="pt-PT"/>
        </w:rPr>
      </w:pPr>
      <w:bookmarkStart w:id="22" w:name="_Toc360720440"/>
      <w:r w:rsidRPr="00CF3673">
        <w:rPr>
          <w:lang w:val="pt-PT"/>
        </w:rPr>
        <w:lastRenderedPageBreak/>
        <w:t>Tab</w:t>
      </w:r>
      <w:r w:rsidR="00E37B3C" w:rsidRPr="00CF3673">
        <w:rPr>
          <w:lang w:val="pt-PT"/>
        </w:rPr>
        <w:t>e</w:t>
      </w:r>
      <w:r w:rsidRPr="00CF3673">
        <w:rPr>
          <w:lang w:val="pt-PT"/>
        </w:rPr>
        <w:t>l</w:t>
      </w:r>
      <w:r w:rsidR="00E37B3C" w:rsidRPr="00CF3673">
        <w:rPr>
          <w:lang w:val="pt-PT"/>
        </w:rPr>
        <w:t>a</w:t>
      </w:r>
      <w:r w:rsidRPr="00CF3673">
        <w:rPr>
          <w:lang w:val="pt-PT"/>
        </w:rPr>
        <w:t xml:space="preserve"> 2.</w:t>
      </w:r>
      <w:r w:rsidR="004D2EFF" w:rsidRPr="00CF3673">
        <w:rPr>
          <w:lang w:val="pt-PT"/>
        </w:rPr>
        <w:t>8</w:t>
      </w:r>
      <w:r w:rsidR="00B20E4D" w:rsidRPr="00CF3673">
        <w:rPr>
          <w:lang w:val="pt-PT"/>
        </w:rPr>
        <w:t>: Média do número de trabalhadores, media das idades das empresas e % da amostra por cada tipo de empresa</w:t>
      </w:r>
      <w:bookmarkEnd w:id="22"/>
    </w:p>
    <w:tbl>
      <w:tblPr>
        <w:tblStyle w:val="StandardTable"/>
        <w:tblW w:w="0" w:type="auto"/>
        <w:jc w:val="center"/>
        <w:tblLook w:val="04A0" w:firstRow="1" w:lastRow="0" w:firstColumn="1" w:lastColumn="0" w:noHBand="0" w:noVBand="1"/>
      </w:tblPr>
      <w:tblGrid>
        <w:gridCol w:w="1901"/>
        <w:gridCol w:w="2395"/>
        <w:gridCol w:w="2572"/>
        <w:gridCol w:w="907"/>
        <w:gridCol w:w="994"/>
        <w:gridCol w:w="807"/>
      </w:tblGrid>
      <w:tr w:rsidR="00E37B3C" w:rsidRPr="00CF3673" w:rsidTr="00D00C69">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noWrap/>
            <w:hideMark/>
          </w:tcPr>
          <w:p w:rsidR="00D00C69" w:rsidRPr="00CF3673" w:rsidRDefault="00D00C69" w:rsidP="0023112F">
            <w:pPr>
              <w:rPr>
                <w:rFonts w:ascii="Calibri" w:eastAsia="Times New Roman" w:hAnsi="Calibri" w:cs="Calibri"/>
                <w:color w:val="000000"/>
                <w:lang w:eastAsia="zh-CN"/>
              </w:rPr>
            </w:pPr>
          </w:p>
        </w:tc>
        <w:tc>
          <w:tcPr>
            <w:tcW w:w="0" w:type="auto"/>
            <w:noWrap/>
            <w:hideMark/>
          </w:tcPr>
          <w:p w:rsidR="00D00C69" w:rsidRPr="00CF3673" w:rsidRDefault="00E37B3C" w:rsidP="00E37B3C">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Média do </w:t>
            </w:r>
            <w:proofErr w:type="spellStart"/>
            <w:r w:rsidR="00D00C69" w:rsidRPr="00CF3673">
              <w:rPr>
                <w:rFonts w:ascii="Calibri" w:eastAsia="Times New Roman" w:hAnsi="Calibri" w:cs="Calibri"/>
                <w:color w:val="000000"/>
                <w:lang w:eastAsia="zh-CN"/>
              </w:rPr>
              <w:t>n</w:t>
            </w:r>
            <w:r w:rsidRPr="00CF3673">
              <w:rPr>
                <w:rFonts w:ascii="Calibri" w:eastAsia="Times New Roman" w:hAnsi="Calibri" w:cs="Calibri"/>
                <w:color w:val="000000"/>
                <w:lang w:eastAsia="zh-CN"/>
              </w:rPr>
              <w:t>r</w:t>
            </w:r>
            <w:proofErr w:type="spellEnd"/>
            <w:r w:rsidR="00D00C69" w:rsidRPr="00CF3673">
              <w:rPr>
                <w:rFonts w:ascii="Calibri" w:eastAsia="Times New Roman" w:hAnsi="Calibri" w:cs="Calibri"/>
                <w:color w:val="000000"/>
                <w:lang w:eastAsia="zh-CN"/>
              </w:rPr>
              <w:t xml:space="preserve">. </w:t>
            </w:r>
            <w:r w:rsidRPr="00CF3673">
              <w:rPr>
                <w:rFonts w:ascii="Calibri" w:eastAsia="Times New Roman" w:hAnsi="Calibri" w:cs="Calibri"/>
                <w:color w:val="000000"/>
                <w:lang w:eastAsia="zh-CN"/>
              </w:rPr>
              <w:t>de trabalhadores</w:t>
            </w:r>
          </w:p>
        </w:tc>
        <w:tc>
          <w:tcPr>
            <w:tcW w:w="0" w:type="auto"/>
            <w:noWrap/>
          </w:tcPr>
          <w:p w:rsidR="00D00C69" w:rsidRPr="00CF3673" w:rsidRDefault="00D00C69" w:rsidP="00E37B3C">
            <w:pPr>
              <w:rPr>
                <w:rFonts w:ascii="Calibri" w:eastAsia="Times New Roman" w:hAnsi="Calibri" w:cs="Calibri"/>
                <w:color w:val="000000"/>
                <w:lang w:eastAsia="zh-CN"/>
              </w:rPr>
            </w:pPr>
            <w:r w:rsidRPr="00CF3673">
              <w:rPr>
                <w:rFonts w:ascii="Calibri" w:eastAsia="Times New Roman" w:hAnsi="Calibri" w:cs="Calibri"/>
                <w:color w:val="000000"/>
                <w:lang w:eastAsia="zh-CN"/>
              </w:rPr>
              <w:t>Median</w:t>
            </w:r>
            <w:r w:rsidR="00E37B3C" w:rsidRPr="00CF3673">
              <w:rPr>
                <w:rFonts w:ascii="Calibri" w:eastAsia="Times New Roman" w:hAnsi="Calibri" w:cs="Calibri"/>
                <w:color w:val="000000"/>
                <w:lang w:eastAsia="zh-CN"/>
              </w:rPr>
              <w:t xml:space="preserve">a do </w:t>
            </w:r>
            <w:proofErr w:type="spellStart"/>
            <w:r w:rsidR="00E37B3C" w:rsidRPr="00CF3673">
              <w:rPr>
                <w:rFonts w:ascii="Calibri" w:eastAsia="Times New Roman" w:hAnsi="Calibri" w:cs="Calibri"/>
                <w:color w:val="000000"/>
                <w:lang w:eastAsia="zh-CN"/>
              </w:rPr>
              <w:t>nr</w:t>
            </w:r>
            <w:proofErr w:type="spellEnd"/>
            <w:r w:rsidR="00E37B3C" w:rsidRPr="00CF3673">
              <w:rPr>
                <w:rFonts w:ascii="Calibri" w:eastAsia="Times New Roman" w:hAnsi="Calibri" w:cs="Calibri"/>
                <w:color w:val="000000"/>
                <w:lang w:eastAsia="zh-CN"/>
              </w:rPr>
              <w:t>. de trabalhadores</w:t>
            </w:r>
          </w:p>
        </w:tc>
        <w:tc>
          <w:tcPr>
            <w:tcW w:w="0" w:type="auto"/>
          </w:tcPr>
          <w:p w:rsidR="00D00C69" w:rsidRPr="00CF3673" w:rsidRDefault="00E37B3C" w:rsidP="00E37B3C">
            <w:pPr>
              <w:rPr>
                <w:rFonts w:ascii="Calibri" w:eastAsia="Times New Roman" w:hAnsi="Calibri" w:cs="Calibri"/>
                <w:color w:val="000000"/>
                <w:lang w:eastAsia="zh-CN"/>
              </w:rPr>
            </w:pPr>
            <w:r w:rsidRPr="00CF3673">
              <w:rPr>
                <w:rFonts w:ascii="Calibri" w:eastAsia="Times New Roman" w:hAnsi="Calibri" w:cs="Calibri"/>
                <w:color w:val="000000"/>
                <w:lang w:eastAsia="zh-CN"/>
              </w:rPr>
              <w:t>Média de idade das empresas</w:t>
            </w:r>
          </w:p>
        </w:tc>
        <w:tc>
          <w:tcPr>
            <w:tcW w:w="0" w:type="auto"/>
            <w:noWrap/>
            <w:hideMark/>
          </w:tcPr>
          <w:p w:rsidR="00D00C69" w:rsidRPr="00CF3673" w:rsidRDefault="00E37B3C" w:rsidP="00E37B3C">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Nr</w:t>
            </w:r>
            <w:proofErr w:type="spellEnd"/>
            <w:r w:rsidR="00661429" w:rsidRPr="00CF3673">
              <w:rPr>
                <w:rFonts w:ascii="Calibri" w:eastAsia="Times New Roman" w:hAnsi="Calibri" w:cs="Calibri"/>
                <w:color w:val="000000"/>
                <w:lang w:eastAsia="zh-CN"/>
              </w:rPr>
              <w:t xml:space="preserve">. </w:t>
            </w:r>
            <w:r w:rsidRPr="00CF3673">
              <w:rPr>
                <w:rFonts w:ascii="Calibri" w:eastAsia="Times New Roman" w:hAnsi="Calibri" w:cs="Calibri"/>
                <w:color w:val="000000"/>
                <w:lang w:eastAsia="zh-CN"/>
              </w:rPr>
              <w:t>de</w:t>
            </w:r>
            <w:r w:rsidR="00661429" w:rsidRPr="00CF3673">
              <w:rPr>
                <w:rFonts w:ascii="Calibri" w:eastAsia="Times New Roman" w:hAnsi="Calibri" w:cs="Calibri"/>
                <w:color w:val="000000"/>
                <w:lang w:eastAsia="zh-CN"/>
              </w:rPr>
              <w:t xml:space="preserve"> obs.</w:t>
            </w:r>
          </w:p>
        </w:tc>
        <w:tc>
          <w:tcPr>
            <w:tcW w:w="0" w:type="auto"/>
          </w:tcPr>
          <w:p w:rsidR="00D00C69" w:rsidRPr="00CF3673" w:rsidRDefault="00E37B3C" w:rsidP="00E37B3C">
            <w:pPr>
              <w:rPr>
                <w:rFonts w:ascii="Calibri" w:eastAsia="Times New Roman" w:hAnsi="Calibri" w:cs="Calibri"/>
                <w:color w:val="000000"/>
                <w:lang w:eastAsia="zh-CN"/>
              </w:rPr>
            </w:pPr>
            <w:r w:rsidRPr="00CF3673">
              <w:rPr>
                <w:rFonts w:ascii="Calibri" w:eastAsia="Times New Roman" w:hAnsi="Calibri" w:cs="Calibri"/>
                <w:color w:val="000000"/>
                <w:lang w:eastAsia="zh-CN"/>
              </w:rPr>
              <w:t>% da amostra</w:t>
            </w:r>
          </w:p>
        </w:tc>
      </w:tr>
      <w:tr w:rsidR="00E37B3C" w:rsidRPr="00CF3673" w:rsidTr="00737B2E">
        <w:trPr>
          <w:trHeight w:val="300"/>
          <w:jc w:val="center"/>
        </w:trPr>
        <w:tc>
          <w:tcPr>
            <w:tcW w:w="0" w:type="auto"/>
            <w:noWrap/>
            <w:hideMark/>
          </w:tcPr>
          <w:p w:rsidR="00661429" w:rsidRPr="00CF3673" w:rsidRDefault="00E37B3C" w:rsidP="00FA4367">
            <w:pPr>
              <w:rPr>
                <w:rFonts w:ascii="Calibri" w:eastAsia="Times New Roman" w:hAnsi="Calibri" w:cs="Calibri"/>
                <w:color w:val="000000"/>
                <w:lang w:eastAsia="zh-CN"/>
              </w:rPr>
            </w:pPr>
            <w:r w:rsidRPr="00CF3673">
              <w:rPr>
                <w:rFonts w:ascii="Calibri" w:eastAsia="Times New Roman" w:hAnsi="Calibri" w:cs="Calibri"/>
                <w:color w:val="000000"/>
                <w:lang w:eastAsia="zh-CN"/>
              </w:rPr>
              <w:t>Toda</w:t>
            </w:r>
            <w:r w:rsidR="00FA4367" w:rsidRPr="00CF3673">
              <w:rPr>
                <w:rFonts w:ascii="Calibri" w:eastAsia="Times New Roman" w:hAnsi="Calibri" w:cs="Calibri"/>
                <w:color w:val="000000"/>
                <w:lang w:eastAsia="zh-CN"/>
              </w:rPr>
              <w:t>s</w:t>
            </w:r>
          </w:p>
        </w:tc>
        <w:tc>
          <w:tcPr>
            <w:tcW w:w="0" w:type="auto"/>
            <w:noWrap/>
            <w:hideMark/>
          </w:tcPr>
          <w:p w:rsidR="00661429" w:rsidRPr="00CF3673" w:rsidRDefault="00661429" w:rsidP="00661429">
            <w:pPr>
              <w:jc w:val="center"/>
            </w:pPr>
            <w:r w:rsidRPr="00CF3673">
              <w:t>16.7</w:t>
            </w:r>
          </w:p>
        </w:tc>
        <w:tc>
          <w:tcPr>
            <w:tcW w:w="0" w:type="auto"/>
            <w:noWrap/>
            <w:hideMark/>
          </w:tcPr>
          <w:p w:rsidR="00661429" w:rsidRPr="00CF3673" w:rsidRDefault="00661429" w:rsidP="00661429">
            <w:pPr>
              <w:jc w:val="center"/>
            </w:pPr>
            <w:r w:rsidRPr="00CF3673">
              <w:t>6</w:t>
            </w:r>
          </w:p>
        </w:tc>
        <w:tc>
          <w:tcPr>
            <w:tcW w:w="0" w:type="auto"/>
          </w:tcPr>
          <w:p w:rsidR="00661429" w:rsidRPr="00CF3673" w:rsidRDefault="00661429" w:rsidP="00661429">
            <w:pPr>
              <w:jc w:val="center"/>
            </w:pPr>
            <w:r w:rsidRPr="00CF3673">
              <w:t>13.8</w:t>
            </w:r>
          </w:p>
        </w:tc>
        <w:tc>
          <w:tcPr>
            <w:tcW w:w="0" w:type="auto"/>
            <w:noWrap/>
            <w:hideMark/>
          </w:tcPr>
          <w:p w:rsidR="00661429" w:rsidRPr="00CF3673" w:rsidRDefault="00661429" w:rsidP="00661429">
            <w:pPr>
              <w:jc w:val="center"/>
            </w:pPr>
            <w:r w:rsidRPr="00CF3673">
              <w:t>761</w:t>
            </w:r>
          </w:p>
        </w:tc>
        <w:tc>
          <w:tcPr>
            <w:tcW w:w="0" w:type="auto"/>
          </w:tcPr>
          <w:p w:rsidR="00661429" w:rsidRPr="00CF3673" w:rsidRDefault="00661429" w:rsidP="00661429">
            <w:pPr>
              <w:jc w:val="center"/>
            </w:pPr>
            <w:r w:rsidRPr="00CF3673">
              <w:t>100.0</w:t>
            </w:r>
          </w:p>
        </w:tc>
      </w:tr>
      <w:tr w:rsidR="00E37B3C" w:rsidRPr="00CF3673" w:rsidTr="00737B2E">
        <w:trPr>
          <w:trHeight w:val="300"/>
          <w:jc w:val="center"/>
        </w:trPr>
        <w:tc>
          <w:tcPr>
            <w:tcW w:w="0" w:type="auto"/>
            <w:noWrap/>
            <w:hideMark/>
          </w:tcPr>
          <w:p w:rsidR="00661429" w:rsidRPr="00CF3673" w:rsidRDefault="00661429" w:rsidP="0023112F">
            <w:pP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0" w:type="auto"/>
            <w:noWrap/>
            <w:hideMark/>
          </w:tcPr>
          <w:p w:rsidR="00661429" w:rsidRPr="00CF3673" w:rsidRDefault="00661429" w:rsidP="00661429">
            <w:pPr>
              <w:jc w:val="center"/>
            </w:pPr>
            <w:r w:rsidRPr="00CF3673">
              <w:t>4.4</w:t>
            </w:r>
          </w:p>
        </w:tc>
        <w:tc>
          <w:tcPr>
            <w:tcW w:w="0" w:type="auto"/>
            <w:noWrap/>
            <w:hideMark/>
          </w:tcPr>
          <w:p w:rsidR="00661429" w:rsidRPr="00CF3673" w:rsidRDefault="00661429" w:rsidP="00661429">
            <w:pPr>
              <w:jc w:val="center"/>
            </w:pPr>
            <w:r w:rsidRPr="00CF3673">
              <w:t>4</w:t>
            </w:r>
          </w:p>
        </w:tc>
        <w:tc>
          <w:tcPr>
            <w:tcW w:w="0" w:type="auto"/>
          </w:tcPr>
          <w:p w:rsidR="00661429" w:rsidRPr="00CF3673" w:rsidRDefault="00661429" w:rsidP="00661429">
            <w:pPr>
              <w:jc w:val="center"/>
            </w:pPr>
            <w:r w:rsidRPr="00CF3673">
              <w:t>12.3</w:t>
            </w:r>
          </w:p>
        </w:tc>
        <w:tc>
          <w:tcPr>
            <w:tcW w:w="0" w:type="auto"/>
            <w:noWrap/>
            <w:hideMark/>
          </w:tcPr>
          <w:p w:rsidR="00661429" w:rsidRPr="00CF3673" w:rsidRDefault="00661429" w:rsidP="00661429">
            <w:pPr>
              <w:jc w:val="center"/>
            </w:pPr>
            <w:r w:rsidRPr="00CF3673">
              <w:t>517</w:t>
            </w:r>
          </w:p>
        </w:tc>
        <w:tc>
          <w:tcPr>
            <w:tcW w:w="0" w:type="auto"/>
          </w:tcPr>
          <w:p w:rsidR="00661429" w:rsidRPr="00CF3673" w:rsidRDefault="00661429" w:rsidP="00661429">
            <w:pPr>
              <w:jc w:val="center"/>
            </w:pPr>
            <w:r w:rsidRPr="00CF3673">
              <w:t>67.9</w:t>
            </w:r>
          </w:p>
        </w:tc>
      </w:tr>
      <w:tr w:rsidR="00E37B3C" w:rsidRPr="00CF3673" w:rsidTr="00737B2E">
        <w:trPr>
          <w:trHeight w:val="300"/>
          <w:jc w:val="center"/>
        </w:trPr>
        <w:tc>
          <w:tcPr>
            <w:tcW w:w="0" w:type="auto"/>
            <w:tcBorders>
              <w:bottom w:val="nil"/>
            </w:tcBorders>
            <w:noWrap/>
            <w:hideMark/>
          </w:tcPr>
          <w:p w:rsidR="00661429" w:rsidRPr="00CF3673" w:rsidRDefault="00E37B3C" w:rsidP="0023112F">
            <w:pPr>
              <w:rPr>
                <w:rFonts w:ascii="Calibri" w:eastAsia="Times New Roman" w:hAnsi="Calibri" w:cs="Calibri"/>
                <w:color w:val="000000"/>
                <w:lang w:eastAsia="zh-CN"/>
              </w:rPr>
            </w:pPr>
            <w:r w:rsidRPr="00CF3673">
              <w:rPr>
                <w:rFonts w:ascii="Calibri" w:eastAsia="Times New Roman" w:hAnsi="Calibri" w:cs="Calibri"/>
                <w:color w:val="000000"/>
                <w:lang w:eastAsia="zh-CN"/>
              </w:rPr>
              <w:t>Pequenas</w:t>
            </w:r>
          </w:p>
        </w:tc>
        <w:tc>
          <w:tcPr>
            <w:tcW w:w="0" w:type="auto"/>
            <w:tcBorders>
              <w:bottom w:val="nil"/>
            </w:tcBorders>
            <w:noWrap/>
            <w:hideMark/>
          </w:tcPr>
          <w:p w:rsidR="00661429" w:rsidRPr="00CF3673" w:rsidRDefault="00661429" w:rsidP="00661429">
            <w:pPr>
              <w:jc w:val="center"/>
            </w:pPr>
            <w:r w:rsidRPr="00CF3673">
              <w:t>22.0</w:t>
            </w:r>
          </w:p>
        </w:tc>
        <w:tc>
          <w:tcPr>
            <w:tcW w:w="0" w:type="auto"/>
            <w:tcBorders>
              <w:bottom w:val="nil"/>
            </w:tcBorders>
            <w:noWrap/>
            <w:hideMark/>
          </w:tcPr>
          <w:p w:rsidR="00661429" w:rsidRPr="00CF3673" w:rsidRDefault="00661429" w:rsidP="00661429">
            <w:pPr>
              <w:jc w:val="center"/>
            </w:pPr>
            <w:r w:rsidRPr="00CF3673">
              <w:t>18</w:t>
            </w:r>
          </w:p>
        </w:tc>
        <w:tc>
          <w:tcPr>
            <w:tcW w:w="0" w:type="auto"/>
            <w:tcBorders>
              <w:bottom w:val="nil"/>
            </w:tcBorders>
          </w:tcPr>
          <w:p w:rsidR="00661429" w:rsidRPr="00CF3673" w:rsidRDefault="00661429" w:rsidP="00661429">
            <w:pPr>
              <w:jc w:val="center"/>
            </w:pPr>
            <w:r w:rsidRPr="00CF3673">
              <w:t>16.3</w:t>
            </w:r>
          </w:p>
        </w:tc>
        <w:tc>
          <w:tcPr>
            <w:tcW w:w="0" w:type="auto"/>
            <w:tcBorders>
              <w:bottom w:val="nil"/>
            </w:tcBorders>
            <w:noWrap/>
            <w:hideMark/>
          </w:tcPr>
          <w:p w:rsidR="00661429" w:rsidRPr="00CF3673" w:rsidRDefault="00661429" w:rsidP="00661429">
            <w:pPr>
              <w:jc w:val="center"/>
            </w:pPr>
            <w:r w:rsidRPr="00CF3673">
              <w:t>178</w:t>
            </w:r>
          </w:p>
        </w:tc>
        <w:tc>
          <w:tcPr>
            <w:tcW w:w="0" w:type="auto"/>
            <w:tcBorders>
              <w:bottom w:val="nil"/>
            </w:tcBorders>
          </w:tcPr>
          <w:p w:rsidR="00661429" w:rsidRPr="00CF3673" w:rsidRDefault="00661429" w:rsidP="00661429">
            <w:pPr>
              <w:jc w:val="center"/>
            </w:pPr>
            <w:r w:rsidRPr="00CF3673">
              <w:t>23.4</w:t>
            </w:r>
          </w:p>
        </w:tc>
      </w:tr>
      <w:tr w:rsidR="00E37B3C" w:rsidRPr="00CF3673" w:rsidTr="00737B2E">
        <w:trPr>
          <w:trHeight w:val="300"/>
          <w:jc w:val="center"/>
        </w:trPr>
        <w:tc>
          <w:tcPr>
            <w:tcW w:w="0" w:type="auto"/>
            <w:tcBorders>
              <w:top w:val="nil"/>
              <w:bottom w:val="single" w:sz="4" w:space="0" w:color="auto"/>
            </w:tcBorders>
            <w:noWrap/>
            <w:hideMark/>
          </w:tcPr>
          <w:p w:rsidR="00661429" w:rsidRPr="00CF3673" w:rsidRDefault="00E37B3C" w:rsidP="0023112F">
            <w:pPr>
              <w:rPr>
                <w:rFonts w:ascii="Calibri" w:eastAsia="Times New Roman" w:hAnsi="Calibri" w:cs="Calibri"/>
                <w:color w:val="000000"/>
                <w:lang w:eastAsia="zh-CN"/>
              </w:rPr>
            </w:pPr>
            <w:r w:rsidRPr="00CF3673">
              <w:rPr>
                <w:rFonts w:ascii="Calibri" w:eastAsia="Times New Roman" w:hAnsi="Calibri" w:cs="Calibri"/>
                <w:color w:val="000000"/>
                <w:lang w:eastAsia="zh-CN"/>
              </w:rPr>
              <w:t>Medias</w:t>
            </w:r>
          </w:p>
        </w:tc>
        <w:tc>
          <w:tcPr>
            <w:tcW w:w="0" w:type="auto"/>
            <w:tcBorders>
              <w:top w:val="nil"/>
              <w:bottom w:val="single" w:sz="4" w:space="0" w:color="auto"/>
            </w:tcBorders>
            <w:noWrap/>
            <w:hideMark/>
          </w:tcPr>
          <w:p w:rsidR="00661429" w:rsidRPr="00CF3673" w:rsidRDefault="00661429" w:rsidP="00661429">
            <w:pPr>
              <w:jc w:val="center"/>
            </w:pPr>
            <w:r w:rsidRPr="00CF3673">
              <w:t>99.0</w:t>
            </w:r>
          </w:p>
        </w:tc>
        <w:tc>
          <w:tcPr>
            <w:tcW w:w="0" w:type="auto"/>
            <w:tcBorders>
              <w:top w:val="nil"/>
              <w:bottom w:val="single" w:sz="4" w:space="0" w:color="auto"/>
            </w:tcBorders>
            <w:noWrap/>
            <w:hideMark/>
          </w:tcPr>
          <w:p w:rsidR="00661429" w:rsidRPr="00CF3673" w:rsidRDefault="00661429" w:rsidP="00661429">
            <w:pPr>
              <w:jc w:val="center"/>
            </w:pPr>
            <w:r w:rsidRPr="00CF3673">
              <w:t>86</w:t>
            </w:r>
          </w:p>
        </w:tc>
        <w:tc>
          <w:tcPr>
            <w:tcW w:w="0" w:type="auto"/>
            <w:tcBorders>
              <w:top w:val="nil"/>
              <w:bottom w:val="single" w:sz="4" w:space="0" w:color="auto"/>
            </w:tcBorders>
          </w:tcPr>
          <w:p w:rsidR="00661429" w:rsidRPr="00CF3673" w:rsidRDefault="00661429" w:rsidP="00661429">
            <w:pPr>
              <w:jc w:val="center"/>
            </w:pPr>
            <w:r w:rsidRPr="00CF3673">
              <w:t>18.6</w:t>
            </w:r>
          </w:p>
        </w:tc>
        <w:tc>
          <w:tcPr>
            <w:tcW w:w="0" w:type="auto"/>
            <w:tcBorders>
              <w:top w:val="nil"/>
              <w:bottom w:val="single" w:sz="4" w:space="0" w:color="auto"/>
            </w:tcBorders>
            <w:noWrap/>
            <w:hideMark/>
          </w:tcPr>
          <w:p w:rsidR="00661429" w:rsidRPr="00CF3673" w:rsidRDefault="00661429" w:rsidP="00661429">
            <w:pPr>
              <w:jc w:val="center"/>
            </w:pPr>
            <w:r w:rsidRPr="00CF3673">
              <w:t>66</w:t>
            </w:r>
          </w:p>
        </w:tc>
        <w:tc>
          <w:tcPr>
            <w:tcW w:w="0" w:type="auto"/>
            <w:tcBorders>
              <w:top w:val="nil"/>
              <w:bottom w:val="single" w:sz="4" w:space="0" w:color="auto"/>
            </w:tcBorders>
          </w:tcPr>
          <w:p w:rsidR="00661429" w:rsidRPr="00CF3673" w:rsidRDefault="00661429" w:rsidP="00661429">
            <w:pPr>
              <w:jc w:val="center"/>
            </w:pPr>
            <w:r w:rsidRPr="00CF3673">
              <w:t>8.7</w:t>
            </w:r>
          </w:p>
        </w:tc>
      </w:tr>
      <w:tr w:rsidR="00E37B3C" w:rsidRPr="00CF3673" w:rsidTr="00737B2E">
        <w:trPr>
          <w:trHeight w:val="300"/>
          <w:jc w:val="center"/>
        </w:trPr>
        <w:tc>
          <w:tcPr>
            <w:tcW w:w="0" w:type="auto"/>
            <w:tcBorders>
              <w:top w:val="single" w:sz="4" w:space="0" w:color="auto"/>
              <w:bottom w:val="nil"/>
            </w:tcBorders>
            <w:noWrap/>
            <w:hideMark/>
          </w:tcPr>
          <w:p w:rsidR="00661429" w:rsidRPr="00CF3673" w:rsidRDefault="00661429" w:rsidP="0023112F">
            <w:pPr>
              <w:rPr>
                <w:rFonts w:ascii="Calibri" w:eastAsia="Times New Roman" w:hAnsi="Calibri" w:cs="Calibri"/>
                <w:color w:val="000000"/>
                <w:lang w:eastAsia="zh-CN"/>
              </w:rPr>
            </w:pPr>
            <w:r w:rsidRPr="00CF3673">
              <w:rPr>
                <w:rFonts w:ascii="Calibri" w:eastAsia="Times New Roman" w:hAnsi="Calibri" w:cs="Calibri"/>
                <w:color w:val="000000"/>
                <w:lang w:eastAsia="zh-CN"/>
              </w:rPr>
              <w:t>Informal</w:t>
            </w:r>
          </w:p>
        </w:tc>
        <w:tc>
          <w:tcPr>
            <w:tcW w:w="0" w:type="auto"/>
            <w:tcBorders>
              <w:top w:val="single" w:sz="4" w:space="0" w:color="auto"/>
              <w:bottom w:val="nil"/>
            </w:tcBorders>
            <w:noWrap/>
            <w:hideMark/>
          </w:tcPr>
          <w:p w:rsidR="00661429" w:rsidRPr="00CF3673" w:rsidRDefault="00661429" w:rsidP="00661429">
            <w:pPr>
              <w:jc w:val="center"/>
            </w:pPr>
            <w:r w:rsidRPr="00CF3673">
              <w:t>4.3</w:t>
            </w:r>
          </w:p>
        </w:tc>
        <w:tc>
          <w:tcPr>
            <w:tcW w:w="0" w:type="auto"/>
            <w:tcBorders>
              <w:top w:val="single" w:sz="4" w:space="0" w:color="auto"/>
              <w:bottom w:val="nil"/>
            </w:tcBorders>
            <w:noWrap/>
            <w:hideMark/>
          </w:tcPr>
          <w:p w:rsidR="00661429" w:rsidRPr="00CF3673" w:rsidRDefault="00661429" w:rsidP="00661429">
            <w:pPr>
              <w:jc w:val="center"/>
            </w:pPr>
            <w:r w:rsidRPr="00CF3673">
              <w:t>3.5</w:t>
            </w:r>
          </w:p>
        </w:tc>
        <w:tc>
          <w:tcPr>
            <w:tcW w:w="0" w:type="auto"/>
            <w:tcBorders>
              <w:top w:val="single" w:sz="4" w:space="0" w:color="auto"/>
              <w:bottom w:val="nil"/>
            </w:tcBorders>
          </w:tcPr>
          <w:p w:rsidR="00661429" w:rsidRPr="00CF3673" w:rsidRDefault="00661429" w:rsidP="00661429">
            <w:pPr>
              <w:jc w:val="center"/>
            </w:pPr>
            <w:r w:rsidRPr="00CF3673">
              <w:t>10.6</w:t>
            </w:r>
          </w:p>
        </w:tc>
        <w:tc>
          <w:tcPr>
            <w:tcW w:w="0" w:type="auto"/>
            <w:tcBorders>
              <w:top w:val="single" w:sz="4" w:space="0" w:color="auto"/>
              <w:bottom w:val="nil"/>
            </w:tcBorders>
            <w:noWrap/>
            <w:hideMark/>
          </w:tcPr>
          <w:p w:rsidR="00661429" w:rsidRPr="00CF3673" w:rsidRDefault="00661429" w:rsidP="00661429">
            <w:pPr>
              <w:jc w:val="center"/>
            </w:pPr>
            <w:r w:rsidRPr="00CF3673">
              <w:t>166</w:t>
            </w:r>
          </w:p>
        </w:tc>
        <w:tc>
          <w:tcPr>
            <w:tcW w:w="0" w:type="auto"/>
            <w:tcBorders>
              <w:top w:val="single" w:sz="4" w:space="0" w:color="auto"/>
              <w:bottom w:val="nil"/>
            </w:tcBorders>
          </w:tcPr>
          <w:p w:rsidR="00661429" w:rsidRPr="00CF3673" w:rsidRDefault="00661429" w:rsidP="00661429">
            <w:pPr>
              <w:jc w:val="center"/>
            </w:pPr>
            <w:r w:rsidRPr="00CF3673">
              <w:t>21.8</w:t>
            </w:r>
          </w:p>
        </w:tc>
      </w:tr>
      <w:tr w:rsidR="00E37B3C" w:rsidRPr="00CF3673" w:rsidTr="00737B2E">
        <w:trPr>
          <w:trHeight w:val="300"/>
          <w:jc w:val="center"/>
        </w:trPr>
        <w:tc>
          <w:tcPr>
            <w:tcW w:w="0" w:type="auto"/>
            <w:tcBorders>
              <w:top w:val="nil"/>
              <w:bottom w:val="single" w:sz="4" w:space="0" w:color="auto"/>
            </w:tcBorders>
            <w:noWrap/>
            <w:hideMark/>
          </w:tcPr>
          <w:p w:rsidR="00661429" w:rsidRPr="00CF3673" w:rsidRDefault="00661429" w:rsidP="0023112F">
            <w:pPr>
              <w:rPr>
                <w:rFonts w:ascii="Calibri" w:eastAsia="Times New Roman" w:hAnsi="Calibri" w:cs="Calibri"/>
                <w:color w:val="000000"/>
                <w:lang w:eastAsia="zh-CN"/>
              </w:rPr>
            </w:pPr>
            <w:r w:rsidRPr="00CF3673">
              <w:rPr>
                <w:rFonts w:ascii="Calibri" w:eastAsia="Times New Roman" w:hAnsi="Calibri" w:cs="Times New Roman"/>
                <w:lang w:eastAsia="zh-CN"/>
              </w:rPr>
              <w:t>Formal</w:t>
            </w:r>
          </w:p>
        </w:tc>
        <w:tc>
          <w:tcPr>
            <w:tcW w:w="0" w:type="auto"/>
            <w:tcBorders>
              <w:top w:val="nil"/>
              <w:bottom w:val="single" w:sz="4" w:space="0" w:color="auto"/>
            </w:tcBorders>
            <w:noWrap/>
            <w:hideMark/>
          </w:tcPr>
          <w:p w:rsidR="00661429" w:rsidRPr="00CF3673" w:rsidRDefault="00661429" w:rsidP="00661429">
            <w:pPr>
              <w:jc w:val="center"/>
            </w:pPr>
            <w:r w:rsidRPr="00CF3673">
              <w:t>20.2</w:t>
            </w:r>
          </w:p>
        </w:tc>
        <w:tc>
          <w:tcPr>
            <w:tcW w:w="0" w:type="auto"/>
            <w:tcBorders>
              <w:top w:val="nil"/>
              <w:bottom w:val="single" w:sz="4" w:space="0" w:color="auto"/>
            </w:tcBorders>
            <w:noWrap/>
            <w:hideMark/>
          </w:tcPr>
          <w:p w:rsidR="00661429" w:rsidRPr="00CF3673" w:rsidRDefault="00661429" w:rsidP="00661429">
            <w:pPr>
              <w:jc w:val="center"/>
            </w:pPr>
            <w:r w:rsidRPr="00CF3673">
              <w:t>7</w:t>
            </w:r>
          </w:p>
        </w:tc>
        <w:tc>
          <w:tcPr>
            <w:tcW w:w="0" w:type="auto"/>
            <w:tcBorders>
              <w:top w:val="nil"/>
              <w:bottom w:val="single" w:sz="4" w:space="0" w:color="auto"/>
            </w:tcBorders>
          </w:tcPr>
          <w:p w:rsidR="00661429" w:rsidRPr="00CF3673" w:rsidRDefault="00661429" w:rsidP="00661429">
            <w:pPr>
              <w:jc w:val="center"/>
            </w:pPr>
            <w:r w:rsidRPr="00CF3673">
              <w:t>14.7</w:t>
            </w:r>
          </w:p>
        </w:tc>
        <w:tc>
          <w:tcPr>
            <w:tcW w:w="0" w:type="auto"/>
            <w:tcBorders>
              <w:top w:val="nil"/>
              <w:bottom w:val="single" w:sz="4" w:space="0" w:color="auto"/>
            </w:tcBorders>
            <w:noWrap/>
            <w:hideMark/>
          </w:tcPr>
          <w:p w:rsidR="00661429" w:rsidRPr="00CF3673" w:rsidRDefault="00661429" w:rsidP="00661429">
            <w:pPr>
              <w:jc w:val="center"/>
            </w:pPr>
            <w:r w:rsidRPr="00CF3673">
              <w:t>593</w:t>
            </w:r>
          </w:p>
        </w:tc>
        <w:tc>
          <w:tcPr>
            <w:tcW w:w="0" w:type="auto"/>
            <w:tcBorders>
              <w:top w:val="nil"/>
              <w:bottom w:val="single" w:sz="4" w:space="0" w:color="auto"/>
            </w:tcBorders>
          </w:tcPr>
          <w:p w:rsidR="00661429" w:rsidRPr="00CF3673" w:rsidRDefault="00661429" w:rsidP="00661429">
            <w:pPr>
              <w:jc w:val="center"/>
            </w:pPr>
            <w:r w:rsidRPr="00CF3673">
              <w:t>77.9</w:t>
            </w:r>
          </w:p>
        </w:tc>
      </w:tr>
      <w:tr w:rsidR="00E37B3C" w:rsidRPr="00CF3673" w:rsidTr="00737B2E">
        <w:trPr>
          <w:trHeight w:val="300"/>
          <w:jc w:val="center"/>
        </w:trPr>
        <w:tc>
          <w:tcPr>
            <w:tcW w:w="0" w:type="auto"/>
            <w:tcBorders>
              <w:top w:val="single" w:sz="4" w:space="0" w:color="auto"/>
            </w:tcBorders>
            <w:noWrap/>
            <w:hideMark/>
          </w:tcPr>
          <w:p w:rsidR="00661429" w:rsidRPr="00CF3673" w:rsidRDefault="00E37B3C" w:rsidP="00E37B3C">
            <w:pPr>
              <w:rPr>
                <w:rFonts w:ascii="Calibri" w:eastAsia="Times New Roman" w:hAnsi="Calibri" w:cs="Calibri"/>
                <w:color w:val="000000"/>
                <w:lang w:eastAsia="zh-CN"/>
              </w:rPr>
            </w:pPr>
            <w:r w:rsidRPr="00CF3673">
              <w:rPr>
                <w:rFonts w:ascii="Calibri" w:eastAsia="Times New Roman" w:hAnsi="Calibri" w:cs="Calibri"/>
                <w:color w:val="000000"/>
                <w:lang w:eastAsia="zh-CN"/>
              </w:rPr>
              <w:t>Detidas por Nacionais</w:t>
            </w:r>
          </w:p>
        </w:tc>
        <w:tc>
          <w:tcPr>
            <w:tcW w:w="0" w:type="auto"/>
            <w:tcBorders>
              <w:top w:val="single" w:sz="4" w:space="0" w:color="auto"/>
            </w:tcBorders>
            <w:noWrap/>
            <w:hideMark/>
          </w:tcPr>
          <w:p w:rsidR="00661429" w:rsidRPr="00CF3673" w:rsidRDefault="00661429" w:rsidP="00661429">
            <w:pPr>
              <w:jc w:val="center"/>
            </w:pPr>
            <w:r w:rsidRPr="00CF3673">
              <w:t>11.9</w:t>
            </w:r>
          </w:p>
        </w:tc>
        <w:tc>
          <w:tcPr>
            <w:tcW w:w="0" w:type="auto"/>
            <w:tcBorders>
              <w:top w:val="single" w:sz="4" w:space="0" w:color="auto"/>
            </w:tcBorders>
            <w:noWrap/>
            <w:hideMark/>
          </w:tcPr>
          <w:p w:rsidR="00661429" w:rsidRPr="00CF3673" w:rsidRDefault="00661429" w:rsidP="00661429">
            <w:pPr>
              <w:jc w:val="center"/>
            </w:pPr>
            <w:r w:rsidRPr="00CF3673">
              <w:t>5</w:t>
            </w:r>
          </w:p>
        </w:tc>
        <w:tc>
          <w:tcPr>
            <w:tcW w:w="0" w:type="auto"/>
            <w:tcBorders>
              <w:top w:val="single" w:sz="4" w:space="0" w:color="auto"/>
            </w:tcBorders>
          </w:tcPr>
          <w:p w:rsidR="00661429" w:rsidRPr="00CF3673" w:rsidRDefault="00661429" w:rsidP="00661429">
            <w:pPr>
              <w:jc w:val="center"/>
            </w:pPr>
            <w:r w:rsidRPr="00CF3673">
              <w:t>13.7</w:t>
            </w:r>
          </w:p>
        </w:tc>
        <w:tc>
          <w:tcPr>
            <w:tcW w:w="0" w:type="auto"/>
            <w:tcBorders>
              <w:top w:val="single" w:sz="4" w:space="0" w:color="auto"/>
            </w:tcBorders>
            <w:noWrap/>
            <w:hideMark/>
          </w:tcPr>
          <w:p w:rsidR="00661429" w:rsidRPr="00CF3673" w:rsidRDefault="00661429" w:rsidP="00661429">
            <w:pPr>
              <w:jc w:val="center"/>
            </w:pPr>
            <w:r w:rsidRPr="00CF3673">
              <w:t>676</w:t>
            </w:r>
          </w:p>
        </w:tc>
        <w:tc>
          <w:tcPr>
            <w:tcW w:w="0" w:type="auto"/>
            <w:tcBorders>
              <w:top w:val="single" w:sz="4" w:space="0" w:color="auto"/>
            </w:tcBorders>
          </w:tcPr>
          <w:p w:rsidR="00661429" w:rsidRPr="00CF3673" w:rsidRDefault="00661429" w:rsidP="00661429">
            <w:pPr>
              <w:jc w:val="center"/>
            </w:pPr>
            <w:r w:rsidRPr="00CF3673">
              <w:t>88.8</w:t>
            </w:r>
          </w:p>
        </w:tc>
      </w:tr>
      <w:tr w:rsidR="00E37B3C" w:rsidRPr="00CF3673" w:rsidTr="00661429">
        <w:trPr>
          <w:trHeight w:val="300"/>
          <w:jc w:val="center"/>
        </w:trPr>
        <w:tc>
          <w:tcPr>
            <w:tcW w:w="0" w:type="auto"/>
            <w:tcBorders>
              <w:bottom w:val="double" w:sz="4" w:space="0" w:color="auto"/>
            </w:tcBorders>
            <w:noWrap/>
            <w:hideMark/>
          </w:tcPr>
          <w:p w:rsidR="00661429" w:rsidRPr="00CF3673" w:rsidRDefault="00E37B3C" w:rsidP="00E37B3C">
            <w:pPr>
              <w:rPr>
                <w:rFonts w:ascii="Calibri" w:eastAsia="Times New Roman" w:hAnsi="Calibri" w:cs="Calibri"/>
                <w:color w:val="000000"/>
                <w:lang w:eastAsia="zh-CN"/>
              </w:rPr>
            </w:pPr>
            <w:r w:rsidRPr="00CF3673">
              <w:rPr>
                <w:rFonts w:ascii="Calibri" w:eastAsia="Times New Roman" w:hAnsi="Calibri" w:cs="Calibri"/>
                <w:color w:val="000000"/>
                <w:lang w:eastAsia="zh-CN"/>
              </w:rPr>
              <w:t>Detidas por estrangeiro</w:t>
            </w:r>
          </w:p>
        </w:tc>
        <w:tc>
          <w:tcPr>
            <w:tcW w:w="0" w:type="auto"/>
            <w:tcBorders>
              <w:bottom w:val="double" w:sz="4" w:space="0" w:color="auto"/>
            </w:tcBorders>
            <w:noWrap/>
            <w:hideMark/>
          </w:tcPr>
          <w:p w:rsidR="00661429" w:rsidRPr="00CF3673" w:rsidRDefault="00661429" w:rsidP="00661429">
            <w:pPr>
              <w:jc w:val="center"/>
            </w:pPr>
            <w:r w:rsidRPr="00CF3673">
              <w:t>55.0</w:t>
            </w:r>
          </w:p>
        </w:tc>
        <w:tc>
          <w:tcPr>
            <w:tcW w:w="0" w:type="auto"/>
            <w:tcBorders>
              <w:bottom w:val="double" w:sz="4" w:space="0" w:color="auto"/>
            </w:tcBorders>
            <w:noWrap/>
            <w:hideMark/>
          </w:tcPr>
          <w:p w:rsidR="00661429" w:rsidRPr="00CF3673" w:rsidRDefault="00661429" w:rsidP="00661429">
            <w:pPr>
              <w:jc w:val="center"/>
            </w:pPr>
            <w:r w:rsidRPr="00CF3673">
              <w:t>37</w:t>
            </w:r>
          </w:p>
        </w:tc>
        <w:tc>
          <w:tcPr>
            <w:tcW w:w="0" w:type="auto"/>
            <w:tcBorders>
              <w:bottom w:val="double" w:sz="4" w:space="0" w:color="auto"/>
            </w:tcBorders>
          </w:tcPr>
          <w:p w:rsidR="00661429" w:rsidRPr="00CF3673" w:rsidRDefault="00661429" w:rsidP="00661429">
            <w:pPr>
              <w:jc w:val="center"/>
            </w:pPr>
            <w:r w:rsidRPr="00CF3673">
              <w:t>14.3</w:t>
            </w:r>
          </w:p>
        </w:tc>
        <w:tc>
          <w:tcPr>
            <w:tcW w:w="0" w:type="auto"/>
            <w:tcBorders>
              <w:bottom w:val="double" w:sz="4" w:space="0" w:color="auto"/>
            </w:tcBorders>
            <w:noWrap/>
            <w:hideMark/>
          </w:tcPr>
          <w:p w:rsidR="00661429" w:rsidRPr="00CF3673" w:rsidRDefault="00661429" w:rsidP="00661429">
            <w:pPr>
              <w:jc w:val="center"/>
            </w:pPr>
            <w:r w:rsidRPr="00CF3673">
              <w:t>83</w:t>
            </w:r>
          </w:p>
        </w:tc>
        <w:tc>
          <w:tcPr>
            <w:tcW w:w="0" w:type="auto"/>
            <w:tcBorders>
              <w:bottom w:val="double" w:sz="4" w:space="0" w:color="auto"/>
            </w:tcBorders>
          </w:tcPr>
          <w:p w:rsidR="00661429" w:rsidRPr="00CF3673" w:rsidRDefault="00661429" w:rsidP="00661429">
            <w:pPr>
              <w:jc w:val="center"/>
            </w:pPr>
            <w:r w:rsidRPr="00CF3673">
              <w:t>10.9</w:t>
            </w:r>
          </w:p>
        </w:tc>
      </w:tr>
      <w:tr w:rsidR="00AB06BA" w:rsidRPr="00CF3673" w:rsidTr="00661429">
        <w:trPr>
          <w:trHeight w:val="300"/>
          <w:jc w:val="center"/>
        </w:trPr>
        <w:tc>
          <w:tcPr>
            <w:tcW w:w="0" w:type="auto"/>
            <w:gridSpan w:val="6"/>
            <w:tcBorders>
              <w:top w:val="nil"/>
              <w:bottom w:val="nil"/>
            </w:tcBorders>
            <w:noWrap/>
          </w:tcPr>
          <w:p w:rsidR="00AB06BA" w:rsidRPr="00CF3673" w:rsidRDefault="00B20E4D" w:rsidP="00C00DED">
            <w:pPr>
              <w:pStyle w:val="Tablenote"/>
              <w:rPr>
                <w:b/>
                <w:lang w:val="pt-PT" w:eastAsia="zh-CN"/>
              </w:rPr>
            </w:pPr>
            <w:r w:rsidRPr="00CF3673">
              <w:rPr>
                <w:b/>
                <w:lang w:val="pt-PT" w:eastAsia="zh-CN"/>
              </w:rPr>
              <w:t>Fonte</w:t>
            </w:r>
            <w:r w:rsidR="00AB06BA" w:rsidRPr="00CF3673">
              <w:rPr>
                <w:b/>
                <w:lang w:val="pt-PT" w:eastAsia="zh-CN"/>
              </w:rPr>
              <w:t>:</w:t>
            </w:r>
            <w:r w:rsidR="00AB06BA" w:rsidRPr="00CF3673">
              <w:rPr>
                <w:lang w:val="pt-PT" w:eastAsia="zh-CN"/>
              </w:rPr>
              <w:t xml:space="preserve"> </w:t>
            </w:r>
            <w:r w:rsidR="00C00DED" w:rsidRPr="00CF3673">
              <w:rPr>
                <w:lang w:val="pt-PT" w:eastAsia="zh-CN"/>
              </w:rPr>
              <w:t>calculo</w:t>
            </w:r>
            <w:r w:rsidR="00E37B3C" w:rsidRPr="00CF3673">
              <w:rPr>
                <w:lang w:val="pt-PT" w:eastAsia="zh-CN"/>
              </w:rPr>
              <w:t xml:space="preserve"> dos autores com base no I</w:t>
            </w:r>
            <w:r w:rsidR="00AB06BA" w:rsidRPr="00CF3673">
              <w:rPr>
                <w:lang w:val="pt-PT" w:eastAsia="zh-CN"/>
              </w:rPr>
              <w:t>IM 2012.</w:t>
            </w:r>
          </w:p>
        </w:tc>
      </w:tr>
    </w:tbl>
    <w:p w:rsidR="0023112F" w:rsidRPr="00CF3673" w:rsidRDefault="0023112F" w:rsidP="0023112F"/>
    <w:p w:rsidR="00AE0D41" w:rsidRPr="00CF3673" w:rsidRDefault="00AE0D41" w:rsidP="001E664B">
      <w:pPr>
        <w:pStyle w:val="MainText"/>
        <w:rPr>
          <w:lang w:val="pt-PT"/>
        </w:rPr>
      </w:pPr>
      <w:r w:rsidRPr="00CF3673">
        <w:rPr>
          <w:lang w:val="pt-PT"/>
        </w:rPr>
        <w:t xml:space="preserve">A tabela </w:t>
      </w:r>
      <w:r w:rsidR="00801595" w:rsidRPr="00CF3673">
        <w:rPr>
          <w:lang w:val="pt-PT"/>
        </w:rPr>
        <w:t>2.</w:t>
      </w:r>
      <w:r w:rsidR="004D2EFF" w:rsidRPr="00CF3673">
        <w:rPr>
          <w:lang w:val="pt-PT"/>
        </w:rPr>
        <w:t>9</w:t>
      </w:r>
      <w:r w:rsidR="00801595" w:rsidRPr="00CF3673">
        <w:rPr>
          <w:lang w:val="pt-PT"/>
        </w:rPr>
        <w:t xml:space="preserve"> </w:t>
      </w:r>
      <w:r w:rsidRPr="00CF3673">
        <w:rPr>
          <w:lang w:val="pt-PT"/>
        </w:rPr>
        <w:t xml:space="preserve">mostra que a informalidade em Moçambique é quase um fenómeno exclusivo das </w:t>
      </w:r>
      <w:r w:rsidR="00B20E4D" w:rsidRPr="00CF3673">
        <w:rPr>
          <w:lang w:val="pt-PT"/>
        </w:rPr>
        <w:t>microempresas</w:t>
      </w:r>
      <w:r w:rsidR="00801595" w:rsidRPr="00CF3673">
        <w:rPr>
          <w:lang w:val="pt-PT"/>
        </w:rPr>
        <w:t xml:space="preserve">. </w:t>
      </w:r>
      <w:r w:rsidRPr="00CF3673">
        <w:rPr>
          <w:lang w:val="pt-PT"/>
        </w:rPr>
        <w:t>Das 166 empresas informais</w:t>
      </w:r>
      <w:r w:rsidR="00801595" w:rsidRPr="00CF3673">
        <w:rPr>
          <w:lang w:val="pt-PT"/>
        </w:rPr>
        <w:t xml:space="preserve">, </w:t>
      </w:r>
      <w:r w:rsidRPr="00CF3673">
        <w:rPr>
          <w:lang w:val="pt-PT"/>
        </w:rPr>
        <w:t xml:space="preserve">apenas </w:t>
      </w:r>
      <w:r w:rsidR="0007698C" w:rsidRPr="00CF3673">
        <w:rPr>
          <w:lang w:val="pt-PT"/>
        </w:rPr>
        <w:t>se</w:t>
      </w:r>
      <w:r w:rsidRPr="00CF3673">
        <w:rPr>
          <w:lang w:val="pt-PT"/>
        </w:rPr>
        <w:t>te</w:t>
      </w:r>
      <w:r w:rsidR="00801595" w:rsidRPr="00CF3673">
        <w:rPr>
          <w:lang w:val="pt-PT"/>
        </w:rPr>
        <w:t xml:space="preserve"> (</w:t>
      </w:r>
      <w:r w:rsidRPr="00CF3673">
        <w:rPr>
          <w:lang w:val="pt-PT"/>
        </w:rPr>
        <w:t>ou 4%</w:t>
      </w:r>
      <w:r w:rsidR="00801595" w:rsidRPr="00CF3673">
        <w:rPr>
          <w:lang w:val="pt-PT"/>
        </w:rPr>
        <w:t xml:space="preserve">) </w:t>
      </w:r>
      <w:r w:rsidRPr="00CF3673">
        <w:rPr>
          <w:lang w:val="pt-PT"/>
        </w:rPr>
        <w:t>são pequenas</w:t>
      </w:r>
      <w:r w:rsidR="00801595" w:rsidRPr="00CF3673">
        <w:rPr>
          <w:lang w:val="pt-PT"/>
        </w:rPr>
        <w:t xml:space="preserve">, </w:t>
      </w:r>
      <w:r w:rsidRPr="00CF3673">
        <w:rPr>
          <w:lang w:val="pt-PT"/>
        </w:rPr>
        <w:t xml:space="preserve">o resto são </w:t>
      </w:r>
      <w:r w:rsidR="004D2EFF" w:rsidRPr="00CF3673">
        <w:rPr>
          <w:lang w:val="pt-PT"/>
        </w:rPr>
        <w:t xml:space="preserve">micro. </w:t>
      </w:r>
      <w:r w:rsidRPr="00CF3673">
        <w:rPr>
          <w:lang w:val="pt-PT"/>
        </w:rPr>
        <w:t>As empresas informais constituem 1/3</w:t>
      </w:r>
      <w:r w:rsidR="00AD1689" w:rsidRPr="00CF3673">
        <w:rPr>
          <w:lang w:val="pt-PT"/>
        </w:rPr>
        <w:t xml:space="preserve"> </w:t>
      </w:r>
      <w:r w:rsidRPr="00CF3673">
        <w:rPr>
          <w:lang w:val="pt-PT"/>
        </w:rPr>
        <w:t>de todas as microempresas.</w:t>
      </w:r>
    </w:p>
    <w:p w:rsidR="00801595" w:rsidRPr="00CF3673" w:rsidRDefault="00E333A2" w:rsidP="00B06D3F">
      <w:pPr>
        <w:pStyle w:val="TableTitle"/>
        <w:rPr>
          <w:lang w:val="pt-PT"/>
        </w:rPr>
      </w:pPr>
      <w:bookmarkStart w:id="23" w:name="_Toc360720441"/>
      <w:r w:rsidRPr="00CF3673">
        <w:rPr>
          <w:lang w:val="pt-PT"/>
        </w:rPr>
        <w:t>Tab</w:t>
      </w:r>
      <w:r w:rsidR="00C00DED" w:rsidRPr="00CF3673">
        <w:rPr>
          <w:lang w:val="pt-PT"/>
        </w:rPr>
        <w:t>ela</w:t>
      </w:r>
      <w:r w:rsidR="00801595" w:rsidRPr="00CF3673">
        <w:rPr>
          <w:lang w:val="pt-PT"/>
        </w:rPr>
        <w:t xml:space="preserve"> 2.</w:t>
      </w:r>
      <w:r w:rsidR="004D2EFF" w:rsidRPr="00CF3673">
        <w:rPr>
          <w:lang w:val="pt-PT"/>
        </w:rPr>
        <w:t>9</w:t>
      </w:r>
      <w:r w:rsidR="001B37E3" w:rsidRPr="00CF3673">
        <w:rPr>
          <w:lang w:val="pt-PT"/>
        </w:rPr>
        <w:t xml:space="preserve">: </w:t>
      </w:r>
      <w:r w:rsidR="00C00DED" w:rsidRPr="00CF3673">
        <w:rPr>
          <w:lang w:val="pt-PT"/>
        </w:rPr>
        <w:t>Número de empresas por informalidade e tamanho</w:t>
      </w:r>
      <w:bookmarkEnd w:id="23"/>
    </w:p>
    <w:tbl>
      <w:tblPr>
        <w:tblStyle w:val="StandardTable"/>
        <w:tblW w:w="0" w:type="auto"/>
        <w:jc w:val="center"/>
        <w:tblLayout w:type="fixed"/>
        <w:tblLook w:val="04E0" w:firstRow="1" w:lastRow="1" w:firstColumn="1" w:lastColumn="0" w:noHBand="0" w:noVBand="1"/>
      </w:tblPr>
      <w:tblGrid>
        <w:gridCol w:w="1539"/>
        <w:gridCol w:w="693"/>
        <w:gridCol w:w="656"/>
        <w:gridCol w:w="903"/>
        <w:gridCol w:w="628"/>
      </w:tblGrid>
      <w:tr w:rsidR="00801595" w:rsidRPr="00CF3673" w:rsidTr="00661429">
        <w:trPr>
          <w:cnfStyle w:val="100000000000" w:firstRow="1" w:lastRow="0" w:firstColumn="0" w:lastColumn="0" w:oddVBand="0" w:evenVBand="0" w:oddHBand="0" w:evenHBand="0" w:firstRowFirstColumn="0" w:firstRowLastColumn="0" w:lastRowFirstColumn="0" w:lastRowLastColumn="0"/>
          <w:trHeight w:val="300"/>
          <w:jc w:val="center"/>
        </w:trPr>
        <w:tc>
          <w:tcPr>
            <w:tcW w:w="1539" w:type="dxa"/>
            <w:noWrap/>
          </w:tcPr>
          <w:p w:rsidR="00801595" w:rsidRPr="00CF3673" w:rsidRDefault="00C00DED" w:rsidP="00C00DED">
            <w:pPr>
              <w:rPr>
                <w:rFonts w:ascii="Calibri" w:eastAsia="Times New Roman" w:hAnsi="Calibri" w:cs="Times New Roman"/>
                <w:lang w:eastAsia="zh-CN"/>
              </w:rPr>
            </w:pPr>
            <w:r w:rsidRPr="00CF3673">
              <w:rPr>
                <w:rFonts w:ascii="Calibri" w:eastAsia="Times New Roman" w:hAnsi="Calibri" w:cs="Times New Roman"/>
                <w:lang w:eastAsia="zh-CN"/>
              </w:rPr>
              <w:t>Estado de f</w:t>
            </w:r>
            <w:r w:rsidR="00801595" w:rsidRPr="00CF3673">
              <w:rPr>
                <w:rFonts w:ascii="Calibri" w:eastAsia="Times New Roman" w:hAnsi="Calibri" w:cs="Times New Roman"/>
                <w:lang w:eastAsia="zh-CN"/>
              </w:rPr>
              <w:t>ormali</w:t>
            </w:r>
            <w:r w:rsidRPr="00CF3673">
              <w:rPr>
                <w:rFonts w:ascii="Calibri" w:eastAsia="Times New Roman" w:hAnsi="Calibri" w:cs="Times New Roman"/>
                <w:lang w:eastAsia="zh-CN"/>
              </w:rPr>
              <w:t>dade</w:t>
            </w:r>
          </w:p>
        </w:tc>
        <w:tc>
          <w:tcPr>
            <w:tcW w:w="693" w:type="dxa"/>
            <w:noWrap/>
            <w:hideMark/>
          </w:tcPr>
          <w:p w:rsidR="00801595" w:rsidRPr="00CF3673" w:rsidRDefault="0080159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656" w:type="dxa"/>
            <w:noWrap/>
            <w:hideMark/>
          </w:tcPr>
          <w:p w:rsidR="00801595" w:rsidRPr="00CF3673" w:rsidRDefault="00C00DED" w:rsidP="00C00DED">
            <w:pPr>
              <w:jc w:val="cente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903" w:type="dxa"/>
            <w:noWrap/>
            <w:hideMark/>
          </w:tcPr>
          <w:p w:rsidR="00801595" w:rsidRPr="00CF3673" w:rsidRDefault="00801595" w:rsidP="00C00DED">
            <w:pPr>
              <w:jc w:val="center"/>
              <w:rPr>
                <w:rFonts w:ascii="Calibri" w:eastAsia="Times New Roman" w:hAnsi="Calibri" w:cs="Times New Roman"/>
                <w:lang w:eastAsia="zh-CN"/>
              </w:rPr>
            </w:pPr>
            <w:r w:rsidRPr="00CF3673">
              <w:rPr>
                <w:rFonts w:ascii="Calibri" w:eastAsia="Times New Roman" w:hAnsi="Calibri" w:cs="Times New Roman"/>
                <w:lang w:eastAsia="zh-CN"/>
              </w:rPr>
              <w:t>Medi</w:t>
            </w:r>
            <w:r w:rsidR="00C00DED" w:rsidRPr="00CF3673">
              <w:rPr>
                <w:rFonts w:ascii="Calibri" w:eastAsia="Times New Roman" w:hAnsi="Calibri" w:cs="Times New Roman"/>
                <w:lang w:eastAsia="zh-CN"/>
              </w:rPr>
              <w:t>a</w:t>
            </w:r>
          </w:p>
        </w:tc>
        <w:tc>
          <w:tcPr>
            <w:tcW w:w="628" w:type="dxa"/>
            <w:noWrap/>
            <w:hideMark/>
          </w:tcPr>
          <w:p w:rsidR="00801595" w:rsidRPr="00CF3673" w:rsidRDefault="0080159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Total</w:t>
            </w:r>
          </w:p>
        </w:tc>
      </w:tr>
      <w:tr w:rsidR="00AC53AF" w:rsidRPr="00CF3673" w:rsidTr="00AC53AF">
        <w:trPr>
          <w:trHeight w:val="300"/>
          <w:jc w:val="center"/>
        </w:trPr>
        <w:tc>
          <w:tcPr>
            <w:tcW w:w="1539" w:type="dxa"/>
            <w:tcBorders>
              <w:bottom w:val="nil"/>
            </w:tcBorders>
            <w:noWrap/>
            <w:hideMark/>
          </w:tcPr>
          <w:p w:rsidR="00AC53AF" w:rsidRPr="00CF3673" w:rsidRDefault="00AC53AF" w:rsidP="00737B2E">
            <w:pP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693" w:type="dxa"/>
            <w:tcBorders>
              <w:bottom w:val="nil"/>
            </w:tcBorders>
            <w:noWrap/>
            <w:hideMark/>
          </w:tcPr>
          <w:p w:rsidR="00AC53AF" w:rsidRPr="00CF3673" w:rsidRDefault="00AC53AF" w:rsidP="00AC53AF">
            <w:pPr>
              <w:jc w:val="center"/>
            </w:pPr>
            <w:r w:rsidRPr="00CF3673">
              <w:t>159</w:t>
            </w:r>
          </w:p>
        </w:tc>
        <w:tc>
          <w:tcPr>
            <w:tcW w:w="656" w:type="dxa"/>
            <w:tcBorders>
              <w:bottom w:val="nil"/>
            </w:tcBorders>
            <w:noWrap/>
            <w:hideMark/>
          </w:tcPr>
          <w:p w:rsidR="00AC53AF" w:rsidRPr="00CF3673" w:rsidRDefault="00AC53AF" w:rsidP="00AC53AF">
            <w:pPr>
              <w:jc w:val="center"/>
            </w:pPr>
            <w:r w:rsidRPr="00CF3673">
              <w:t>7</w:t>
            </w:r>
          </w:p>
        </w:tc>
        <w:tc>
          <w:tcPr>
            <w:tcW w:w="903" w:type="dxa"/>
            <w:tcBorders>
              <w:bottom w:val="nil"/>
            </w:tcBorders>
            <w:noWrap/>
            <w:hideMark/>
          </w:tcPr>
          <w:p w:rsidR="00AC53AF" w:rsidRPr="00CF3673" w:rsidRDefault="00AC53AF" w:rsidP="00AC53AF">
            <w:pPr>
              <w:jc w:val="center"/>
            </w:pPr>
          </w:p>
        </w:tc>
        <w:tc>
          <w:tcPr>
            <w:tcW w:w="628" w:type="dxa"/>
            <w:tcBorders>
              <w:bottom w:val="nil"/>
            </w:tcBorders>
            <w:noWrap/>
            <w:hideMark/>
          </w:tcPr>
          <w:p w:rsidR="00AC53AF" w:rsidRPr="00CF3673" w:rsidRDefault="00AC53AF" w:rsidP="00AC53AF">
            <w:pPr>
              <w:jc w:val="center"/>
            </w:pPr>
            <w:r w:rsidRPr="00CF3673">
              <w:t>166</w:t>
            </w:r>
          </w:p>
        </w:tc>
      </w:tr>
      <w:tr w:rsidR="00AC53AF" w:rsidRPr="00CF3673" w:rsidTr="00AC53AF">
        <w:trPr>
          <w:trHeight w:val="300"/>
          <w:jc w:val="center"/>
        </w:trPr>
        <w:tc>
          <w:tcPr>
            <w:tcW w:w="1539" w:type="dxa"/>
            <w:tcBorders>
              <w:top w:val="nil"/>
              <w:bottom w:val="single" w:sz="4" w:space="0" w:color="auto"/>
            </w:tcBorders>
            <w:noWrap/>
            <w:hideMark/>
          </w:tcPr>
          <w:p w:rsidR="00AC53AF" w:rsidRPr="00CF3673" w:rsidRDefault="00AC53AF" w:rsidP="00737B2E">
            <w:pPr>
              <w:rPr>
                <w:rFonts w:ascii="Calibri" w:eastAsia="Times New Roman" w:hAnsi="Calibri" w:cs="Times New Roman"/>
                <w:lang w:eastAsia="zh-CN"/>
              </w:rPr>
            </w:pPr>
            <w:r w:rsidRPr="00CF3673">
              <w:rPr>
                <w:rFonts w:ascii="Calibri" w:eastAsia="Times New Roman" w:hAnsi="Calibri" w:cs="Times New Roman"/>
                <w:lang w:eastAsia="zh-CN"/>
              </w:rPr>
              <w:t>Formal</w:t>
            </w:r>
          </w:p>
        </w:tc>
        <w:tc>
          <w:tcPr>
            <w:tcW w:w="693" w:type="dxa"/>
            <w:tcBorders>
              <w:top w:val="nil"/>
              <w:bottom w:val="single" w:sz="4" w:space="0" w:color="auto"/>
            </w:tcBorders>
            <w:noWrap/>
            <w:hideMark/>
          </w:tcPr>
          <w:p w:rsidR="00AC53AF" w:rsidRPr="00CF3673" w:rsidRDefault="00AC53AF" w:rsidP="00AC53AF">
            <w:pPr>
              <w:jc w:val="center"/>
            </w:pPr>
            <w:r w:rsidRPr="00CF3673">
              <w:t>356</w:t>
            </w:r>
          </w:p>
        </w:tc>
        <w:tc>
          <w:tcPr>
            <w:tcW w:w="656" w:type="dxa"/>
            <w:tcBorders>
              <w:top w:val="nil"/>
              <w:bottom w:val="single" w:sz="4" w:space="0" w:color="auto"/>
            </w:tcBorders>
            <w:noWrap/>
            <w:hideMark/>
          </w:tcPr>
          <w:p w:rsidR="00AC53AF" w:rsidRPr="00CF3673" w:rsidRDefault="00AC53AF" w:rsidP="00AC53AF">
            <w:pPr>
              <w:jc w:val="center"/>
            </w:pPr>
            <w:r w:rsidRPr="00CF3673">
              <w:t>171</w:t>
            </w:r>
          </w:p>
        </w:tc>
        <w:tc>
          <w:tcPr>
            <w:tcW w:w="903" w:type="dxa"/>
            <w:tcBorders>
              <w:top w:val="nil"/>
              <w:bottom w:val="single" w:sz="4" w:space="0" w:color="auto"/>
            </w:tcBorders>
            <w:noWrap/>
            <w:hideMark/>
          </w:tcPr>
          <w:p w:rsidR="00AC53AF" w:rsidRPr="00CF3673" w:rsidRDefault="00AC53AF" w:rsidP="00AC53AF">
            <w:pPr>
              <w:jc w:val="center"/>
            </w:pPr>
            <w:r w:rsidRPr="00CF3673">
              <w:t>66</w:t>
            </w:r>
          </w:p>
        </w:tc>
        <w:tc>
          <w:tcPr>
            <w:tcW w:w="628" w:type="dxa"/>
            <w:tcBorders>
              <w:top w:val="nil"/>
              <w:bottom w:val="single" w:sz="4" w:space="0" w:color="auto"/>
            </w:tcBorders>
            <w:noWrap/>
            <w:hideMark/>
          </w:tcPr>
          <w:p w:rsidR="00AC53AF" w:rsidRPr="00CF3673" w:rsidRDefault="00AC53AF" w:rsidP="00AC53AF">
            <w:pPr>
              <w:jc w:val="center"/>
            </w:pPr>
            <w:r w:rsidRPr="00CF3673">
              <w:t>593</w:t>
            </w:r>
          </w:p>
        </w:tc>
      </w:tr>
      <w:tr w:rsidR="00AC53AF" w:rsidRPr="00CF3673" w:rsidTr="00AC53AF">
        <w:trPr>
          <w:trHeight w:val="300"/>
          <w:jc w:val="center"/>
        </w:trPr>
        <w:tc>
          <w:tcPr>
            <w:tcW w:w="1539" w:type="dxa"/>
            <w:tcBorders>
              <w:top w:val="single" w:sz="4" w:space="0" w:color="auto"/>
              <w:bottom w:val="double" w:sz="4" w:space="0" w:color="auto"/>
            </w:tcBorders>
            <w:noWrap/>
            <w:hideMark/>
          </w:tcPr>
          <w:p w:rsidR="00AC53AF" w:rsidRPr="00CF3673" w:rsidRDefault="00AC53AF" w:rsidP="00737B2E">
            <w:pPr>
              <w:rPr>
                <w:rFonts w:ascii="Calibri" w:eastAsia="Times New Roman" w:hAnsi="Calibri" w:cs="Times New Roman"/>
                <w:lang w:eastAsia="zh-CN"/>
              </w:rPr>
            </w:pPr>
            <w:r w:rsidRPr="00CF3673">
              <w:rPr>
                <w:rFonts w:ascii="Calibri" w:eastAsia="Times New Roman" w:hAnsi="Calibri" w:cs="Times New Roman"/>
                <w:lang w:eastAsia="zh-CN"/>
              </w:rPr>
              <w:t>Total</w:t>
            </w:r>
          </w:p>
        </w:tc>
        <w:tc>
          <w:tcPr>
            <w:tcW w:w="693" w:type="dxa"/>
            <w:tcBorders>
              <w:top w:val="single" w:sz="4" w:space="0" w:color="auto"/>
              <w:bottom w:val="double" w:sz="4" w:space="0" w:color="auto"/>
            </w:tcBorders>
            <w:noWrap/>
            <w:hideMark/>
          </w:tcPr>
          <w:p w:rsidR="00AC53AF" w:rsidRPr="00CF3673" w:rsidRDefault="00AC53AF" w:rsidP="00AC53AF">
            <w:pPr>
              <w:jc w:val="center"/>
            </w:pPr>
            <w:r w:rsidRPr="00CF3673">
              <w:t>515</w:t>
            </w:r>
          </w:p>
        </w:tc>
        <w:tc>
          <w:tcPr>
            <w:tcW w:w="656" w:type="dxa"/>
            <w:tcBorders>
              <w:top w:val="single" w:sz="4" w:space="0" w:color="auto"/>
              <w:bottom w:val="double" w:sz="4" w:space="0" w:color="auto"/>
            </w:tcBorders>
            <w:noWrap/>
            <w:hideMark/>
          </w:tcPr>
          <w:p w:rsidR="00AC53AF" w:rsidRPr="00CF3673" w:rsidRDefault="00AC53AF" w:rsidP="00AC53AF">
            <w:pPr>
              <w:jc w:val="center"/>
            </w:pPr>
            <w:r w:rsidRPr="00CF3673">
              <w:t>178</w:t>
            </w:r>
          </w:p>
        </w:tc>
        <w:tc>
          <w:tcPr>
            <w:tcW w:w="903" w:type="dxa"/>
            <w:tcBorders>
              <w:top w:val="single" w:sz="4" w:space="0" w:color="auto"/>
              <w:bottom w:val="double" w:sz="4" w:space="0" w:color="auto"/>
            </w:tcBorders>
            <w:noWrap/>
            <w:hideMark/>
          </w:tcPr>
          <w:p w:rsidR="00AC53AF" w:rsidRPr="00CF3673" w:rsidRDefault="00AC53AF" w:rsidP="00AC53AF">
            <w:pPr>
              <w:jc w:val="center"/>
            </w:pPr>
            <w:r w:rsidRPr="00CF3673">
              <w:t>66</w:t>
            </w:r>
          </w:p>
        </w:tc>
        <w:tc>
          <w:tcPr>
            <w:tcW w:w="628" w:type="dxa"/>
            <w:tcBorders>
              <w:top w:val="single" w:sz="4" w:space="0" w:color="auto"/>
              <w:bottom w:val="double" w:sz="4" w:space="0" w:color="auto"/>
            </w:tcBorders>
            <w:noWrap/>
            <w:hideMark/>
          </w:tcPr>
          <w:p w:rsidR="00AC53AF" w:rsidRPr="00CF3673" w:rsidRDefault="00AC53AF" w:rsidP="00AC53AF">
            <w:pPr>
              <w:jc w:val="center"/>
            </w:pPr>
            <w:r w:rsidRPr="00CF3673">
              <w:t>759</w:t>
            </w:r>
          </w:p>
        </w:tc>
      </w:tr>
      <w:tr w:rsidR="00661429" w:rsidRPr="00CF3673" w:rsidTr="00661429">
        <w:trPr>
          <w:trHeight w:val="300"/>
          <w:jc w:val="center"/>
        </w:trPr>
        <w:tc>
          <w:tcPr>
            <w:tcW w:w="4419" w:type="dxa"/>
            <w:gridSpan w:val="5"/>
            <w:tcBorders>
              <w:top w:val="double" w:sz="4" w:space="0" w:color="auto"/>
              <w:bottom w:val="nil"/>
            </w:tcBorders>
            <w:noWrap/>
          </w:tcPr>
          <w:p w:rsidR="00661429" w:rsidRPr="00CF3673" w:rsidRDefault="00C00DED" w:rsidP="00C00DED">
            <w:pPr>
              <w:pStyle w:val="Tablenote"/>
              <w:rPr>
                <w:b/>
                <w:lang w:val="pt-PT" w:eastAsia="zh-CN"/>
              </w:rPr>
            </w:pPr>
            <w:r w:rsidRPr="00CF3673">
              <w:rPr>
                <w:b/>
                <w:lang w:val="pt-PT" w:eastAsia="zh-CN"/>
              </w:rPr>
              <w:t>Nota</w:t>
            </w:r>
            <w:r w:rsidR="00661429" w:rsidRPr="00CF3673">
              <w:rPr>
                <w:b/>
                <w:lang w:val="pt-PT" w:eastAsia="zh-CN"/>
              </w:rPr>
              <w:t>:</w:t>
            </w:r>
            <w:r w:rsidR="00661429" w:rsidRPr="00CF3673">
              <w:rPr>
                <w:lang w:val="pt-PT" w:eastAsia="zh-CN"/>
              </w:rPr>
              <w:t xml:space="preserve"> </w:t>
            </w:r>
            <w:r w:rsidR="00B20E4D" w:rsidRPr="00CF3673">
              <w:rPr>
                <w:lang w:val="pt-PT" w:eastAsia="zh-CN"/>
              </w:rPr>
              <w:t>Espaços</w:t>
            </w:r>
            <w:r w:rsidRPr="00CF3673">
              <w:rPr>
                <w:lang w:val="pt-PT" w:eastAsia="zh-CN"/>
              </w:rPr>
              <w:t xml:space="preserve"> em branco indicam não empresas naquela categoria</w:t>
            </w:r>
            <w:r w:rsidR="00DF4C81" w:rsidRPr="00CF3673">
              <w:rPr>
                <w:lang w:val="pt-PT" w:eastAsia="zh-CN"/>
              </w:rPr>
              <w:t xml:space="preserve">. </w:t>
            </w:r>
            <w:r w:rsidRPr="00CF3673">
              <w:rPr>
                <w:lang w:val="pt-PT" w:eastAsia="zh-CN"/>
              </w:rPr>
              <w:t>Há duas observações em falta “</w:t>
            </w:r>
            <w:proofErr w:type="spellStart"/>
            <w:r w:rsidRPr="00CF3673">
              <w:rPr>
                <w:lang w:val="pt-PT" w:eastAsia="zh-CN"/>
              </w:rPr>
              <w:t>missing</w:t>
            </w:r>
            <w:proofErr w:type="spellEnd"/>
            <w:r w:rsidRPr="00CF3673">
              <w:rPr>
                <w:lang w:val="pt-PT" w:eastAsia="zh-CN"/>
              </w:rPr>
              <w:t>”</w:t>
            </w:r>
            <w:r w:rsidR="00661429" w:rsidRPr="00CF3673">
              <w:rPr>
                <w:lang w:val="pt-PT" w:eastAsia="zh-CN"/>
              </w:rPr>
              <w:t>.</w:t>
            </w:r>
          </w:p>
        </w:tc>
      </w:tr>
      <w:tr w:rsidR="00661429" w:rsidRPr="00CF3673" w:rsidTr="00661429">
        <w:trPr>
          <w:cnfStyle w:val="010000000000" w:firstRow="0" w:lastRow="1" w:firstColumn="0" w:lastColumn="0" w:oddVBand="0" w:evenVBand="0" w:oddHBand="0" w:evenHBand="0" w:firstRowFirstColumn="0" w:firstRowLastColumn="0" w:lastRowFirstColumn="0" w:lastRowLastColumn="0"/>
          <w:trHeight w:val="300"/>
          <w:jc w:val="center"/>
        </w:trPr>
        <w:tc>
          <w:tcPr>
            <w:tcW w:w="4419" w:type="dxa"/>
            <w:gridSpan w:val="5"/>
            <w:tcBorders>
              <w:top w:val="nil"/>
              <w:bottom w:val="nil"/>
            </w:tcBorders>
            <w:noWrap/>
          </w:tcPr>
          <w:p w:rsidR="00661429" w:rsidRPr="00CF3673" w:rsidRDefault="00C00DED" w:rsidP="00C00DED">
            <w:pPr>
              <w:pStyle w:val="Tablenote"/>
              <w:rPr>
                <w:b/>
                <w:lang w:val="pt-PT" w:eastAsia="zh-CN"/>
              </w:rPr>
            </w:pPr>
            <w:r w:rsidRPr="00CF3673">
              <w:rPr>
                <w:b/>
                <w:lang w:val="pt-PT" w:eastAsia="zh-CN"/>
              </w:rPr>
              <w:t>Fonte</w:t>
            </w:r>
            <w:r w:rsidR="00661429" w:rsidRPr="00CF3673">
              <w:rPr>
                <w:b/>
                <w:lang w:val="pt-PT" w:eastAsia="zh-CN"/>
              </w:rPr>
              <w:t>:</w:t>
            </w:r>
            <w:r w:rsidR="00661429" w:rsidRPr="00CF3673">
              <w:rPr>
                <w:lang w:val="pt-PT" w:eastAsia="zh-CN"/>
              </w:rPr>
              <w:t xml:space="preserve"> </w:t>
            </w:r>
            <w:r w:rsidRPr="00CF3673">
              <w:rPr>
                <w:lang w:val="pt-PT" w:eastAsia="zh-CN"/>
              </w:rPr>
              <w:t xml:space="preserve">Calculo dos autores com base no </w:t>
            </w:r>
            <w:r w:rsidR="00661429" w:rsidRPr="00CF3673">
              <w:rPr>
                <w:lang w:val="pt-PT" w:eastAsia="zh-CN"/>
              </w:rPr>
              <w:t>IIM 2012.</w:t>
            </w:r>
          </w:p>
        </w:tc>
      </w:tr>
    </w:tbl>
    <w:p w:rsidR="004D2EFF" w:rsidRPr="00CF3673" w:rsidRDefault="004D2EFF" w:rsidP="001E664B">
      <w:pPr>
        <w:pStyle w:val="MainText"/>
        <w:rPr>
          <w:lang w:val="pt-PT"/>
        </w:rPr>
      </w:pPr>
    </w:p>
    <w:p w:rsidR="00C00DED" w:rsidRPr="00CF3673" w:rsidRDefault="00C00DED" w:rsidP="001E664B">
      <w:pPr>
        <w:pStyle w:val="MainText"/>
        <w:rPr>
          <w:lang w:val="pt-PT"/>
        </w:rPr>
      </w:pPr>
      <w:r w:rsidRPr="00CF3673">
        <w:rPr>
          <w:lang w:val="pt-PT"/>
        </w:rPr>
        <w:t xml:space="preserve">A tabela 2.10 mostra como diferentes tamanhos de empresas são distribuídos por tipo de propriedade. A esmagadora maioria </w:t>
      </w:r>
      <w:r w:rsidR="00CC216F" w:rsidRPr="00CF3673">
        <w:rPr>
          <w:lang w:val="pt-PT"/>
        </w:rPr>
        <w:t xml:space="preserve">das empresas são de propriedade individual </w:t>
      </w:r>
      <w:r w:rsidR="00CE5C42" w:rsidRPr="00CF3673">
        <w:rPr>
          <w:lang w:val="pt-PT"/>
        </w:rPr>
        <w:t>e cerca de metade das pequenas empresas são propriedade indiv</w:t>
      </w:r>
      <w:r w:rsidR="0061436C" w:rsidRPr="00CF3673">
        <w:rPr>
          <w:lang w:val="pt-PT"/>
        </w:rPr>
        <w:t>id</w:t>
      </w:r>
      <w:r w:rsidR="00CE5C42" w:rsidRPr="00CF3673">
        <w:rPr>
          <w:lang w:val="pt-PT"/>
        </w:rPr>
        <w:t xml:space="preserve">ual enquanto a outra metade são sociedades. Muitas das empresas de responsabilidade limitada são de média dimensão, e as empresas médias tem maior propensão de serem sociedades. </w:t>
      </w:r>
      <w:r w:rsidRPr="00CF3673">
        <w:rPr>
          <w:lang w:val="pt-PT"/>
        </w:rPr>
        <w:t xml:space="preserve"> </w:t>
      </w:r>
    </w:p>
    <w:p w:rsidR="001F59AB" w:rsidRPr="00CF3673" w:rsidRDefault="001F59AB">
      <w:pPr>
        <w:rPr>
          <w:b/>
        </w:rPr>
      </w:pPr>
      <w:r w:rsidRPr="00CF3673">
        <w:br w:type="page"/>
      </w:r>
    </w:p>
    <w:p w:rsidR="004D2EFF" w:rsidRPr="00CF3673" w:rsidRDefault="00E333A2" w:rsidP="00B06D3F">
      <w:pPr>
        <w:pStyle w:val="TableTitle"/>
        <w:rPr>
          <w:lang w:val="pt-PT"/>
        </w:rPr>
      </w:pPr>
      <w:bookmarkStart w:id="24" w:name="_Toc360720442"/>
      <w:r w:rsidRPr="00CF3673">
        <w:rPr>
          <w:lang w:val="pt-PT"/>
        </w:rPr>
        <w:lastRenderedPageBreak/>
        <w:t>Tab</w:t>
      </w:r>
      <w:r w:rsidR="004F1FC5" w:rsidRPr="00CF3673">
        <w:rPr>
          <w:lang w:val="pt-PT"/>
        </w:rPr>
        <w:t>ela</w:t>
      </w:r>
      <w:r w:rsidR="004D2EFF" w:rsidRPr="00CF3673">
        <w:rPr>
          <w:lang w:val="pt-PT"/>
        </w:rPr>
        <w:t xml:space="preserve"> 2.10</w:t>
      </w:r>
      <w:r w:rsidR="001B37E3" w:rsidRPr="00CF3673">
        <w:rPr>
          <w:lang w:val="pt-PT"/>
        </w:rPr>
        <w:t xml:space="preserve">: </w:t>
      </w:r>
      <w:r w:rsidR="001F3B73" w:rsidRPr="00CF3673">
        <w:rPr>
          <w:lang w:val="pt-PT"/>
        </w:rPr>
        <w:t>Número de</w:t>
      </w:r>
      <w:r w:rsidR="001B37E3" w:rsidRPr="00CF3673">
        <w:rPr>
          <w:lang w:val="pt-PT"/>
        </w:rPr>
        <w:t xml:space="preserve"> </w:t>
      </w:r>
      <w:r w:rsidR="001F3B73" w:rsidRPr="00CF3673">
        <w:rPr>
          <w:lang w:val="pt-PT"/>
        </w:rPr>
        <w:t xml:space="preserve">empresas por tamanho e estado de legalidade </w:t>
      </w:r>
      <w:bookmarkEnd w:id="24"/>
    </w:p>
    <w:tbl>
      <w:tblPr>
        <w:tblStyle w:val="StandardTable"/>
        <w:tblW w:w="0" w:type="auto"/>
        <w:jc w:val="center"/>
        <w:tblLook w:val="04E0" w:firstRow="1" w:lastRow="1" w:firstColumn="1" w:lastColumn="0" w:noHBand="0" w:noVBand="1"/>
      </w:tblPr>
      <w:tblGrid>
        <w:gridCol w:w="3754"/>
        <w:gridCol w:w="693"/>
        <w:gridCol w:w="930"/>
        <w:gridCol w:w="812"/>
        <w:gridCol w:w="628"/>
      </w:tblGrid>
      <w:tr w:rsidR="00C96D40" w:rsidRPr="00CF3673" w:rsidTr="00737B2E">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noWrap/>
            <w:hideMark/>
          </w:tcPr>
          <w:p w:rsidR="004D2EFF" w:rsidRPr="00CF3673" w:rsidRDefault="001F3B73" w:rsidP="001F3B73">
            <w:pPr>
              <w:rPr>
                <w:rFonts w:ascii="Calibri" w:eastAsia="Times New Roman" w:hAnsi="Calibri" w:cs="Times New Roman"/>
                <w:lang w:eastAsia="zh-CN"/>
              </w:rPr>
            </w:pPr>
            <w:r w:rsidRPr="00CF3673">
              <w:rPr>
                <w:rFonts w:ascii="Calibri" w:eastAsia="Times New Roman" w:hAnsi="Calibri" w:cs="Times New Roman"/>
                <w:lang w:eastAsia="zh-CN"/>
              </w:rPr>
              <w:t>Estado de Legalidade</w:t>
            </w:r>
          </w:p>
        </w:tc>
        <w:tc>
          <w:tcPr>
            <w:tcW w:w="0" w:type="auto"/>
            <w:noWrap/>
            <w:hideMark/>
          </w:tcPr>
          <w:p w:rsidR="004D2EFF" w:rsidRPr="00CF3673" w:rsidRDefault="004D2EFF"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0" w:type="auto"/>
            <w:noWrap/>
            <w:hideMark/>
          </w:tcPr>
          <w:p w:rsidR="004D2EFF" w:rsidRPr="00CF3673" w:rsidRDefault="001F3B73" w:rsidP="001F3B73">
            <w:pPr>
              <w:jc w:val="cente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0" w:type="auto"/>
            <w:noWrap/>
            <w:hideMark/>
          </w:tcPr>
          <w:p w:rsidR="004D2EFF" w:rsidRPr="00CF3673" w:rsidRDefault="004D2EFF" w:rsidP="001F3B73">
            <w:pPr>
              <w:jc w:val="center"/>
              <w:rPr>
                <w:rFonts w:ascii="Calibri" w:eastAsia="Times New Roman" w:hAnsi="Calibri" w:cs="Times New Roman"/>
                <w:lang w:eastAsia="zh-CN"/>
              </w:rPr>
            </w:pPr>
            <w:r w:rsidRPr="00CF3673">
              <w:rPr>
                <w:rFonts w:ascii="Calibri" w:eastAsia="Times New Roman" w:hAnsi="Calibri" w:cs="Times New Roman"/>
                <w:lang w:eastAsia="zh-CN"/>
              </w:rPr>
              <w:t>Medi</w:t>
            </w:r>
            <w:r w:rsidR="001F3B73" w:rsidRPr="00CF3673">
              <w:rPr>
                <w:rFonts w:ascii="Calibri" w:eastAsia="Times New Roman" w:hAnsi="Calibri" w:cs="Times New Roman"/>
                <w:lang w:eastAsia="zh-CN"/>
              </w:rPr>
              <w:t>as</w:t>
            </w:r>
          </w:p>
        </w:tc>
        <w:tc>
          <w:tcPr>
            <w:tcW w:w="0" w:type="auto"/>
            <w:noWrap/>
            <w:hideMark/>
          </w:tcPr>
          <w:p w:rsidR="004D2EFF" w:rsidRPr="00CF3673" w:rsidRDefault="004D2EFF"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Total</w:t>
            </w:r>
          </w:p>
        </w:tc>
      </w:tr>
      <w:tr w:rsidR="00C96D40" w:rsidRPr="00CF3673" w:rsidTr="00737B2E">
        <w:trPr>
          <w:trHeight w:val="300"/>
          <w:jc w:val="center"/>
        </w:trPr>
        <w:tc>
          <w:tcPr>
            <w:tcW w:w="0" w:type="auto"/>
            <w:noWrap/>
            <w:hideMark/>
          </w:tcPr>
          <w:p w:rsidR="00AC53AF" w:rsidRPr="00CF3673" w:rsidRDefault="001F3B73" w:rsidP="001F3B73">
            <w:pPr>
              <w:rPr>
                <w:rFonts w:ascii="Calibri" w:eastAsia="Times New Roman" w:hAnsi="Calibri" w:cs="Times New Roman"/>
                <w:lang w:eastAsia="zh-CN"/>
              </w:rPr>
            </w:pPr>
            <w:r w:rsidRPr="00CF3673">
              <w:rPr>
                <w:rFonts w:ascii="Calibri" w:eastAsia="Times New Roman" w:hAnsi="Calibri" w:cs="Times New Roman"/>
                <w:lang w:eastAsia="zh-CN"/>
              </w:rPr>
              <w:t>Individual</w:t>
            </w:r>
          </w:p>
        </w:tc>
        <w:tc>
          <w:tcPr>
            <w:tcW w:w="0" w:type="auto"/>
            <w:noWrap/>
            <w:hideMark/>
          </w:tcPr>
          <w:p w:rsidR="00AC53AF" w:rsidRPr="00CF3673" w:rsidRDefault="00AC53AF" w:rsidP="00AC53AF">
            <w:pPr>
              <w:jc w:val="center"/>
            </w:pPr>
            <w:r w:rsidRPr="00CF3673">
              <w:t>488</w:t>
            </w:r>
          </w:p>
        </w:tc>
        <w:tc>
          <w:tcPr>
            <w:tcW w:w="0" w:type="auto"/>
            <w:noWrap/>
            <w:hideMark/>
          </w:tcPr>
          <w:p w:rsidR="00AC53AF" w:rsidRPr="00CF3673" w:rsidRDefault="00AC53AF" w:rsidP="00AC53AF">
            <w:pPr>
              <w:jc w:val="center"/>
            </w:pPr>
            <w:r w:rsidRPr="00CF3673">
              <w:t>99</w:t>
            </w:r>
          </w:p>
        </w:tc>
        <w:tc>
          <w:tcPr>
            <w:tcW w:w="0" w:type="auto"/>
            <w:noWrap/>
            <w:hideMark/>
          </w:tcPr>
          <w:p w:rsidR="00AC53AF" w:rsidRPr="00CF3673" w:rsidRDefault="00AC53AF" w:rsidP="00AC53AF">
            <w:pPr>
              <w:jc w:val="center"/>
            </w:pPr>
            <w:r w:rsidRPr="00CF3673">
              <w:t>15</w:t>
            </w:r>
          </w:p>
        </w:tc>
        <w:tc>
          <w:tcPr>
            <w:tcW w:w="0" w:type="auto"/>
            <w:noWrap/>
            <w:hideMark/>
          </w:tcPr>
          <w:p w:rsidR="00AC53AF" w:rsidRPr="00CF3673" w:rsidRDefault="00AC53AF" w:rsidP="00AC53AF">
            <w:pPr>
              <w:jc w:val="center"/>
            </w:pPr>
            <w:r w:rsidRPr="00CF3673">
              <w:t>602</w:t>
            </w:r>
          </w:p>
        </w:tc>
      </w:tr>
      <w:tr w:rsidR="00C96D40" w:rsidRPr="00CF3673" w:rsidTr="00737B2E">
        <w:trPr>
          <w:trHeight w:val="300"/>
          <w:jc w:val="center"/>
        </w:trPr>
        <w:tc>
          <w:tcPr>
            <w:tcW w:w="0" w:type="auto"/>
            <w:noWrap/>
            <w:hideMark/>
          </w:tcPr>
          <w:p w:rsidR="00AC53AF" w:rsidRPr="00CF3673" w:rsidRDefault="001F3B73" w:rsidP="00737B2E">
            <w:pPr>
              <w:rPr>
                <w:rFonts w:ascii="Calibri" w:eastAsia="Times New Roman" w:hAnsi="Calibri" w:cs="Times New Roman"/>
                <w:lang w:eastAsia="zh-CN"/>
              </w:rPr>
            </w:pPr>
            <w:r w:rsidRPr="00CF3673">
              <w:rPr>
                <w:rFonts w:ascii="Calibri" w:eastAsia="Times New Roman" w:hAnsi="Calibri" w:cs="Times New Roman"/>
                <w:lang w:eastAsia="zh-CN"/>
              </w:rPr>
              <w:t>Parceria</w:t>
            </w:r>
          </w:p>
        </w:tc>
        <w:tc>
          <w:tcPr>
            <w:tcW w:w="0" w:type="auto"/>
            <w:noWrap/>
            <w:hideMark/>
          </w:tcPr>
          <w:p w:rsidR="00AC53AF" w:rsidRPr="00CF3673" w:rsidRDefault="00AC53AF" w:rsidP="00AC53AF">
            <w:pPr>
              <w:jc w:val="center"/>
            </w:pPr>
            <w:r w:rsidRPr="00CF3673">
              <w:t>26</w:t>
            </w:r>
          </w:p>
        </w:tc>
        <w:tc>
          <w:tcPr>
            <w:tcW w:w="0" w:type="auto"/>
            <w:noWrap/>
            <w:hideMark/>
          </w:tcPr>
          <w:p w:rsidR="00AC53AF" w:rsidRPr="00CF3673" w:rsidRDefault="00AC53AF" w:rsidP="00AC53AF">
            <w:pPr>
              <w:jc w:val="center"/>
            </w:pPr>
            <w:r w:rsidRPr="00CF3673">
              <w:t>74</w:t>
            </w:r>
          </w:p>
        </w:tc>
        <w:tc>
          <w:tcPr>
            <w:tcW w:w="0" w:type="auto"/>
            <w:noWrap/>
            <w:hideMark/>
          </w:tcPr>
          <w:p w:rsidR="00AC53AF" w:rsidRPr="00CF3673" w:rsidRDefault="00AC53AF" w:rsidP="00AC53AF">
            <w:pPr>
              <w:jc w:val="center"/>
            </w:pPr>
            <w:r w:rsidRPr="00CF3673">
              <w:t>40</w:t>
            </w:r>
          </w:p>
        </w:tc>
        <w:tc>
          <w:tcPr>
            <w:tcW w:w="0" w:type="auto"/>
            <w:noWrap/>
            <w:hideMark/>
          </w:tcPr>
          <w:p w:rsidR="00AC53AF" w:rsidRPr="00CF3673" w:rsidRDefault="00AC53AF" w:rsidP="00AC53AF">
            <w:pPr>
              <w:jc w:val="center"/>
            </w:pPr>
            <w:r w:rsidRPr="00CF3673">
              <w:t>140</w:t>
            </w:r>
          </w:p>
        </w:tc>
      </w:tr>
      <w:tr w:rsidR="00C96D40" w:rsidRPr="00CF3673" w:rsidTr="00737B2E">
        <w:trPr>
          <w:trHeight w:val="300"/>
          <w:jc w:val="center"/>
        </w:trPr>
        <w:tc>
          <w:tcPr>
            <w:tcW w:w="0" w:type="auto"/>
            <w:noWrap/>
            <w:hideMark/>
          </w:tcPr>
          <w:p w:rsidR="00AC53AF" w:rsidRPr="00CF3673" w:rsidRDefault="00B20E4D" w:rsidP="00737B2E">
            <w:pPr>
              <w:rPr>
                <w:rFonts w:ascii="Calibri" w:eastAsia="Times New Roman" w:hAnsi="Calibri" w:cs="Times New Roman"/>
                <w:lang w:eastAsia="zh-CN"/>
              </w:rPr>
            </w:pPr>
            <w:r w:rsidRPr="00CF3673">
              <w:rPr>
                <w:rFonts w:ascii="Calibri" w:eastAsia="Times New Roman" w:hAnsi="Calibri" w:cs="Times New Roman"/>
                <w:lang w:eastAsia="zh-CN"/>
              </w:rPr>
              <w:t xml:space="preserve">Empresa de responsabilidade </w:t>
            </w:r>
            <w:r w:rsidR="001F3B73" w:rsidRPr="00CF3673">
              <w:rPr>
                <w:rFonts w:ascii="Calibri" w:eastAsia="Times New Roman" w:hAnsi="Calibri" w:cs="Times New Roman"/>
                <w:lang w:eastAsia="zh-CN"/>
              </w:rPr>
              <w:t>limitada</w:t>
            </w:r>
          </w:p>
        </w:tc>
        <w:tc>
          <w:tcPr>
            <w:tcW w:w="0" w:type="auto"/>
            <w:noWrap/>
            <w:hideMark/>
          </w:tcPr>
          <w:p w:rsidR="00AC53AF" w:rsidRPr="00CF3673" w:rsidRDefault="00AC53AF" w:rsidP="00AC53AF">
            <w:pPr>
              <w:jc w:val="center"/>
            </w:pPr>
            <w:r w:rsidRPr="00CF3673">
              <w:t>1</w:t>
            </w:r>
          </w:p>
        </w:tc>
        <w:tc>
          <w:tcPr>
            <w:tcW w:w="0" w:type="auto"/>
            <w:noWrap/>
            <w:hideMark/>
          </w:tcPr>
          <w:p w:rsidR="00AC53AF" w:rsidRPr="00CF3673" w:rsidRDefault="00AC53AF" w:rsidP="00AC53AF">
            <w:pPr>
              <w:jc w:val="center"/>
            </w:pPr>
            <w:r w:rsidRPr="00CF3673">
              <w:t>2</w:t>
            </w:r>
          </w:p>
        </w:tc>
        <w:tc>
          <w:tcPr>
            <w:tcW w:w="0" w:type="auto"/>
            <w:noWrap/>
            <w:hideMark/>
          </w:tcPr>
          <w:p w:rsidR="00AC53AF" w:rsidRPr="00CF3673" w:rsidRDefault="00AC53AF" w:rsidP="00AC53AF">
            <w:pPr>
              <w:jc w:val="center"/>
            </w:pPr>
            <w:r w:rsidRPr="00CF3673">
              <w:t>9</w:t>
            </w:r>
          </w:p>
        </w:tc>
        <w:tc>
          <w:tcPr>
            <w:tcW w:w="0" w:type="auto"/>
            <w:noWrap/>
            <w:hideMark/>
          </w:tcPr>
          <w:p w:rsidR="00AC53AF" w:rsidRPr="00CF3673" w:rsidRDefault="00AC53AF" w:rsidP="00AC53AF">
            <w:pPr>
              <w:jc w:val="center"/>
            </w:pPr>
            <w:r w:rsidRPr="00CF3673">
              <w:t>12</w:t>
            </w:r>
          </w:p>
        </w:tc>
      </w:tr>
      <w:tr w:rsidR="00C96D40" w:rsidRPr="00CF3673" w:rsidTr="00AC53AF">
        <w:trPr>
          <w:trHeight w:val="300"/>
          <w:jc w:val="center"/>
        </w:trPr>
        <w:tc>
          <w:tcPr>
            <w:tcW w:w="0" w:type="auto"/>
            <w:tcBorders>
              <w:bottom w:val="nil"/>
            </w:tcBorders>
            <w:noWrap/>
            <w:hideMark/>
          </w:tcPr>
          <w:p w:rsidR="00AC53AF" w:rsidRPr="00CF3673" w:rsidRDefault="00AC53AF" w:rsidP="001F3B73">
            <w:pPr>
              <w:rPr>
                <w:rFonts w:ascii="Calibri" w:eastAsia="Times New Roman" w:hAnsi="Calibri" w:cs="Times New Roman"/>
                <w:lang w:eastAsia="zh-CN"/>
              </w:rPr>
            </w:pPr>
            <w:r w:rsidRPr="00CF3673">
              <w:rPr>
                <w:rFonts w:ascii="Calibri" w:eastAsia="Times New Roman" w:hAnsi="Calibri" w:cs="Times New Roman"/>
                <w:lang w:eastAsia="zh-CN"/>
              </w:rPr>
              <w:t>Subsidiar</w:t>
            </w:r>
            <w:r w:rsidR="001F3B73" w:rsidRPr="00CF3673">
              <w:rPr>
                <w:rFonts w:ascii="Calibri" w:eastAsia="Times New Roman" w:hAnsi="Calibri" w:cs="Times New Roman"/>
                <w:lang w:eastAsia="zh-CN"/>
              </w:rPr>
              <w:t>ia duma companhia Moç</w:t>
            </w:r>
            <w:r w:rsidRPr="00CF3673">
              <w:rPr>
                <w:rFonts w:ascii="Calibri" w:eastAsia="Times New Roman" w:hAnsi="Calibri" w:cs="Times New Roman"/>
                <w:lang w:eastAsia="zh-CN"/>
              </w:rPr>
              <w:t>ambican</w:t>
            </w:r>
            <w:r w:rsidR="001F3B73" w:rsidRPr="00CF3673">
              <w:rPr>
                <w:rFonts w:ascii="Calibri" w:eastAsia="Times New Roman" w:hAnsi="Calibri" w:cs="Times New Roman"/>
                <w:lang w:eastAsia="zh-CN"/>
              </w:rPr>
              <w:t>a</w:t>
            </w:r>
          </w:p>
        </w:tc>
        <w:tc>
          <w:tcPr>
            <w:tcW w:w="0" w:type="auto"/>
            <w:tcBorders>
              <w:bottom w:val="nil"/>
            </w:tcBorders>
          </w:tcPr>
          <w:p w:rsidR="00AC53AF" w:rsidRPr="00CF3673" w:rsidRDefault="00AC53AF" w:rsidP="00AC53AF">
            <w:pPr>
              <w:jc w:val="center"/>
            </w:pPr>
          </w:p>
        </w:tc>
        <w:tc>
          <w:tcPr>
            <w:tcW w:w="0" w:type="auto"/>
            <w:tcBorders>
              <w:bottom w:val="nil"/>
            </w:tcBorders>
          </w:tcPr>
          <w:p w:rsidR="00AC53AF" w:rsidRPr="00CF3673" w:rsidRDefault="00AC53AF" w:rsidP="00AC53AF">
            <w:pPr>
              <w:jc w:val="center"/>
            </w:pPr>
          </w:p>
        </w:tc>
        <w:tc>
          <w:tcPr>
            <w:tcW w:w="0" w:type="auto"/>
            <w:tcBorders>
              <w:bottom w:val="nil"/>
            </w:tcBorders>
            <w:noWrap/>
            <w:hideMark/>
          </w:tcPr>
          <w:p w:rsidR="00AC53AF" w:rsidRPr="00CF3673" w:rsidRDefault="00AC53AF" w:rsidP="00AC53AF">
            <w:pPr>
              <w:jc w:val="center"/>
            </w:pPr>
            <w:r w:rsidRPr="00CF3673">
              <w:t>2</w:t>
            </w:r>
          </w:p>
        </w:tc>
        <w:tc>
          <w:tcPr>
            <w:tcW w:w="0" w:type="auto"/>
            <w:tcBorders>
              <w:bottom w:val="nil"/>
            </w:tcBorders>
            <w:noWrap/>
            <w:hideMark/>
          </w:tcPr>
          <w:p w:rsidR="00AC53AF" w:rsidRPr="00CF3673" w:rsidRDefault="00AC53AF" w:rsidP="00AC53AF">
            <w:pPr>
              <w:jc w:val="center"/>
            </w:pPr>
            <w:r w:rsidRPr="00CF3673">
              <w:t>2</w:t>
            </w:r>
          </w:p>
        </w:tc>
      </w:tr>
      <w:tr w:rsidR="00C96D40" w:rsidRPr="00CF3673" w:rsidTr="00AC53AF">
        <w:trPr>
          <w:trHeight w:val="300"/>
          <w:jc w:val="center"/>
        </w:trPr>
        <w:tc>
          <w:tcPr>
            <w:tcW w:w="0" w:type="auto"/>
            <w:tcBorders>
              <w:top w:val="nil"/>
              <w:bottom w:val="single" w:sz="4" w:space="0" w:color="auto"/>
            </w:tcBorders>
            <w:noWrap/>
            <w:hideMark/>
          </w:tcPr>
          <w:p w:rsidR="00AC53AF" w:rsidRPr="00CF3673" w:rsidRDefault="001F3B73" w:rsidP="00737B2E">
            <w:pPr>
              <w:rPr>
                <w:rFonts w:ascii="Calibri" w:eastAsia="Times New Roman" w:hAnsi="Calibri" w:cs="Times New Roman"/>
                <w:lang w:eastAsia="zh-CN"/>
              </w:rPr>
            </w:pPr>
            <w:r w:rsidRPr="00CF3673">
              <w:rPr>
                <w:rFonts w:ascii="Calibri" w:eastAsia="Times New Roman" w:hAnsi="Calibri" w:cs="Times New Roman"/>
                <w:lang w:eastAsia="zh-CN"/>
              </w:rPr>
              <w:t>Outros</w:t>
            </w:r>
          </w:p>
        </w:tc>
        <w:tc>
          <w:tcPr>
            <w:tcW w:w="0" w:type="auto"/>
            <w:tcBorders>
              <w:top w:val="nil"/>
              <w:bottom w:val="single" w:sz="4" w:space="0" w:color="auto"/>
            </w:tcBorders>
            <w:noWrap/>
            <w:hideMark/>
          </w:tcPr>
          <w:p w:rsidR="00AC53AF" w:rsidRPr="00CF3673" w:rsidRDefault="00AC53AF" w:rsidP="00AC53AF">
            <w:pPr>
              <w:jc w:val="center"/>
            </w:pPr>
            <w:r w:rsidRPr="00CF3673">
              <w:t>2</w:t>
            </w:r>
          </w:p>
        </w:tc>
        <w:tc>
          <w:tcPr>
            <w:tcW w:w="0" w:type="auto"/>
            <w:tcBorders>
              <w:top w:val="nil"/>
              <w:bottom w:val="single" w:sz="4" w:space="0" w:color="auto"/>
            </w:tcBorders>
            <w:noWrap/>
            <w:hideMark/>
          </w:tcPr>
          <w:p w:rsidR="00AC53AF" w:rsidRPr="00CF3673" w:rsidRDefault="00AC53AF" w:rsidP="00AC53AF">
            <w:pPr>
              <w:jc w:val="center"/>
            </w:pPr>
            <w:r w:rsidRPr="00CF3673">
              <w:t>3</w:t>
            </w:r>
          </w:p>
        </w:tc>
        <w:tc>
          <w:tcPr>
            <w:tcW w:w="0" w:type="auto"/>
            <w:tcBorders>
              <w:top w:val="nil"/>
              <w:bottom w:val="single" w:sz="4" w:space="0" w:color="auto"/>
            </w:tcBorders>
            <w:noWrap/>
            <w:hideMark/>
          </w:tcPr>
          <w:p w:rsidR="00AC53AF" w:rsidRPr="00CF3673" w:rsidRDefault="00AC53AF" w:rsidP="00AC53AF">
            <w:pPr>
              <w:jc w:val="center"/>
            </w:pPr>
          </w:p>
        </w:tc>
        <w:tc>
          <w:tcPr>
            <w:tcW w:w="0" w:type="auto"/>
            <w:tcBorders>
              <w:top w:val="nil"/>
              <w:bottom w:val="single" w:sz="4" w:space="0" w:color="auto"/>
            </w:tcBorders>
            <w:noWrap/>
            <w:hideMark/>
          </w:tcPr>
          <w:p w:rsidR="00AC53AF" w:rsidRPr="00CF3673" w:rsidRDefault="00AC53AF" w:rsidP="00AC53AF">
            <w:pPr>
              <w:jc w:val="center"/>
            </w:pPr>
            <w:r w:rsidRPr="00CF3673">
              <w:t>5</w:t>
            </w:r>
          </w:p>
        </w:tc>
      </w:tr>
      <w:tr w:rsidR="00C96D40" w:rsidRPr="00CF3673" w:rsidTr="00AC53AF">
        <w:trPr>
          <w:trHeight w:val="300"/>
          <w:jc w:val="center"/>
        </w:trPr>
        <w:tc>
          <w:tcPr>
            <w:tcW w:w="0" w:type="auto"/>
            <w:tcBorders>
              <w:top w:val="single" w:sz="4" w:space="0" w:color="auto"/>
              <w:bottom w:val="double" w:sz="4" w:space="0" w:color="auto"/>
            </w:tcBorders>
            <w:noWrap/>
            <w:hideMark/>
          </w:tcPr>
          <w:p w:rsidR="00AC53AF" w:rsidRPr="00CF3673" w:rsidRDefault="00AC53AF" w:rsidP="00737B2E">
            <w:pPr>
              <w:rPr>
                <w:rFonts w:ascii="Calibri" w:eastAsia="Times New Roman" w:hAnsi="Calibri" w:cs="Times New Roman"/>
                <w:lang w:eastAsia="zh-CN"/>
              </w:rPr>
            </w:pPr>
            <w:r w:rsidRPr="00CF3673">
              <w:rPr>
                <w:rFonts w:ascii="Calibri" w:eastAsia="Times New Roman" w:hAnsi="Calibri" w:cs="Times New Roman"/>
                <w:lang w:eastAsia="zh-CN"/>
              </w:rPr>
              <w:t>Total</w:t>
            </w:r>
          </w:p>
        </w:tc>
        <w:tc>
          <w:tcPr>
            <w:tcW w:w="0" w:type="auto"/>
            <w:tcBorders>
              <w:top w:val="single" w:sz="4" w:space="0" w:color="auto"/>
              <w:bottom w:val="double" w:sz="4" w:space="0" w:color="auto"/>
            </w:tcBorders>
            <w:noWrap/>
            <w:hideMark/>
          </w:tcPr>
          <w:p w:rsidR="00AC53AF" w:rsidRPr="00CF3673" w:rsidRDefault="00AC53AF" w:rsidP="00AC53AF">
            <w:pPr>
              <w:jc w:val="center"/>
            </w:pPr>
            <w:r w:rsidRPr="00CF3673">
              <w:t>517</w:t>
            </w:r>
          </w:p>
        </w:tc>
        <w:tc>
          <w:tcPr>
            <w:tcW w:w="0" w:type="auto"/>
            <w:tcBorders>
              <w:top w:val="single" w:sz="4" w:space="0" w:color="auto"/>
              <w:bottom w:val="double" w:sz="4" w:space="0" w:color="auto"/>
            </w:tcBorders>
            <w:noWrap/>
            <w:hideMark/>
          </w:tcPr>
          <w:p w:rsidR="00AC53AF" w:rsidRPr="00CF3673" w:rsidRDefault="00AC53AF" w:rsidP="00AC53AF">
            <w:pPr>
              <w:jc w:val="center"/>
            </w:pPr>
            <w:r w:rsidRPr="00CF3673">
              <w:t>178</w:t>
            </w:r>
          </w:p>
        </w:tc>
        <w:tc>
          <w:tcPr>
            <w:tcW w:w="0" w:type="auto"/>
            <w:tcBorders>
              <w:top w:val="single" w:sz="4" w:space="0" w:color="auto"/>
              <w:bottom w:val="double" w:sz="4" w:space="0" w:color="auto"/>
            </w:tcBorders>
            <w:noWrap/>
            <w:hideMark/>
          </w:tcPr>
          <w:p w:rsidR="00AC53AF" w:rsidRPr="00CF3673" w:rsidRDefault="00AC53AF" w:rsidP="00AC53AF">
            <w:pPr>
              <w:jc w:val="center"/>
            </w:pPr>
            <w:r w:rsidRPr="00CF3673">
              <w:t>66</w:t>
            </w:r>
          </w:p>
        </w:tc>
        <w:tc>
          <w:tcPr>
            <w:tcW w:w="0" w:type="auto"/>
            <w:tcBorders>
              <w:top w:val="single" w:sz="4" w:space="0" w:color="auto"/>
              <w:bottom w:val="double" w:sz="4" w:space="0" w:color="auto"/>
            </w:tcBorders>
            <w:noWrap/>
            <w:hideMark/>
          </w:tcPr>
          <w:p w:rsidR="00AC53AF" w:rsidRPr="00CF3673" w:rsidRDefault="00AC53AF" w:rsidP="00AC53AF">
            <w:pPr>
              <w:jc w:val="center"/>
            </w:pPr>
            <w:r w:rsidRPr="00CF3673">
              <w:t>761</w:t>
            </w:r>
          </w:p>
        </w:tc>
      </w:tr>
      <w:tr w:rsidR="00C96D40" w:rsidRPr="00CF3673" w:rsidTr="00AC53AF">
        <w:trPr>
          <w:trHeight w:val="300"/>
          <w:jc w:val="center"/>
        </w:trPr>
        <w:tc>
          <w:tcPr>
            <w:tcW w:w="0" w:type="auto"/>
            <w:gridSpan w:val="5"/>
            <w:tcBorders>
              <w:top w:val="double" w:sz="4" w:space="0" w:color="auto"/>
              <w:bottom w:val="nil"/>
            </w:tcBorders>
            <w:noWrap/>
          </w:tcPr>
          <w:p w:rsidR="00AC53AF" w:rsidRPr="00CF3673" w:rsidRDefault="00AC53AF" w:rsidP="00C96D40">
            <w:pPr>
              <w:pStyle w:val="Tablenote"/>
              <w:rPr>
                <w:b/>
                <w:lang w:val="pt-PT" w:eastAsia="zh-CN"/>
              </w:rPr>
            </w:pPr>
            <w:r w:rsidRPr="00CF3673">
              <w:rPr>
                <w:b/>
                <w:lang w:val="pt-PT" w:eastAsia="zh-CN"/>
              </w:rPr>
              <w:t>Note:</w:t>
            </w:r>
            <w:r w:rsidR="00DF4C81" w:rsidRPr="00CF3673">
              <w:rPr>
                <w:lang w:val="pt-PT" w:eastAsia="zh-CN"/>
              </w:rPr>
              <w:t xml:space="preserve"> </w:t>
            </w:r>
            <w:r w:rsidR="00C96D40" w:rsidRPr="00CF3673">
              <w:rPr>
                <w:lang w:val="pt-PT" w:eastAsia="zh-CN"/>
              </w:rPr>
              <w:t>Espaços em branco indicam que não existem empresas na categoria</w:t>
            </w:r>
          </w:p>
        </w:tc>
      </w:tr>
      <w:tr w:rsidR="00C96D40" w:rsidRPr="00CF3673" w:rsidTr="00AC53AF">
        <w:trPr>
          <w:cnfStyle w:val="010000000000" w:firstRow="0" w:lastRow="1" w:firstColumn="0" w:lastColumn="0" w:oddVBand="0" w:evenVBand="0" w:oddHBand="0" w:evenHBand="0" w:firstRowFirstColumn="0" w:firstRowLastColumn="0" w:lastRowFirstColumn="0" w:lastRowLastColumn="0"/>
          <w:trHeight w:val="300"/>
          <w:jc w:val="center"/>
        </w:trPr>
        <w:tc>
          <w:tcPr>
            <w:tcW w:w="0" w:type="auto"/>
            <w:gridSpan w:val="5"/>
            <w:tcBorders>
              <w:top w:val="nil"/>
              <w:bottom w:val="nil"/>
            </w:tcBorders>
            <w:noWrap/>
          </w:tcPr>
          <w:p w:rsidR="00AC53AF" w:rsidRPr="00CF3673" w:rsidRDefault="00C96D40" w:rsidP="0061436C">
            <w:pPr>
              <w:pStyle w:val="Tablenote"/>
              <w:rPr>
                <w:b/>
                <w:lang w:val="pt-PT" w:eastAsia="zh-CN"/>
              </w:rPr>
            </w:pPr>
            <w:r w:rsidRPr="00CF3673">
              <w:rPr>
                <w:b/>
                <w:lang w:val="pt-PT" w:eastAsia="zh-CN"/>
              </w:rPr>
              <w:t>Fonte:</w:t>
            </w:r>
            <w:r w:rsidR="00AC53AF" w:rsidRPr="00CF3673">
              <w:rPr>
                <w:lang w:val="pt-PT" w:eastAsia="zh-CN"/>
              </w:rPr>
              <w:t xml:space="preserve"> </w:t>
            </w:r>
            <w:r w:rsidR="00B20E4D" w:rsidRPr="00CF3673">
              <w:rPr>
                <w:lang w:val="pt-PT" w:eastAsia="zh-CN"/>
              </w:rPr>
              <w:t>Cálculos</w:t>
            </w:r>
            <w:r w:rsidRPr="00CF3673">
              <w:rPr>
                <w:lang w:val="pt-PT" w:eastAsia="zh-CN"/>
              </w:rPr>
              <w:t xml:space="preserve"> dos autores </w:t>
            </w:r>
            <w:r w:rsidR="0061436C" w:rsidRPr="00CF3673">
              <w:rPr>
                <w:lang w:val="pt-PT" w:eastAsia="zh-CN"/>
              </w:rPr>
              <w:t>com</w:t>
            </w:r>
            <w:r w:rsidRPr="00CF3673">
              <w:rPr>
                <w:lang w:val="pt-PT" w:eastAsia="zh-CN"/>
              </w:rPr>
              <w:t xml:space="preserve"> base </w:t>
            </w:r>
            <w:r w:rsidR="0061436C" w:rsidRPr="00CF3673">
              <w:rPr>
                <w:lang w:val="pt-PT" w:eastAsia="zh-CN"/>
              </w:rPr>
              <w:t>n</w:t>
            </w:r>
            <w:r w:rsidRPr="00CF3673">
              <w:rPr>
                <w:lang w:val="pt-PT" w:eastAsia="zh-CN"/>
              </w:rPr>
              <w:t xml:space="preserve">o </w:t>
            </w:r>
            <w:r w:rsidR="00AC53AF" w:rsidRPr="00CF3673">
              <w:rPr>
                <w:lang w:val="pt-PT" w:eastAsia="zh-CN"/>
              </w:rPr>
              <w:t>IIM 2012.</w:t>
            </w:r>
          </w:p>
        </w:tc>
      </w:tr>
    </w:tbl>
    <w:p w:rsidR="0061436C" w:rsidRPr="00CF3673" w:rsidRDefault="0061436C" w:rsidP="001E664B">
      <w:pPr>
        <w:pStyle w:val="MainText"/>
        <w:rPr>
          <w:lang w:val="pt-PT"/>
        </w:rPr>
      </w:pPr>
    </w:p>
    <w:p w:rsidR="006616CB" w:rsidRPr="00CF3673" w:rsidRDefault="006616CB" w:rsidP="001E664B">
      <w:pPr>
        <w:pStyle w:val="MainText"/>
        <w:rPr>
          <w:lang w:val="pt-PT"/>
        </w:rPr>
      </w:pPr>
      <w:r w:rsidRPr="00CF3673">
        <w:rPr>
          <w:lang w:val="pt-PT"/>
        </w:rPr>
        <w:t>Tabela 2.11 mostra como empresas de diferentes tamanhos são distribuídas pelas cidades. Uma parte desproporciona</w:t>
      </w:r>
      <w:r w:rsidR="00D20BBE" w:rsidRPr="00CF3673">
        <w:rPr>
          <w:lang w:val="pt-PT"/>
        </w:rPr>
        <w:t>l</w:t>
      </w:r>
      <w:r w:rsidRPr="00CF3673">
        <w:rPr>
          <w:lang w:val="pt-PT"/>
        </w:rPr>
        <w:t xml:space="preserve"> das médias empresas está situada em Maputo e Matola, enquanto </w:t>
      </w:r>
      <w:proofErr w:type="spellStart"/>
      <w:r w:rsidRPr="00CF3673">
        <w:rPr>
          <w:lang w:val="pt-PT"/>
        </w:rPr>
        <w:t>Moatize</w:t>
      </w:r>
      <w:proofErr w:type="spellEnd"/>
      <w:r w:rsidRPr="00CF3673">
        <w:rPr>
          <w:lang w:val="pt-PT"/>
        </w:rPr>
        <w:t xml:space="preserve"> não tem nenhuma de tamanho médio. Nampula e Nacala também têm uma proporção relativamente alta de empresas de tamanho médio. Há uma tendência geral para cidades menores terem relativamente mais empresas de micro.</w:t>
      </w:r>
    </w:p>
    <w:p w:rsidR="00651D4B" w:rsidRPr="00CF3673" w:rsidRDefault="00651D4B" w:rsidP="00651D4B">
      <w:pPr>
        <w:pStyle w:val="TableTitle"/>
        <w:rPr>
          <w:lang w:val="pt-PT"/>
        </w:rPr>
      </w:pPr>
      <w:bookmarkStart w:id="25" w:name="_Toc360720443"/>
      <w:r w:rsidRPr="00CF3673">
        <w:rPr>
          <w:lang w:val="pt-PT"/>
        </w:rPr>
        <w:t>Tab</w:t>
      </w:r>
      <w:r w:rsidR="006616CB" w:rsidRPr="00CF3673">
        <w:rPr>
          <w:lang w:val="pt-PT"/>
        </w:rPr>
        <w:t>ela</w:t>
      </w:r>
      <w:r w:rsidRPr="00CF3673">
        <w:rPr>
          <w:lang w:val="pt-PT"/>
        </w:rPr>
        <w:t xml:space="preserve"> 2.11: </w:t>
      </w:r>
      <w:r w:rsidR="006616CB" w:rsidRPr="00CF3673">
        <w:rPr>
          <w:lang w:val="pt-PT"/>
        </w:rPr>
        <w:t>Número de empresas por localização e tamanho</w:t>
      </w:r>
      <w:bookmarkEnd w:id="25"/>
      <w:r w:rsidRPr="00CF3673">
        <w:rPr>
          <w:lang w:val="pt-PT"/>
        </w:rPr>
        <w:t xml:space="preserve"> </w:t>
      </w:r>
    </w:p>
    <w:tbl>
      <w:tblPr>
        <w:tblStyle w:val="StandardTable"/>
        <w:tblW w:w="0" w:type="auto"/>
        <w:jc w:val="center"/>
        <w:tblLayout w:type="fixed"/>
        <w:tblLook w:val="04A0" w:firstRow="1" w:lastRow="0" w:firstColumn="1" w:lastColumn="0" w:noHBand="0" w:noVBand="1"/>
      </w:tblPr>
      <w:tblGrid>
        <w:gridCol w:w="1142"/>
        <w:gridCol w:w="831"/>
        <w:gridCol w:w="787"/>
        <w:gridCol w:w="1083"/>
        <w:gridCol w:w="753"/>
      </w:tblGrid>
      <w:tr w:rsidR="00651D4B" w:rsidRPr="00CF3673" w:rsidTr="00651D4B">
        <w:trPr>
          <w:cnfStyle w:val="100000000000" w:firstRow="1" w:lastRow="0" w:firstColumn="0" w:lastColumn="0" w:oddVBand="0" w:evenVBand="0" w:oddHBand="0" w:evenHBand="0" w:firstRowFirstColumn="0" w:firstRowLastColumn="0" w:lastRowFirstColumn="0" w:lastRowLastColumn="0"/>
          <w:trHeight w:val="309"/>
          <w:jc w:val="center"/>
        </w:trPr>
        <w:tc>
          <w:tcPr>
            <w:tcW w:w="1142" w:type="dxa"/>
            <w:noWrap/>
          </w:tcPr>
          <w:p w:rsidR="00651D4B" w:rsidRPr="00CF3673" w:rsidRDefault="00651D4B" w:rsidP="00651D4B">
            <w:pPr>
              <w:jc w:val="center"/>
              <w:rPr>
                <w:rFonts w:ascii="Calibri" w:eastAsia="Times New Roman" w:hAnsi="Calibri" w:cs="Times New Roman"/>
                <w:lang w:eastAsia="zh-CN"/>
              </w:rPr>
            </w:pPr>
          </w:p>
        </w:tc>
        <w:tc>
          <w:tcPr>
            <w:tcW w:w="831" w:type="dxa"/>
            <w:noWrap/>
            <w:hideMark/>
          </w:tcPr>
          <w:p w:rsidR="00651D4B" w:rsidRPr="00CF3673" w:rsidRDefault="00651D4B" w:rsidP="00651D4B">
            <w:pPr>
              <w:jc w:val="cente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787" w:type="dxa"/>
            <w:noWrap/>
            <w:hideMark/>
          </w:tcPr>
          <w:p w:rsidR="00651D4B" w:rsidRPr="00CF3673" w:rsidRDefault="006616CB" w:rsidP="006616CB">
            <w:pPr>
              <w:jc w:val="cente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1083" w:type="dxa"/>
            <w:noWrap/>
            <w:hideMark/>
          </w:tcPr>
          <w:p w:rsidR="00651D4B" w:rsidRPr="00CF3673" w:rsidRDefault="00651D4B" w:rsidP="006616CB">
            <w:pPr>
              <w:jc w:val="center"/>
              <w:rPr>
                <w:rFonts w:ascii="Calibri" w:eastAsia="Times New Roman" w:hAnsi="Calibri" w:cs="Times New Roman"/>
                <w:lang w:eastAsia="zh-CN"/>
              </w:rPr>
            </w:pPr>
            <w:r w:rsidRPr="00CF3673">
              <w:rPr>
                <w:rFonts w:ascii="Calibri" w:eastAsia="Times New Roman" w:hAnsi="Calibri" w:cs="Times New Roman"/>
                <w:lang w:eastAsia="zh-CN"/>
              </w:rPr>
              <w:t>Medi</w:t>
            </w:r>
            <w:r w:rsidR="006616CB" w:rsidRPr="00CF3673">
              <w:rPr>
                <w:rFonts w:ascii="Calibri" w:eastAsia="Times New Roman" w:hAnsi="Calibri" w:cs="Times New Roman"/>
                <w:lang w:eastAsia="zh-CN"/>
              </w:rPr>
              <w:t>as</w:t>
            </w:r>
          </w:p>
        </w:tc>
        <w:tc>
          <w:tcPr>
            <w:tcW w:w="753" w:type="dxa"/>
            <w:noWrap/>
            <w:hideMark/>
          </w:tcPr>
          <w:p w:rsidR="00651D4B" w:rsidRPr="00CF3673" w:rsidRDefault="00651D4B" w:rsidP="00651D4B">
            <w:pPr>
              <w:jc w:val="center"/>
              <w:rPr>
                <w:rFonts w:ascii="Calibri" w:eastAsia="Times New Roman" w:hAnsi="Calibri" w:cs="Times New Roman"/>
                <w:lang w:eastAsia="zh-CN"/>
              </w:rPr>
            </w:pPr>
            <w:r w:rsidRPr="00CF3673">
              <w:rPr>
                <w:rFonts w:ascii="Calibri" w:eastAsia="Times New Roman" w:hAnsi="Calibri" w:cs="Times New Roman"/>
                <w:lang w:eastAsia="zh-CN"/>
              </w:rPr>
              <w:t>Total</w:t>
            </w:r>
          </w:p>
        </w:tc>
      </w:tr>
      <w:tr w:rsidR="00651D4B" w:rsidRPr="00CF3673" w:rsidTr="00651D4B">
        <w:trPr>
          <w:trHeight w:val="309"/>
          <w:jc w:val="center"/>
        </w:trPr>
        <w:tc>
          <w:tcPr>
            <w:tcW w:w="1142" w:type="dxa"/>
            <w:noWrap/>
            <w:hideMark/>
          </w:tcPr>
          <w:p w:rsidR="00651D4B" w:rsidRPr="00CF3673" w:rsidRDefault="00651D4B" w:rsidP="00651D4B">
            <w:pPr>
              <w:rPr>
                <w:rFonts w:ascii="Calibri" w:eastAsia="Times New Roman" w:hAnsi="Calibri" w:cs="Times New Roman"/>
                <w:lang w:eastAsia="zh-CN"/>
              </w:rPr>
            </w:pPr>
            <w:r w:rsidRPr="00CF3673">
              <w:rPr>
                <w:rFonts w:ascii="Calibri" w:eastAsia="Times New Roman" w:hAnsi="Calibri" w:cs="Times New Roman"/>
                <w:lang w:eastAsia="zh-CN"/>
              </w:rPr>
              <w:t>Maputo</w:t>
            </w:r>
          </w:p>
        </w:tc>
        <w:tc>
          <w:tcPr>
            <w:tcW w:w="831" w:type="dxa"/>
            <w:noWrap/>
            <w:hideMark/>
          </w:tcPr>
          <w:p w:rsidR="00651D4B" w:rsidRPr="00CF3673" w:rsidRDefault="00651D4B" w:rsidP="00651D4B">
            <w:pPr>
              <w:jc w:val="center"/>
            </w:pPr>
            <w:r w:rsidRPr="00CF3673">
              <w:t>161</w:t>
            </w:r>
          </w:p>
        </w:tc>
        <w:tc>
          <w:tcPr>
            <w:tcW w:w="787" w:type="dxa"/>
            <w:noWrap/>
            <w:hideMark/>
          </w:tcPr>
          <w:p w:rsidR="00651D4B" w:rsidRPr="00CF3673" w:rsidRDefault="00651D4B" w:rsidP="00651D4B">
            <w:pPr>
              <w:jc w:val="center"/>
            </w:pPr>
            <w:r w:rsidRPr="00CF3673">
              <w:t>78</w:t>
            </w:r>
          </w:p>
        </w:tc>
        <w:tc>
          <w:tcPr>
            <w:tcW w:w="1083" w:type="dxa"/>
            <w:noWrap/>
            <w:hideMark/>
          </w:tcPr>
          <w:p w:rsidR="00651D4B" w:rsidRPr="00CF3673" w:rsidRDefault="00651D4B" w:rsidP="00651D4B">
            <w:pPr>
              <w:jc w:val="center"/>
            </w:pPr>
            <w:r w:rsidRPr="00CF3673">
              <w:t>29</w:t>
            </w:r>
          </w:p>
        </w:tc>
        <w:tc>
          <w:tcPr>
            <w:tcW w:w="753" w:type="dxa"/>
            <w:noWrap/>
            <w:hideMark/>
          </w:tcPr>
          <w:p w:rsidR="00651D4B" w:rsidRPr="00CF3673" w:rsidRDefault="00651D4B" w:rsidP="00651D4B">
            <w:pPr>
              <w:jc w:val="center"/>
            </w:pPr>
            <w:r w:rsidRPr="00CF3673">
              <w:t>268</w:t>
            </w:r>
          </w:p>
        </w:tc>
      </w:tr>
      <w:tr w:rsidR="00651D4B" w:rsidRPr="00CF3673" w:rsidTr="00651D4B">
        <w:trPr>
          <w:trHeight w:val="309"/>
          <w:jc w:val="center"/>
        </w:trPr>
        <w:tc>
          <w:tcPr>
            <w:tcW w:w="1142" w:type="dxa"/>
            <w:noWrap/>
            <w:hideMark/>
          </w:tcPr>
          <w:p w:rsidR="00651D4B" w:rsidRPr="00CF3673" w:rsidRDefault="00651D4B" w:rsidP="00651D4B">
            <w:pPr>
              <w:rPr>
                <w:rFonts w:ascii="Calibri" w:eastAsia="Times New Roman" w:hAnsi="Calibri" w:cs="Times New Roman"/>
                <w:lang w:eastAsia="zh-CN"/>
              </w:rPr>
            </w:pPr>
            <w:r w:rsidRPr="00CF3673">
              <w:rPr>
                <w:rFonts w:ascii="Calibri" w:eastAsia="Times New Roman" w:hAnsi="Calibri" w:cs="Times New Roman"/>
                <w:lang w:eastAsia="zh-CN"/>
              </w:rPr>
              <w:t>Matola</w:t>
            </w:r>
          </w:p>
        </w:tc>
        <w:tc>
          <w:tcPr>
            <w:tcW w:w="831" w:type="dxa"/>
            <w:noWrap/>
            <w:hideMark/>
          </w:tcPr>
          <w:p w:rsidR="00651D4B" w:rsidRPr="00CF3673" w:rsidRDefault="00651D4B" w:rsidP="00651D4B">
            <w:pPr>
              <w:jc w:val="center"/>
            </w:pPr>
            <w:r w:rsidRPr="00CF3673">
              <w:t>33</w:t>
            </w:r>
          </w:p>
        </w:tc>
        <w:tc>
          <w:tcPr>
            <w:tcW w:w="787" w:type="dxa"/>
            <w:noWrap/>
            <w:hideMark/>
          </w:tcPr>
          <w:p w:rsidR="00651D4B" w:rsidRPr="00CF3673" w:rsidRDefault="00651D4B" w:rsidP="00651D4B">
            <w:pPr>
              <w:jc w:val="center"/>
            </w:pPr>
            <w:r w:rsidRPr="00CF3673">
              <w:t>25</w:t>
            </w:r>
          </w:p>
        </w:tc>
        <w:tc>
          <w:tcPr>
            <w:tcW w:w="1083" w:type="dxa"/>
            <w:noWrap/>
            <w:hideMark/>
          </w:tcPr>
          <w:p w:rsidR="00651D4B" w:rsidRPr="00CF3673" w:rsidRDefault="00651D4B" w:rsidP="00651D4B">
            <w:pPr>
              <w:jc w:val="center"/>
            </w:pPr>
            <w:r w:rsidRPr="00CF3673">
              <w:t>11</w:t>
            </w:r>
          </w:p>
        </w:tc>
        <w:tc>
          <w:tcPr>
            <w:tcW w:w="753" w:type="dxa"/>
            <w:noWrap/>
            <w:hideMark/>
          </w:tcPr>
          <w:p w:rsidR="00651D4B" w:rsidRPr="00CF3673" w:rsidRDefault="00651D4B" w:rsidP="00651D4B">
            <w:pPr>
              <w:jc w:val="center"/>
            </w:pPr>
            <w:r w:rsidRPr="00CF3673">
              <w:t>69</w:t>
            </w:r>
          </w:p>
        </w:tc>
      </w:tr>
      <w:tr w:rsidR="00651D4B" w:rsidRPr="00CF3673" w:rsidTr="00651D4B">
        <w:trPr>
          <w:trHeight w:val="309"/>
          <w:jc w:val="center"/>
        </w:trPr>
        <w:tc>
          <w:tcPr>
            <w:tcW w:w="1142" w:type="dxa"/>
            <w:noWrap/>
            <w:hideMark/>
          </w:tcPr>
          <w:p w:rsidR="00651D4B" w:rsidRPr="00CF3673" w:rsidRDefault="00651D4B" w:rsidP="00651D4B">
            <w:pPr>
              <w:rPr>
                <w:rFonts w:ascii="Calibri" w:eastAsia="Times New Roman" w:hAnsi="Calibri" w:cs="Times New Roman"/>
                <w:lang w:eastAsia="zh-CN"/>
              </w:rPr>
            </w:pPr>
            <w:r w:rsidRPr="00CF3673">
              <w:rPr>
                <w:rFonts w:ascii="Calibri" w:eastAsia="Times New Roman" w:hAnsi="Calibri" w:cs="Times New Roman"/>
                <w:lang w:eastAsia="zh-CN"/>
              </w:rPr>
              <w:t>Beira</w:t>
            </w:r>
          </w:p>
        </w:tc>
        <w:tc>
          <w:tcPr>
            <w:tcW w:w="831" w:type="dxa"/>
            <w:noWrap/>
            <w:hideMark/>
          </w:tcPr>
          <w:p w:rsidR="00651D4B" w:rsidRPr="00CF3673" w:rsidRDefault="00651D4B" w:rsidP="00651D4B">
            <w:pPr>
              <w:jc w:val="center"/>
            </w:pPr>
            <w:r w:rsidRPr="00CF3673">
              <w:t>108</w:t>
            </w:r>
          </w:p>
        </w:tc>
        <w:tc>
          <w:tcPr>
            <w:tcW w:w="787" w:type="dxa"/>
            <w:noWrap/>
            <w:hideMark/>
          </w:tcPr>
          <w:p w:rsidR="00651D4B" w:rsidRPr="00CF3673" w:rsidRDefault="00651D4B" w:rsidP="00651D4B">
            <w:pPr>
              <w:jc w:val="center"/>
            </w:pPr>
            <w:r w:rsidRPr="00CF3673">
              <w:t>31</w:t>
            </w:r>
          </w:p>
        </w:tc>
        <w:tc>
          <w:tcPr>
            <w:tcW w:w="1083" w:type="dxa"/>
            <w:noWrap/>
            <w:hideMark/>
          </w:tcPr>
          <w:p w:rsidR="00651D4B" w:rsidRPr="00CF3673" w:rsidRDefault="00651D4B" w:rsidP="00651D4B">
            <w:pPr>
              <w:jc w:val="center"/>
            </w:pPr>
            <w:r w:rsidRPr="00CF3673">
              <w:t>4</w:t>
            </w:r>
          </w:p>
        </w:tc>
        <w:tc>
          <w:tcPr>
            <w:tcW w:w="753" w:type="dxa"/>
            <w:noWrap/>
            <w:hideMark/>
          </w:tcPr>
          <w:p w:rsidR="00651D4B" w:rsidRPr="00CF3673" w:rsidRDefault="00651D4B" w:rsidP="00651D4B">
            <w:pPr>
              <w:jc w:val="center"/>
            </w:pPr>
            <w:r w:rsidRPr="00CF3673">
              <w:t>143</w:t>
            </w:r>
          </w:p>
        </w:tc>
      </w:tr>
      <w:tr w:rsidR="00651D4B" w:rsidRPr="00CF3673" w:rsidTr="00651D4B">
        <w:trPr>
          <w:trHeight w:val="309"/>
          <w:jc w:val="center"/>
        </w:trPr>
        <w:tc>
          <w:tcPr>
            <w:tcW w:w="1142" w:type="dxa"/>
            <w:noWrap/>
            <w:hideMark/>
          </w:tcPr>
          <w:p w:rsidR="00651D4B" w:rsidRPr="00CF3673" w:rsidRDefault="00651D4B" w:rsidP="00651D4B">
            <w:pPr>
              <w:rPr>
                <w:rFonts w:ascii="Calibri" w:eastAsia="Times New Roman" w:hAnsi="Calibri" w:cs="Times New Roman"/>
                <w:lang w:eastAsia="zh-CN"/>
              </w:rPr>
            </w:pPr>
            <w:r w:rsidRPr="00CF3673">
              <w:rPr>
                <w:rFonts w:ascii="Calibri" w:eastAsia="Times New Roman" w:hAnsi="Calibri" w:cs="Times New Roman"/>
                <w:lang w:eastAsia="zh-CN"/>
              </w:rPr>
              <w:t>Nampula</w:t>
            </w:r>
          </w:p>
        </w:tc>
        <w:tc>
          <w:tcPr>
            <w:tcW w:w="831" w:type="dxa"/>
            <w:noWrap/>
            <w:hideMark/>
          </w:tcPr>
          <w:p w:rsidR="00651D4B" w:rsidRPr="00CF3673" w:rsidRDefault="00651D4B" w:rsidP="00651D4B">
            <w:pPr>
              <w:jc w:val="center"/>
            </w:pPr>
            <w:r w:rsidRPr="00CF3673">
              <w:t>33</w:t>
            </w:r>
          </w:p>
        </w:tc>
        <w:tc>
          <w:tcPr>
            <w:tcW w:w="787" w:type="dxa"/>
            <w:noWrap/>
            <w:hideMark/>
          </w:tcPr>
          <w:p w:rsidR="00651D4B" w:rsidRPr="00CF3673" w:rsidRDefault="00651D4B" w:rsidP="00651D4B">
            <w:pPr>
              <w:jc w:val="center"/>
            </w:pPr>
            <w:r w:rsidRPr="00CF3673">
              <w:t>8</w:t>
            </w:r>
          </w:p>
        </w:tc>
        <w:tc>
          <w:tcPr>
            <w:tcW w:w="1083" w:type="dxa"/>
            <w:noWrap/>
            <w:hideMark/>
          </w:tcPr>
          <w:p w:rsidR="00651D4B" w:rsidRPr="00CF3673" w:rsidRDefault="00651D4B" w:rsidP="00651D4B">
            <w:pPr>
              <w:jc w:val="center"/>
            </w:pPr>
            <w:r w:rsidRPr="00CF3673">
              <w:t>7</w:t>
            </w:r>
          </w:p>
        </w:tc>
        <w:tc>
          <w:tcPr>
            <w:tcW w:w="753" w:type="dxa"/>
            <w:noWrap/>
            <w:hideMark/>
          </w:tcPr>
          <w:p w:rsidR="00651D4B" w:rsidRPr="00CF3673" w:rsidRDefault="00651D4B" w:rsidP="00651D4B">
            <w:pPr>
              <w:jc w:val="center"/>
            </w:pPr>
            <w:r w:rsidRPr="00CF3673">
              <w:t>48</w:t>
            </w:r>
          </w:p>
        </w:tc>
      </w:tr>
      <w:tr w:rsidR="00651D4B" w:rsidRPr="00CF3673" w:rsidTr="00651D4B">
        <w:trPr>
          <w:trHeight w:val="309"/>
          <w:jc w:val="center"/>
        </w:trPr>
        <w:tc>
          <w:tcPr>
            <w:tcW w:w="1142" w:type="dxa"/>
            <w:noWrap/>
            <w:hideMark/>
          </w:tcPr>
          <w:p w:rsidR="00651D4B" w:rsidRPr="00CF3673" w:rsidRDefault="00651D4B" w:rsidP="00651D4B">
            <w:pPr>
              <w:rPr>
                <w:rFonts w:ascii="Calibri" w:eastAsia="Times New Roman" w:hAnsi="Calibri" w:cs="Times New Roman"/>
                <w:lang w:eastAsia="zh-CN"/>
              </w:rPr>
            </w:pPr>
            <w:r w:rsidRPr="00CF3673">
              <w:rPr>
                <w:rFonts w:ascii="Calibri" w:eastAsia="Times New Roman" w:hAnsi="Calibri" w:cs="Times New Roman"/>
                <w:lang w:eastAsia="zh-CN"/>
              </w:rPr>
              <w:t>Nacala</w:t>
            </w:r>
          </w:p>
        </w:tc>
        <w:tc>
          <w:tcPr>
            <w:tcW w:w="831" w:type="dxa"/>
            <w:noWrap/>
            <w:hideMark/>
          </w:tcPr>
          <w:p w:rsidR="00651D4B" w:rsidRPr="00CF3673" w:rsidRDefault="00651D4B" w:rsidP="00651D4B">
            <w:pPr>
              <w:jc w:val="center"/>
            </w:pPr>
            <w:r w:rsidRPr="00CF3673">
              <w:t>17</w:t>
            </w:r>
          </w:p>
        </w:tc>
        <w:tc>
          <w:tcPr>
            <w:tcW w:w="787" w:type="dxa"/>
            <w:noWrap/>
            <w:hideMark/>
          </w:tcPr>
          <w:p w:rsidR="00651D4B" w:rsidRPr="00CF3673" w:rsidRDefault="00651D4B" w:rsidP="00651D4B">
            <w:pPr>
              <w:jc w:val="center"/>
            </w:pPr>
            <w:r w:rsidRPr="00CF3673">
              <w:t>2</w:t>
            </w:r>
          </w:p>
        </w:tc>
        <w:tc>
          <w:tcPr>
            <w:tcW w:w="1083" w:type="dxa"/>
            <w:noWrap/>
            <w:hideMark/>
          </w:tcPr>
          <w:p w:rsidR="00651D4B" w:rsidRPr="00CF3673" w:rsidRDefault="00651D4B" w:rsidP="00651D4B">
            <w:pPr>
              <w:jc w:val="center"/>
            </w:pPr>
            <w:r w:rsidRPr="00CF3673">
              <w:t>4</w:t>
            </w:r>
          </w:p>
        </w:tc>
        <w:tc>
          <w:tcPr>
            <w:tcW w:w="753" w:type="dxa"/>
            <w:noWrap/>
            <w:hideMark/>
          </w:tcPr>
          <w:p w:rsidR="00651D4B" w:rsidRPr="00CF3673" w:rsidRDefault="00651D4B" w:rsidP="00651D4B">
            <w:pPr>
              <w:jc w:val="center"/>
            </w:pPr>
            <w:r w:rsidRPr="00CF3673">
              <w:t>23</w:t>
            </w:r>
          </w:p>
        </w:tc>
      </w:tr>
      <w:tr w:rsidR="00651D4B" w:rsidRPr="00CF3673" w:rsidTr="00651D4B">
        <w:trPr>
          <w:trHeight w:val="309"/>
          <w:jc w:val="center"/>
        </w:trPr>
        <w:tc>
          <w:tcPr>
            <w:tcW w:w="1142" w:type="dxa"/>
            <w:noWrap/>
            <w:hideMark/>
          </w:tcPr>
          <w:p w:rsidR="00651D4B" w:rsidRPr="00CF3673" w:rsidRDefault="00651D4B" w:rsidP="00651D4B">
            <w:pPr>
              <w:rPr>
                <w:rFonts w:ascii="Calibri" w:eastAsia="Times New Roman" w:hAnsi="Calibri" w:cs="Times New Roman"/>
                <w:lang w:eastAsia="zh-CN"/>
              </w:rPr>
            </w:pPr>
            <w:r w:rsidRPr="00CF3673">
              <w:rPr>
                <w:rFonts w:ascii="Calibri" w:eastAsia="Times New Roman" w:hAnsi="Calibri" w:cs="Times New Roman"/>
                <w:lang w:eastAsia="zh-CN"/>
              </w:rPr>
              <w:t>Chimoio</w:t>
            </w:r>
          </w:p>
        </w:tc>
        <w:tc>
          <w:tcPr>
            <w:tcW w:w="831" w:type="dxa"/>
            <w:noWrap/>
            <w:hideMark/>
          </w:tcPr>
          <w:p w:rsidR="00651D4B" w:rsidRPr="00CF3673" w:rsidRDefault="00651D4B" w:rsidP="00651D4B">
            <w:pPr>
              <w:jc w:val="center"/>
            </w:pPr>
            <w:r w:rsidRPr="00CF3673">
              <w:t>69</w:t>
            </w:r>
          </w:p>
        </w:tc>
        <w:tc>
          <w:tcPr>
            <w:tcW w:w="787" w:type="dxa"/>
            <w:noWrap/>
            <w:hideMark/>
          </w:tcPr>
          <w:p w:rsidR="00651D4B" w:rsidRPr="00CF3673" w:rsidRDefault="00651D4B" w:rsidP="00651D4B">
            <w:pPr>
              <w:jc w:val="center"/>
            </w:pPr>
            <w:r w:rsidRPr="00CF3673">
              <w:t>10</w:t>
            </w:r>
          </w:p>
        </w:tc>
        <w:tc>
          <w:tcPr>
            <w:tcW w:w="1083" w:type="dxa"/>
            <w:noWrap/>
            <w:hideMark/>
          </w:tcPr>
          <w:p w:rsidR="00651D4B" w:rsidRPr="00CF3673" w:rsidRDefault="00651D4B" w:rsidP="00651D4B">
            <w:pPr>
              <w:jc w:val="center"/>
            </w:pPr>
            <w:r w:rsidRPr="00CF3673">
              <w:t>6</w:t>
            </w:r>
          </w:p>
        </w:tc>
        <w:tc>
          <w:tcPr>
            <w:tcW w:w="753" w:type="dxa"/>
            <w:noWrap/>
            <w:hideMark/>
          </w:tcPr>
          <w:p w:rsidR="00651D4B" w:rsidRPr="00CF3673" w:rsidRDefault="00651D4B" w:rsidP="00651D4B">
            <w:pPr>
              <w:jc w:val="center"/>
            </w:pPr>
            <w:r w:rsidRPr="00CF3673">
              <w:t>85</w:t>
            </w:r>
          </w:p>
        </w:tc>
      </w:tr>
      <w:tr w:rsidR="00651D4B" w:rsidRPr="00CF3673" w:rsidTr="00651D4B">
        <w:trPr>
          <w:trHeight w:val="309"/>
          <w:jc w:val="center"/>
        </w:trPr>
        <w:tc>
          <w:tcPr>
            <w:tcW w:w="1142" w:type="dxa"/>
            <w:noWrap/>
            <w:hideMark/>
          </w:tcPr>
          <w:p w:rsidR="00651D4B" w:rsidRPr="00CF3673" w:rsidRDefault="00651D4B" w:rsidP="00651D4B">
            <w:pPr>
              <w:rPr>
                <w:rFonts w:ascii="Calibri" w:eastAsia="Times New Roman" w:hAnsi="Calibri" w:cs="Times New Roman"/>
                <w:lang w:eastAsia="zh-CN"/>
              </w:rPr>
            </w:pPr>
            <w:r w:rsidRPr="00CF3673">
              <w:rPr>
                <w:rFonts w:ascii="Calibri" w:eastAsia="Times New Roman" w:hAnsi="Calibri" w:cs="Times New Roman"/>
                <w:lang w:eastAsia="zh-CN"/>
              </w:rPr>
              <w:t>Tete</w:t>
            </w:r>
          </w:p>
        </w:tc>
        <w:tc>
          <w:tcPr>
            <w:tcW w:w="831" w:type="dxa"/>
            <w:noWrap/>
            <w:hideMark/>
          </w:tcPr>
          <w:p w:rsidR="00651D4B" w:rsidRPr="00CF3673" w:rsidRDefault="00651D4B" w:rsidP="00651D4B">
            <w:pPr>
              <w:jc w:val="center"/>
            </w:pPr>
            <w:r w:rsidRPr="00CF3673">
              <w:t>24</w:t>
            </w:r>
          </w:p>
        </w:tc>
        <w:tc>
          <w:tcPr>
            <w:tcW w:w="787" w:type="dxa"/>
            <w:noWrap/>
            <w:hideMark/>
          </w:tcPr>
          <w:p w:rsidR="00651D4B" w:rsidRPr="00CF3673" w:rsidRDefault="00651D4B" w:rsidP="00651D4B">
            <w:pPr>
              <w:jc w:val="center"/>
            </w:pPr>
            <w:r w:rsidRPr="00CF3673">
              <w:t>11</w:t>
            </w:r>
          </w:p>
        </w:tc>
        <w:tc>
          <w:tcPr>
            <w:tcW w:w="1083" w:type="dxa"/>
            <w:noWrap/>
            <w:hideMark/>
          </w:tcPr>
          <w:p w:rsidR="00651D4B" w:rsidRPr="00CF3673" w:rsidRDefault="00651D4B" w:rsidP="00651D4B">
            <w:pPr>
              <w:jc w:val="center"/>
            </w:pPr>
            <w:r w:rsidRPr="00CF3673">
              <w:t>1</w:t>
            </w:r>
          </w:p>
        </w:tc>
        <w:tc>
          <w:tcPr>
            <w:tcW w:w="753" w:type="dxa"/>
            <w:noWrap/>
            <w:hideMark/>
          </w:tcPr>
          <w:p w:rsidR="00651D4B" w:rsidRPr="00CF3673" w:rsidRDefault="00651D4B" w:rsidP="00651D4B">
            <w:pPr>
              <w:jc w:val="center"/>
            </w:pPr>
            <w:r w:rsidRPr="00CF3673">
              <w:t>36</w:t>
            </w:r>
          </w:p>
        </w:tc>
      </w:tr>
      <w:tr w:rsidR="00651D4B" w:rsidRPr="00CF3673" w:rsidTr="00651D4B">
        <w:trPr>
          <w:trHeight w:val="309"/>
          <w:jc w:val="center"/>
        </w:trPr>
        <w:tc>
          <w:tcPr>
            <w:tcW w:w="1142" w:type="dxa"/>
            <w:noWrap/>
            <w:hideMark/>
          </w:tcPr>
          <w:p w:rsidR="00651D4B" w:rsidRPr="00CF3673" w:rsidRDefault="00651D4B" w:rsidP="00651D4B">
            <w:pPr>
              <w:rPr>
                <w:rFonts w:ascii="Calibri" w:eastAsia="Times New Roman" w:hAnsi="Calibri" w:cs="Times New Roman"/>
                <w:lang w:eastAsia="zh-CN"/>
              </w:rPr>
            </w:pPr>
            <w:proofErr w:type="spellStart"/>
            <w:r w:rsidRPr="00CF3673">
              <w:rPr>
                <w:rFonts w:ascii="Calibri" w:eastAsia="Times New Roman" w:hAnsi="Calibri" w:cs="Times New Roman"/>
                <w:lang w:eastAsia="zh-CN"/>
              </w:rPr>
              <w:t>Moatize</w:t>
            </w:r>
            <w:proofErr w:type="spellEnd"/>
          </w:p>
        </w:tc>
        <w:tc>
          <w:tcPr>
            <w:tcW w:w="831" w:type="dxa"/>
            <w:noWrap/>
            <w:hideMark/>
          </w:tcPr>
          <w:p w:rsidR="00651D4B" w:rsidRPr="00CF3673" w:rsidRDefault="00651D4B" w:rsidP="00651D4B">
            <w:pPr>
              <w:jc w:val="center"/>
            </w:pPr>
            <w:r w:rsidRPr="00CF3673">
              <w:t>13</w:t>
            </w:r>
          </w:p>
        </w:tc>
        <w:tc>
          <w:tcPr>
            <w:tcW w:w="787" w:type="dxa"/>
            <w:noWrap/>
            <w:hideMark/>
          </w:tcPr>
          <w:p w:rsidR="00651D4B" w:rsidRPr="00CF3673" w:rsidRDefault="00651D4B" w:rsidP="00651D4B">
            <w:pPr>
              <w:jc w:val="center"/>
            </w:pPr>
            <w:r w:rsidRPr="00CF3673">
              <w:t>3</w:t>
            </w:r>
          </w:p>
        </w:tc>
        <w:tc>
          <w:tcPr>
            <w:tcW w:w="1083" w:type="dxa"/>
            <w:noWrap/>
            <w:hideMark/>
          </w:tcPr>
          <w:p w:rsidR="00651D4B" w:rsidRPr="00CF3673" w:rsidRDefault="00651D4B" w:rsidP="00651D4B">
            <w:pPr>
              <w:jc w:val="center"/>
            </w:pPr>
          </w:p>
        </w:tc>
        <w:tc>
          <w:tcPr>
            <w:tcW w:w="753" w:type="dxa"/>
            <w:noWrap/>
            <w:hideMark/>
          </w:tcPr>
          <w:p w:rsidR="00651D4B" w:rsidRPr="00CF3673" w:rsidRDefault="00651D4B" w:rsidP="00651D4B">
            <w:pPr>
              <w:jc w:val="center"/>
            </w:pPr>
            <w:r w:rsidRPr="00CF3673">
              <w:t>16</w:t>
            </w:r>
          </w:p>
        </w:tc>
      </w:tr>
      <w:tr w:rsidR="00651D4B" w:rsidRPr="00CF3673" w:rsidTr="00651D4B">
        <w:trPr>
          <w:trHeight w:val="309"/>
          <w:jc w:val="center"/>
        </w:trPr>
        <w:tc>
          <w:tcPr>
            <w:tcW w:w="1142" w:type="dxa"/>
            <w:tcBorders>
              <w:bottom w:val="nil"/>
            </w:tcBorders>
            <w:noWrap/>
            <w:hideMark/>
          </w:tcPr>
          <w:p w:rsidR="00651D4B" w:rsidRPr="00CF3673" w:rsidRDefault="00651D4B" w:rsidP="00651D4B">
            <w:pPr>
              <w:rPr>
                <w:rFonts w:ascii="Calibri" w:eastAsia="Times New Roman" w:hAnsi="Calibri" w:cs="Times New Roman"/>
                <w:lang w:eastAsia="zh-CN"/>
              </w:rPr>
            </w:pPr>
            <w:proofErr w:type="spellStart"/>
            <w:r w:rsidRPr="00CF3673">
              <w:rPr>
                <w:rFonts w:ascii="Calibri" w:eastAsia="Times New Roman" w:hAnsi="Calibri" w:cs="Times New Roman"/>
                <w:lang w:eastAsia="zh-CN"/>
              </w:rPr>
              <w:t>Xai-Xai</w:t>
            </w:r>
            <w:proofErr w:type="spellEnd"/>
          </w:p>
        </w:tc>
        <w:tc>
          <w:tcPr>
            <w:tcW w:w="831" w:type="dxa"/>
            <w:tcBorders>
              <w:bottom w:val="nil"/>
            </w:tcBorders>
            <w:noWrap/>
            <w:hideMark/>
          </w:tcPr>
          <w:p w:rsidR="00651D4B" w:rsidRPr="00CF3673" w:rsidRDefault="00651D4B" w:rsidP="00651D4B">
            <w:pPr>
              <w:jc w:val="center"/>
            </w:pPr>
            <w:r w:rsidRPr="00CF3673">
              <w:t>36</w:t>
            </w:r>
          </w:p>
        </w:tc>
        <w:tc>
          <w:tcPr>
            <w:tcW w:w="787" w:type="dxa"/>
            <w:tcBorders>
              <w:bottom w:val="nil"/>
            </w:tcBorders>
            <w:noWrap/>
            <w:hideMark/>
          </w:tcPr>
          <w:p w:rsidR="00651D4B" w:rsidRPr="00CF3673" w:rsidRDefault="00651D4B" w:rsidP="00651D4B">
            <w:pPr>
              <w:jc w:val="center"/>
            </w:pPr>
            <w:r w:rsidRPr="00CF3673">
              <w:t>5</w:t>
            </w:r>
          </w:p>
        </w:tc>
        <w:tc>
          <w:tcPr>
            <w:tcW w:w="1083" w:type="dxa"/>
            <w:tcBorders>
              <w:bottom w:val="nil"/>
            </w:tcBorders>
            <w:noWrap/>
            <w:hideMark/>
          </w:tcPr>
          <w:p w:rsidR="00651D4B" w:rsidRPr="00CF3673" w:rsidRDefault="00651D4B" w:rsidP="00651D4B">
            <w:pPr>
              <w:jc w:val="center"/>
            </w:pPr>
            <w:r w:rsidRPr="00CF3673">
              <w:t>3</w:t>
            </w:r>
          </w:p>
        </w:tc>
        <w:tc>
          <w:tcPr>
            <w:tcW w:w="753" w:type="dxa"/>
            <w:tcBorders>
              <w:bottom w:val="nil"/>
            </w:tcBorders>
            <w:noWrap/>
            <w:hideMark/>
          </w:tcPr>
          <w:p w:rsidR="00651D4B" w:rsidRPr="00CF3673" w:rsidRDefault="00651D4B" w:rsidP="00651D4B">
            <w:pPr>
              <w:jc w:val="center"/>
            </w:pPr>
            <w:r w:rsidRPr="00CF3673">
              <w:t>44</w:t>
            </w:r>
          </w:p>
        </w:tc>
      </w:tr>
      <w:tr w:rsidR="00651D4B" w:rsidRPr="00CF3673" w:rsidTr="00651D4B">
        <w:trPr>
          <w:trHeight w:val="309"/>
          <w:jc w:val="center"/>
        </w:trPr>
        <w:tc>
          <w:tcPr>
            <w:tcW w:w="1142" w:type="dxa"/>
            <w:tcBorders>
              <w:top w:val="nil"/>
              <w:bottom w:val="single" w:sz="4" w:space="0" w:color="auto"/>
            </w:tcBorders>
            <w:noWrap/>
            <w:hideMark/>
          </w:tcPr>
          <w:p w:rsidR="00651D4B" w:rsidRPr="00CF3673" w:rsidRDefault="00B20E4D" w:rsidP="00651D4B">
            <w:pPr>
              <w:rPr>
                <w:rFonts w:ascii="Calibri" w:eastAsia="Times New Roman" w:hAnsi="Calibri" w:cs="Times New Roman"/>
                <w:lang w:eastAsia="zh-CN"/>
              </w:rPr>
            </w:pPr>
            <w:proofErr w:type="spellStart"/>
            <w:r w:rsidRPr="00CF3673">
              <w:rPr>
                <w:rFonts w:ascii="Calibri" w:eastAsia="Times New Roman" w:hAnsi="Calibri" w:cs="Times New Roman"/>
                <w:lang w:eastAsia="zh-CN"/>
              </w:rPr>
              <w:t>Chókwe</w:t>
            </w:r>
            <w:proofErr w:type="spellEnd"/>
          </w:p>
        </w:tc>
        <w:tc>
          <w:tcPr>
            <w:tcW w:w="831" w:type="dxa"/>
            <w:tcBorders>
              <w:top w:val="nil"/>
              <w:bottom w:val="single" w:sz="4" w:space="0" w:color="auto"/>
            </w:tcBorders>
            <w:noWrap/>
            <w:hideMark/>
          </w:tcPr>
          <w:p w:rsidR="00651D4B" w:rsidRPr="00CF3673" w:rsidRDefault="00651D4B" w:rsidP="00651D4B">
            <w:pPr>
              <w:jc w:val="center"/>
            </w:pPr>
            <w:r w:rsidRPr="00CF3673">
              <w:t>23</w:t>
            </w:r>
          </w:p>
        </w:tc>
        <w:tc>
          <w:tcPr>
            <w:tcW w:w="787" w:type="dxa"/>
            <w:tcBorders>
              <w:top w:val="nil"/>
              <w:bottom w:val="single" w:sz="4" w:space="0" w:color="auto"/>
            </w:tcBorders>
            <w:noWrap/>
            <w:hideMark/>
          </w:tcPr>
          <w:p w:rsidR="00651D4B" w:rsidRPr="00CF3673" w:rsidRDefault="00651D4B" w:rsidP="00651D4B">
            <w:pPr>
              <w:jc w:val="center"/>
            </w:pPr>
            <w:r w:rsidRPr="00CF3673">
              <w:t>5</w:t>
            </w:r>
          </w:p>
        </w:tc>
        <w:tc>
          <w:tcPr>
            <w:tcW w:w="1083" w:type="dxa"/>
            <w:tcBorders>
              <w:top w:val="nil"/>
              <w:bottom w:val="single" w:sz="4" w:space="0" w:color="auto"/>
            </w:tcBorders>
            <w:noWrap/>
            <w:hideMark/>
          </w:tcPr>
          <w:p w:rsidR="00651D4B" w:rsidRPr="00CF3673" w:rsidRDefault="00651D4B" w:rsidP="00651D4B">
            <w:pPr>
              <w:jc w:val="center"/>
            </w:pPr>
            <w:r w:rsidRPr="00CF3673">
              <w:t>1</w:t>
            </w:r>
          </w:p>
        </w:tc>
        <w:tc>
          <w:tcPr>
            <w:tcW w:w="753" w:type="dxa"/>
            <w:tcBorders>
              <w:top w:val="nil"/>
              <w:bottom w:val="single" w:sz="4" w:space="0" w:color="auto"/>
            </w:tcBorders>
            <w:noWrap/>
            <w:hideMark/>
          </w:tcPr>
          <w:p w:rsidR="00651D4B" w:rsidRPr="00CF3673" w:rsidRDefault="00651D4B" w:rsidP="00651D4B">
            <w:pPr>
              <w:jc w:val="center"/>
            </w:pPr>
            <w:r w:rsidRPr="00CF3673">
              <w:t>29</w:t>
            </w:r>
          </w:p>
        </w:tc>
      </w:tr>
      <w:tr w:rsidR="00651D4B" w:rsidRPr="00CF3673" w:rsidTr="00651D4B">
        <w:trPr>
          <w:trHeight w:val="309"/>
          <w:jc w:val="center"/>
        </w:trPr>
        <w:tc>
          <w:tcPr>
            <w:tcW w:w="1142" w:type="dxa"/>
            <w:tcBorders>
              <w:top w:val="single" w:sz="4" w:space="0" w:color="auto"/>
              <w:bottom w:val="double" w:sz="4" w:space="0" w:color="auto"/>
            </w:tcBorders>
            <w:noWrap/>
            <w:hideMark/>
          </w:tcPr>
          <w:p w:rsidR="00651D4B" w:rsidRPr="00CF3673" w:rsidRDefault="00651D4B" w:rsidP="00651D4B">
            <w:pPr>
              <w:rPr>
                <w:rFonts w:ascii="Calibri" w:eastAsia="Times New Roman" w:hAnsi="Calibri" w:cs="Times New Roman"/>
                <w:lang w:eastAsia="zh-CN"/>
              </w:rPr>
            </w:pPr>
            <w:r w:rsidRPr="00CF3673">
              <w:rPr>
                <w:rFonts w:ascii="Calibri" w:eastAsia="Times New Roman" w:hAnsi="Calibri" w:cs="Times New Roman"/>
                <w:lang w:eastAsia="zh-CN"/>
              </w:rPr>
              <w:t>Total</w:t>
            </w:r>
          </w:p>
        </w:tc>
        <w:tc>
          <w:tcPr>
            <w:tcW w:w="831" w:type="dxa"/>
            <w:tcBorders>
              <w:top w:val="single" w:sz="4" w:space="0" w:color="auto"/>
              <w:bottom w:val="double" w:sz="4" w:space="0" w:color="auto"/>
            </w:tcBorders>
            <w:noWrap/>
            <w:hideMark/>
          </w:tcPr>
          <w:p w:rsidR="00651D4B" w:rsidRPr="00CF3673" w:rsidRDefault="00651D4B" w:rsidP="00651D4B">
            <w:pPr>
              <w:jc w:val="center"/>
            </w:pPr>
            <w:r w:rsidRPr="00CF3673">
              <w:t>517</w:t>
            </w:r>
          </w:p>
        </w:tc>
        <w:tc>
          <w:tcPr>
            <w:tcW w:w="787" w:type="dxa"/>
            <w:tcBorders>
              <w:top w:val="single" w:sz="4" w:space="0" w:color="auto"/>
              <w:bottom w:val="double" w:sz="4" w:space="0" w:color="auto"/>
            </w:tcBorders>
            <w:noWrap/>
            <w:hideMark/>
          </w:tcPr>
          <w:p w:rsidR="00651D4B" w:rsidRPr="00CF3673" w:rsidRDefault="00651D4B" w:rsidP="00651D4B">
            <w:pPr>
              <w:jc w:val="center"/>
            </w:pPr>
            <w:r w:rsidRPr="00CF3673">
              <w:t>178</w:t>
            </w:r>
          </w:p>
        </w:tc>
        <w:tc>
          <w:tcPr>
            <w:tcW w:w="1083" w:type="dxa"/>
            <w:tcBorders>
              <w:top w:val="single" w:sz="4" w:space="0" w:color="auto"/>
              <w:bottom w:val="double" w:sz="4" w:space="0" w:color="auto"/>
            </w:tcBorders>
            <w:noWrap/>
            <w:hideMark/>
          </w:tcPr>
          <w:p w:rsidR="00651D4B" w:rsidRPr="00CF3673" w:rsidRDefault="00651D4B" w:rsidP="00651D4B">
            <w:pPr>
              <w:jc w:val="center"/>
            </w:pPr>
            <w:r w:rsidRPr="00CF3673">
              <w:t>66</w:t>
            </w:r>
          </w:p>
        </w:tc>
        <w:tc>
          <w:tcPr>
            <w:tcW w:w="753" w:type="dxa"/>
            <w:tcBorders>
              <w:top w:val="single" w:sz="4" w:space="0" w:color="auto"/>
              <w:bottom w:val="double" w:sz="4" w:space="0" w:color="auto"/>
            </w:tcBorders>
            <w:noWrap/>
            <w:hideMark/>
          </w:tcPr>
          <w:p w:rsidR="00651D4B" w:rsidRPr="00CF3673" w:rsidRDefault="00651D4B" w:rsidP="00651D4B">
            <w:pPr>
              <w:jc w:val="center"/>
            </w:pPr>
            <w:r w:rsidRPr="00CF3673">
              <w:t>761</w:t>
            </w:r>
          </w:p>
        </w:tc>
      </w:tr>
      <w:tr w:rsidR="00651D4B" w:rsidRPr="00CF3673" w:rsidTr="00651D4B">
        <w:trPr>
          <w:trHeight w:val="309"/>
          <w:jc w:val="center"/>
        </w:trPr>
        <w:tc>
          <w:tcPr>
            <w:tcW w:w="4596" w:type="dxa"/>
            <w:gridSpan w:val="5"/>
            <w:tcBorders>
              <w:top w:val="double" w:sz="4" w:space="0" w:color="auto"/>
              <w:bottom w:val="nil"/>
            </w:tcBorders>
            <w:noWrap/>
          </w:tcPr>
          <w:p w:rsidR="00651D4B" w:rsidRPr="00CF3673" w:rsidRDefault="00651D4B" w:rsidP="006616CB">
            <w:pPr>
              <w:pStyle w:val="Tablenote"/>
              <w:rPr>
                <w:lang w:val="pt-PT" w:eastAsia="zh-CN"/>
              </w:rPr>
            </w:pPr>
            <w:r w:rsidRPr="00CF3673">
              <w:rPr>
                <w:b/>
                <w:lang w:val="pt-PT" w:eastAsia="zh-CN"/>
              </w:rPr>
              <w:t xml:space="preserve">Note: </w:t>
            </w:r>
            <w:r w:rsidR="006616CB" w:rsidRPr="00CF3673">
              <w:rPr>
                <w:lang w:val="pt-PT" w:eastAsia="zh-CN"/>
              </w:rPr>
              <w:t xml:space="preserve">Espaço em branco indica não </w:t>
            </w:r>
            <w:r w:rsidR="005023F7" w:rsidRPr="00CF3673">
              <w:rPr>
                <w:lang w:val="pt-PT" w:eastAsia="zh-CN"/>
              </w:rPr>
              <w:t xml:space="preserve">há </w:t>
            </w:r>
            <w:r w:rsidR="006616CB" w:rsidRPr="00CF3673">
              <w:rPr>
                <w:lang w:val="pt-PT" w:eastAsia="zh-CN"/>
              </w:rPr>
              <w:t>empresas não categoria</w:t>
            </w:r>
          </w:p>
        </w:tc>
      </w:tr>
      <w:tr w:rsidR="00651D4B" w:rsidRPr="00CF3673" w:rsidTr="00651D4B">
        <w:trPr>
          <w:trHeight w:val="309"/>
          <w:jc w:val="center"/>
        </w:trPr>
        <w:tc>
          <w:tcPr>
            <w:tcW w:w="4596" w:type="dxa"/>
            <w:gridSpan w:val="5"/>
            <w:tcBorders>
              <w:top w:val="nil"/>
              <w:bottom w:val="nil"/>
            </w:tcBorders>
            <w:noWrap/>
          </w:tcPr>
          <w:p w:rsidR="00651D4B" w:rsidRPr="00CF3673" w:rsidRDefault="006616CB" w:rsidP="006616CB">
            <w:pPr>
              <w:pStyle w:val="Tablenote"/>
              <w:rPr>
                <w:b/>
                <w:lang w:val="pt-PT" w:eastAsia="zh-CN"/>
              </w:rPr>
            </w:pPr>
            <w:r w:rsidRPr="00CF3673">
              <w:rPr>
                <w:b/>
                <w:lang w:val="pt-PT" w:eastAsia="zh-CN"/>
              </w:rPr>
              <w:t>Fonte</w:t>
            </w:r>
            <w:r w:rsidR="00651D4B" w:rsidRPr="00CF3673">
              <w:rPr>
                <w:b/>
                <w:lang w:val="pt-PT" w:eastAsia="zh-CN"/>
              </w:rPr>
              <w:t>:</w:t>
            </w:r>
            <w:r w:rsidR="00651D4B" w:rsidRPr="00CF3673">
              <w:rPr>
                <w:lang w:val="pt-PT" w:eastAsia="zh-CN"/>
              </w:rPr>
              <w:t xml:space="preserve"> </w:t>
            </w:r>
            <w:r w:rsidR="00B20E4D" w:rsidRPr="00CF3673">
              <w:rPr>
                <w:lang w:val="pt-PT" w:eastAsia="zh-CN"/>
              </w:rPr>
              <w:t>Cálculos</w:t>
            </w:r>
            <w:r w:rsidRPr="00CF3673">
              <w:rPr>
                <w:lang w:val="pt-PT" w:eastAsia="zh-CN"/>
              </w:rPr>
              <w:t xml:space="preserve"> dos autores usando o</w:t>
            </w:r>
            <w:r w:rsidR="00651D4B" w:rsidRPr="00CF3673">
              <w:rPr>
                <w:lang w:val="pt-PT" w:eastAsia="zh-CN"/>
              </w:rPr>
              <w:t xml:space="preserve"> IIM 2012.</w:t>
            </w:r>
          </w:p>
        </w:tc>
      </w:tr>
    </w:tbl>
    <w:p w:rsidR="00651D4B" w:rsidRPr="00CF3673" w:rsidRDefault="00651D4B" w:rsidP="00651D4B">
      <w:pPr>
        <w:pStyle w:val="MainText"/>
        <w:rPr>
          <w:lang w:val="pt-PT"/>
        </w:rPr>
      </w:pPr>
    </w:p>
    <w:p w:rsidR="00A8713B" w:rsidRPr="00CF3673" w:rsidRDefault="006616CB" w:rsidP="001E664B">
      <w:pPr>
        <w:pStyle w:val="MainText"/>
        <w:rPr>
          <w:lang w:val="pt-PT"/>
        </w:rPr>
      </w:pPr>
      <w:r w:rsidRPr="00CF3673">
        <w:rPr>
          <w:lang w:val="pt-PT"/>
        </w:rPr>
        <w:t xml:space="preserve">A tabela 2.12 mostra a tabulação a categoria da das empresas e o sector 2-digitos. </w:t>
      </w:r>
      <w:r w:rsidR="00B20E4D" w:rsidRPr="00CF3673">
        <w:rPr>
          <w:lang w:val="pt-PT"/>
        </w:rPr>
        <w:t>Alimentação</w:t>
      </w:r>
      <w:r w:rsidRPr="00CF3673">
        <w:rPr>
          <w:lang w:val="pt-PT"/>
        </w:rPr>
        <w:t>, produtos metálicos e de madeira são de longe os maiores sectores, constituindo 15-22% da amostra cada</w:t>
      </w:r>
      <w:r w:rsidR="00FC53F2" w:rsidRPr="00CF3673">
        <w:rPr>
          <w:lang w:val="pt-PT"/>
        </w:rPr>
        <w:t xml:space="preserve">. </w:t>
      </w:r>
      <w:r w:rsidR="00A8713B" w:rsidRPr="00CF3673">
        <w:rPr>
          <w:lang w:val="pt-PT"/>
        </w:rPr>
        <w:t xml:space="preserve">Junto com o sector de vestuário, madeira e produtos de minerais não metálicos, estes sectores </w:t>
      </w:r>
      <w:r w:rsidR="00A8713B" w:rsidRPr="00CF3673">
        <w:rPr>
          <w:lang w:val="pt-PT"/>
        </w:rPr>
        <w:lastRenderedPageBreak/>
        <w:t xml:space="preserve">representam 90% do total </w:t>
      </w:r>
      <w:r w:rsidR="005023F7" w:rsidRPr="00CF3673">
        <w:rPr>
          <w:lang w:val="pt-PT"/>
        </w:rPr>
        <w:t>das empresas</w:t>
      </w:r>
      <w:r w:rsidR="00A8713B" w:rsidRPr="00CF3673">
        <w:rPr>
          <w:lang w:val="pt-PT"/>
        </w:rPr>
        <w:t xml:space="preserve"> entrevistadas, confirmando as </w:t>
      </w:r>
      <w:r w:rsidR="00B20E4D" w:rsidRPr="00CF3673">
        <w:rPr>
          <w:lang w:val="pt-PT"/>
        </w:rPr>
        <w:t>indústrias</w:t>
      </w:r>
      <w:r w:rsidR="00A8713B" w:rsidRPr="00CF3673">
        <w:rPr>
          <w:lang w:val="pt-PT"/>
        </w:rPr>
        <w:t xml:space="preserve"> </w:t>
      </w:r>
      <w:r w:rsidR="00B20E4D" w:rsidRPr="00CF3673">
        <w:rPr>
          <w:lang w:val="pt-PT"/>
        </w:rPr>
        <w:t>manufactureiras</w:t>
      </w:r>
      <w:r w:rsidR="00A8713B" w:rsidRPr="00CF3673">
        <w:rPr>
          <w:lang w:val="pt-PT"/>
        </w:rPr>
        <w:t xml:space="preserve"> em Moçambique estão concentradas apenas em alguns sectores </w:t>
      </w:r>
      <w:r w:rsidR="005023F7" w:rsidRPr="00CF3673">
        <w:rPr>
          <w:lang w:val="pt-PT"/>
        </w:rPr>
        <w:t>(veja por exemplo Castelo-Branco, 2010).</w:t>
      </w:r>
    </w:p>
    <w:p w:rsidR="005023F7" w:rsidRPr="00CF3673" w:rsidRDefault="00E333A2" w:rsidP="00B06D3F">
      <w:pPr>
        <w:pStyle w:val="TableTitle"/>
        <w:rPr>
          <w:lang w:val="pt-PT"/>
        </w:rPr>
      </w:pPr>
      <w:bookmarkStart w:id="26" w:name="_Toc360720444"/>
      <w:r w:rsidRPr="00CF3673">
        <w:rPr>
          <w:lang w:val="pt-PT"/>
        </w:rPr>
        <w:t>Tab</w:t>
      </w:r>
      <w:r w:rsidR="005023F7" w:rsidRPr="00CF3673">
        <w:rPr>
          <w:lang w:val="pt-PT"/>
        </w:rPr>
        <w:t>ela</w:t>
      </w:r>
      <w:r w:rsidR="00A71447" w:rsidRPr="00CF3673">
        <w:rPr>
          <w:lang w:val="pt-PT"/>
        </w:rPr>
        <w:t xml:space="preserve"> 2.</w:t>
      </w:r>
      <w:r w:rsidR="004D2EFF" w:rsidRPr="00CF3673">
        <w:rPr>
          <w:lang w:val="pt-PT"/>
        </w:rPr>
        <w:t>12</w:t>
      </w:r>
      <w:r w:rsidR="001B37E3" w:rsidRPr="00CF3673">
        <w:rPr>
          <w:lang w:val="pt-PT"/>
        </w:rPr>
        <w:t xml:space="preserve">: </w:t>
      </w:r>
      <w:r w:rsidR="00B20E4D" w:rsidRPr="00CF3673">
        <w:rPr>
          <w:lang w:val="pt-PT"/>
        </w:rPr>
        <w:t>Número</w:t>
      </w:r>
      <w:r w:rsidR="005023F7" w:rsidRPr="00CF3673">
        <w:rPr>
          <w:lang w:val="pt-PT"/>
        </w:rPr>
        <w:t xml:space="preserve"> de empresas por sector e tamanho</w:t>
      </w:r>
    </w:p>
    <w:bookmarkEnd w:id="26"/>
    <w:p w:rsidR="00A71447" w:rsidRPr="00CF3673" w:rsidRDefault="00A71447" w:rsidP="00B06D3F">
      <w:pPr>
        <w:pStyle w:val="TableTitle"/>
        <w:rPr>
          <w:lang w:val="pt-PT"/>
        </w:rPr>
      </w:pPr>
    </w:p>
    <w:tbl>
      <w:tblPr>
        <w:tblStyle w:val="StandardTable"/>
        <w:tblW w:w="0" w:type="auto"/>
        <w:jc w:val="center"/>
        <w:tblLook w:val="04E0" w:firstRow="1" w:lastRow="1" w:firstColumn="1" w:lastColumn="0" w:noHBand="0" w:noVBand="1"/>
      </w:tblPr>
      <w:tblGrid>
        <w:gridCol w:w="3149"/>
        <w:gridCol w:w="693"/>
        <w:gridCol w:w="930"/>
        <w:gridCol w:w="734"/>
        <w:gridCol w:w="628"/>
      </w:tblGrid>
      <w:tr w:rsidR="005023F7" w:rsidRPr="00CF3673" w:rsidTr="00737B2E">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noWrap/>
            <w:hideMark/>
          </w:tcPr>
          <w:p w:rsidR="00A71447" w:rsidRPr="00CF3673" w:rsidRDefault="00A71447" w:rsidP="00737B2E">
            <w:pPr>
              <w:rPr>
                <w:rFonts w:ascii="Calibri" w:eastAsia="Times New Roman" w:hAnsi="Calibri" w:cs="Times New Roman"/>
                <w:lang w:eastAsia="zh-CN"/>
              </w:rPr>
            </w:pPr>
            <w:r w:rsidRPr="00CF3673">
              <w:rPr>
                <w:rFonts w:ascii="Calibri" w:eastAsia="Times New Roman" w:hAnsi="Calibri" w:cs="Times New Roman"/>
                <w:lang w:eastAsia="zh-CN"/>
              </w:rPr>
              <w:t>Sector</w:t>
            </w:r>
          </w:p>
        </w:tc>
        <w:tc>
          <w:tcPr>
            <w:tcW w:w="0" w:type="auto"/>
            <w:noWrap/>
            <w:hideMark/>
          </w:tcPr>
          <w:p w:rsidR="00A71447" w:rsidRPr="00CF3673" w:rsidRDefault="00A71447"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0" w:type="auto"/>
            <w:noWrap/>
            <w:hideMark/>
          </w:tcPr>
          <w:p w:rsidR="00A71447" w:rsidRPr="00CF3673" w:rsidRDefault="00B20E4D" w:rsidP="00737B2E">
            <w:pPr>
              <w:jc w:val="center"/>
              <w:rPr>
                <w:rFonts w:ascii="Calibri" w:eastAsia="Times New Roman" w:hAnsi="Calibri" w:cs="Times New Roman"/>
                <w:lang w:eastAsia="zh-CN"/>
              </w:rPr>
            </w:pPr>
            <w:proofErr w:type="spellStart"/>
            <w:r w:rsidRPr="00CF3673">
              <w:rPr>
                <w:rFonts w:ascii="Calibri" w:eastAsia="Times New Roman" w:hAnsi="Calibri" w:cs="Times New Roman"/>
                <w:lang w:val="en-US" w:eastAsia="zh-CN"/>
              </w:rPr>
              <w:t>Pequena</w:t>
            </w:r>
            <w:proofErr w:type="spellEnd"/>
          </w:p>
        </w:tc>
        <w:tc>
          <w:tcPr>
            <w:tcW w:w="0" w:type="auto"/>
            <w:noWrap/>
            <w:hideMark/>
          </w:tcPr>
          <w:p w:rsidR="00A71447" w:rsidRPr="00CF3673" w:rsidRDefault="00B20E4D"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Média</w:t>
            </w:r>
          </w:p>
        </w:tc>
        <w:tc>
          <w:tcPr>
            <w:tcW w:w="0" w:type="auto"/>
            <w:noWrap/>
            <w:hideMark/>
          </w:tcPr>
          <w:p w:rsidR="00A71447" w:rsidRPr="00CF3673" w:rsidRDefault="00A71447"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Total</w:t>
            </w:r>
          </w:p>
        </w:tc>
      </w:tr>
      <w:tr w:rsidR="005023F7" w:rsidRPr="00CF3673" w:rsidTr="00737B2E">
        <w:trPr>
          <w:trHeight w:val="300"/>
          <w:jc w:val="center"/>
        </w:trPr>
        <w:tc>
          <w:tcPr>
            <w:tcW w:w="0" w:type="auto"/>
            <w:noWrap/>
            <w:hideMark/>
          </w:tcPr>
          <w:p w:rsidR="00DF4C81" w:rsidRPr="00CF3673" w:rsidRDefault="005023F7" w:rsidP="005023F7">
            <w:pPr>
              <w:rPr>
                <w:rFonts w:ascii="Calibri" w:eastAsia="Times New Roman" w:hAnsi="Calibri" w:cs="Times New Roman"/>
                <w:lang w:eastAsia="zh-CN"/>
              </w:rPr>
            </w:pPr>
            <w:r w:rsidRPr="00CF3673">
              <w:rPr>
                <w:rFonts w:ascii="Calibri" w:eastAsia="Times New Roman" w:hAnsi="Calibri" w:cs="Times New Roman"/>
                <w:lang w:eastAsia="zh-CN"/>
              </w:rPr>
              <w:t>Alimentos e Bebidas</w:t>
            </w:r>
          </w:p>
        </w:tc>
        <w:tc>
          <w:tcPr>
            <w:tcW w:w="0" w:type="auto"/>
            <w:noWrap/>
            <w:hideMark/>
          </w:tcPr>
          <w:p w:rsidR="00DF4C81" w:rsidRPr="00CF3673" w:rsidRDefault="00DF4C81" w:rsidP="00DF4C81">
            <w:pPr>
              <w:jc w:val="center"/>
            </w:pPr>
            <w:r w:rsidRPr="00CF3673">
              <w:t>50</w:t>
            </w:r>
          </w:p>
        </w:tc>
        <w:tc>
          <w:tcPr>
            <w:tcW w:w="0" w:type="auto"/>
            <w:noWrap/>
            <w:hideMark/>
          </w:tcPr>
          <w:p w:rsidR="00DF4C81" w:rsidRPr="00CF3673" w:rsidRDefault="00DF4C81" w:rsidP="00DF4C81">
            <w:pPr>
              <w:jc w:val="center"/>
            </w:pPr>
            <w:r w:rsidRPr="00CF3673">
              <w:t>48</w:t>
            </w:r>
          </w:p>
        </w:tc>
        <w:tc>
          <w:tcPr>
            <w:tcW w:w="0" w:type="auto"/>
            <w:noWrap/>
            <w:hideMark/>
          </w:tcPr>
          <w:p w:rsidR="00DF4C81" w:rsidRPr="00CF3673" w:rsidRDefault="00DF4C81" w:rsidP="00DF4C81">
            <w:pPr>
              <w:jc w:val="center"/>
            </w:pPr>
            <w:r w:rsidRPr="00CF3673">
              <w:t>29</w:t>
            </w:r>
          </w:p>
        </w:tc>
        <w:tc>
          <w:tcPr>
            <w:tcW w:w="0" w:type="auto"/>
            <w:noWrap/>
            <w:hideMark/>
          </w:tcPr>
          <w:p w:rsidR="00DF4C81" w:rsidRPr="00CF3673" w:rsidRDefault="00DF4C81" w:rsidP="00DF4C81">
            <w:pPr>
              <w:jc w:val="center"/>
            </w:pPr>
            <w:r w:rsidRPr="00CF3673">
              <w:t>127</w:t>
            </w:r>
          </w:p>
        </w:tc>
      </w:tr>
      <w:tr w:rsidR="005023F7" w:rsidRPr="00CF3673" w:rsidTr="00737B2E">
        <w:trPr>
          <w:trHeight w:val="300"/>
          <w:jc w:val="center"/>
        </w:trPr>
        <w:tc>
          <w:tcPr>
            <w:tcW w:w="0" w:type="auto"/>
            <w:noWrap/>
            <w:hideMark/>
          </w:tcPr>
          <w:p w:rsidR="00DF4C81" w:rsidRPr="00CF3673" w:rsidRDefault="00B20E4D" w:rsidP="00737B2E">
            <w:pPr>
              <w:rPr>
                <w:rFonts w:ascii="Calibri" w:eastAsia="Times New Roman" w:hAnsi="Calibri" w:cs="Times New Roman"/>
                <w:lang w:eastAsia="zh-CN"/>
              </w:rPr>
            </w:pPr>
            <w:r w:rsidRPr="00CF3673">
              <w:rPr>
                <w:rFonts w:ascii="Calibri" w:eastAsia="Times New Roman" w:hAnsi="Calibri" w:cs="Times New Roman"/>
                <w:lang w:eastAsia="zh-CN"/>
              </w:rPr>
              <w:t>Tabaco</w:t>
            </w:r>
          </w:p>
        </w:tc>
        <w:tc>
          <w:tcPr>
            <w:tcW w:w="0" w:type="auto"/>
            <w:noWrap/>
            <w:hideMark/>
          </w:tcPr>
          <w:p w:rsidR="00DF4C81" w:rsidRPr="00CF3673" w:rsidRDefault="00DF4C81" w:rsidP="00DF4C81">
            <w:pPr>
              <w:jc w:val="center"/>
            </w:pPr>
          </w:p>
        </w:tc>
        <w:tc>
          <w:tcPr>
            <w:tcW w:w="0" w:type="auto"/>
            <w:noWrap/>
            <w:hideMark/>
          </w:tcPr>
          <w:p w:rsidR="00DF4C81" w:rsidRPr="00CF3673" w:rsidRDefault="00DF4C81" w:rsidP="00DF4C81">
            <w:pPr>
              <w:jc w:val="center"/>
            </w:pPr>
          </w:p>
        </w:tc>
        <w:tc>
          <w:tcPr>
            <w:tcW w:w="0" w:type="auto"/>
            <w:noWrap/>
            <w:hideMark/>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r w:rsidRPr="00CF3673">
              <w:t>1</w:t>
            </w:r>
          </w:p>
        </w:tc>
      </w:tr>
      <w:tr w:rsidR="005023F7" w:rsidRPr="00CF3673" w:rsidTr="00737B2E">
        <w:trPr>
          <w:trHeight w:val="300"/>
          <w:jc w:val="center"/>
        </w:trPr>
        <w:tc>
          <w:tcPr>
            <w:tcW w:w="0" w:type="auto"/>
            <w:noWrap/>
            <w:hideMark/>
          </w:tcPr>
          <w:p w:rsidR="00DF4C81" w:rsidRPr="00CF3673" w:rsidRDefault="00B20E4D" w:rsidP="005023F7">
            <w:pPr>
              <w:rPr>
                <w:rFonts w:ascii="Calibri" w:eastAsia="Times New Roman" w:hAnsi="Calibri" w:cs="Times New Roman"/>
                <w:lang w:eastAsia="zh-CN"/>
              </w:rPr>
            </w:pPr>
            <w:r w:rsidRPr="00CF3673">
              <w:rPr>
                <w:rFonts w:ascii="Calibri" w:eastAsia="Times New Roman" w:hAnsi="Calibri" w:cs="Times New Roman"/>
                <w:lang w:eastAsia="zh-CN"/>
              </w:rPr>
              <w:t>Têxteis</w:t>
            </w:r>
          </w:p>
        </w:tc>
        <w:tc>
          <w:tcPr>
            <w:tcW w:w="0" w:type="auto"/>
            <w:noWrap/>
            <w:hideMark/>
          </w:tcPr>
          <w:p w:rsidR="00DF4C81" w:rsidRPr="00CF3673" w:rsidRDefault="00DF4C81" w:rsidP="00DF4C81">
            <w:pPr>
              <w:jc w:val="center"/>
            </w:pPr>
            <w:r w:rsidRPr="00CF3673">
              <w:t>3</w:t>
            </w:r>
          </w:p>
        </w:tc>
        <w:tc>
          <w:tcPr>
            <w:tcW w:w="0" w:type="auto"/>
            <w:noWrap/>
            <w:hideMark/>
          </w:tcPr>
          <w:p w:rsidR="00DF4C81" w:rsidRPr="00CF3673" w:rsidRDefault="00DF4C81" w:rsidP="00DF4C81">
            <w:pPr>
              <w:jc w:val="center"/>
            </w:pPr>
            <w:r w:rsidRPr="00CF3673">
              <w:t>3</w:t>
            </w:r>
          </w:p>
        </w:tc>
        <w:tc>
          <w:tcPr>
            <w:tcW w:w="0" w:type="auto"/>
            <w:noWrap/>
            <w:hideMark/>
          </w:tcPr>
          <w:p w:rsidR="00DF4C81" w:rsidRPr="00CF3673" w:rsidRDefault="00DF4C81" w:rsidP="00DF4C81">
            <w:pPr>
              <w:jc w:val="center"/>
            </w:pPr>
            <w:r w:rsidRPr="00CF3673">
              <w:t>3</w:t>
            </w:r>
          </w:p>
        </w:tc>
        <w:tc>
          <w:tcPr>
            <w:tcW w:w="0" w:type="auto"/>
            <w:noWrap/>
            <w:hideMark/>
          </w:tcPr>
          <w:p w:rsidR="00DF4C81" w:rsidRPr="00CF3673" w:rsidRDefault="00DF4C81" w:rsidP="00DF4C81">
            <w:pPr>
              <w:jc w:val="center"/>
            </w:pPr>
            <w:r w:rsidRPr="00CF3673">
              <w:t>9</w:t>
            </w:r>
          </w:p>
        </w:tc>
      </w:tr>
      <w:tr w:rsidR="005023F7" w:rsidRPr="00CF3673" w:rsidTr="00737B2E">
        <w:trPr>
          <w:trHeight w:val="300"/>
          <w:jc w:val="center"/>
        </w:trPr>
        <w:tc>
          <w:tcPr>
            <w:tcW w:w="0" w:type="auto"/>
            <w:noWrap/>
            <w:hideMark/>
          </w:tcPr>
          <w:p w:rsidR="00DF4C81" w:rsidRPr="00CF3673" w:rsidRDefault="005023F7" w:rsidP="00737B2E">
            <w:pPr>
              <w:rPr>
                <w:rFonts w:ascii="Calibri" w:eastAsia="Times New Roman" w:hAnsi="Calibri" w:cs="Times New Roman"/>
                <w:lang w:eastAsia="zh-CN"/>
              </w:rPr>
            </w:pPr>
            <w:r w:rsidRPr="00CF3673">
              <w:rPr>
                <w:rFonts w:ascii="Calibri" w:eastAsia="Times New Roman" w:hAnsi="Calibri" w:cs="Times New Roman"/>
                <w:lang w:eastAsia="zh-CN"/>
              </w:rPr>
              <w:t>Vestuário</w:t>
            </w:r>
          </w:p>
        </w:tc>
        <w:tc>
          <w:tcPr>
            <w:tcW w:w="0" w:type="auto"/>
            <w:noWrap/>
            <w:hideMark/>
          </w:tcPr>
          <w:p w:rsidR="00DF4C81" w:rsidRPr="00CF3673" w:rsidRDefault="00DF4C81" w:rsidP="00DF4C81">
            <w:pPr>
              <w:jc w:val="center"/>
            </w:pPr>
            <w:r w:rsidRPr="00CF3673">
              <w:t>75</w:t>
            </w:r>
          </w:p>
        </w:tc>
        <w:tc>
          <w:tcPr>
            <w:tcW w:w="0" w:type="auto"/>
            <w:noWrap/>
            <w:hideMark/>
          </w:tcPr>
          <w:p w:rsidR="00DF4C81" w:rsidRPr="00CF3673" w:rsidRDefault="00DF4C81" w:rsidP="00DF4C81">
            <w:pPr>
              <w:jc w:val="center"/>
            </w:pPr>
            <w:r w:rsidRPr="00CF3673">
              <w:t>8</w:t>
            </w:r>
          </w:p>
        </w:tc>
        <w:tc>
          <w:tcPr>
            <w:tcW w:w="0" w:type="auto"/>
            <w:noWrap/>
            <w:hideMark/>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r w:rsidRPr="00CF3673">
              <w:t>84</w:t>
            </w:r>
          </w:p>
        </w:tc>
      </w:tr>
      <w:tr w:rsidR="005023F7" w:rsidRPr="00CF3673" w:rsidTr="00737B2E">
        <w:trPr>
          <w:trHeight w:val="300"/>
          <w:jc w:val="center"/>
        </w:trPr>
        <w:tc>
          <w:tcPr>
            <w:tcW w:w="0" w:type="auto"/>
            <w:noWrap/>
            <w:hideMark/>
          </w:tcPr>
          <w:p w:rsidR="00DF4C81" w:rsidRPr="00CF3673" w:rsidRDefault="005023F7" w:rsidP="00737B2E">
            <w:pPr>
              <w:rPr>
                <w:rFonts w:ascii="Calibri" w:eastAsia="Times New Roman" w:hAnsi="Calibri" w:cs="Times New Roman"/>
                <w:lang w:eastAsia="zh-CN"/>
              </w:rPr>
            </w:pPr>
            <w:r w:rsidRPr="00CF3673">
              <w:rPr>
                <w:rFonts w:ascii="Calibri" w:eastAsia="Times New Roman" w:hAnsi="Calibri" w:cs="Times New Roman"/>
                <w:lang w:eastAsia="zh-CN"/>
              </w:rPr>
              <w:t>Couro e Calçado</w:t>
            </w:r>
          </w:p>
        </w:tc>
        <w:tc>
          <w:tcPr>
            <w:tcW w:w="0" w:type="auto"/>
            <w:noWrap/>
            <w:hideMark/>
          </w:tcPr>
          <w:p w:rsidR="00DF4C81" w:rsidRPr="00CF3673" w:rsidRDefault="00DF4C81" w:rsidP="00DF4C81">
            <w:pPr>
              <w:jc w:val="center"/>
            </w:pPr>
            <w:r w:rsidRPr="00CF3673">
              <w:t>6</w:t>
            </w:r>
          </w:p>
        </w:tc>
        <w:tc>
          <w:tcPr>
            <w:tcW w:w="0" w:type="auto"/>
            <w:noWrap/>
            <w:hideMark/>
          </w:tcPr>
          <w:p w:rsidR="00DF4C81" w:rsidRPr="00CF3673" w:rsidRDefault="00DF4C81" w:rsidP="00DF4C81">
            <w:pPr>
              <w:jc w:val="center"/>
            </w:pPr>
            <w:r w:rsidRPr="00CF3673">
              <w:t>2</w:t>
            </w:r>
          </w:p>
        </w:tc>
        <w:tc>
          <w:tcPr>
            <w:tcW w:w="0" w:type="auto"/>
            <w:noWrap/>
            <w:hideMark/>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r w:rsidRPr="00CF3673">
              <w:t>9</w:t>
            </w:r>
          </w:p>
        </w:tc>
      </w:tr>
      <w:tr w:rsidR="005023F7" w:rsidRPr="00CF3673" w:rsidTr="00737B2E">
        <w:trPr>
          <w:trHeight w:val="300"/>
          <w:jc w:val="center"/>
        </w:trPr>
        <w:tc>
          <w:tcPr>
            <w:tcW w:w="0" w:type="auto"/>
            <w:noWrap/>
            <w:hideMark/>
          </w:tcPr>
          <w:p w:rsidR="00DF4C81" w:rsidRPr="00CF3673" w:rsidRDefault="005023F7" w:rsidP="00737B2E">
            <w:pPr>
              <w:rPr>
                <w:rFonts w:ascii="Calibri" w:eastAsia="Times New Roman" w:hAnsi="Calibri" w:cs="Times New Roman"/>
                <w:lang w:eastAsia="zh-CN"/>
              </w:rPr>
            </w:pPr>
            <w:r w:rsidRPr="00CF3673">
              <w:rPr>
                <w:rFonts w:ascii="Calibri" w:eastAsia="Times New Roman" w:hAnsi="Calibri" w:cs="Times New Roman"/>
                <w:lang w:eastAsia="zh-CN"/>
              </w:rPr>
              <w:t>Madeira</w:t>
            </w:r>
          </w:p>
        </w:tc>
        <w:tc>
          <w:tcPr>
            <w:tcW w:w="0" w:type="auto"/>
            <w:noWrap/>
            <w:hideMark/>
          </w:tcPr>
          <w:p w:rsidR="00DF4C81" w:rsidRPr="00CF3673" w:rsidRDefault="00DF4C81" w:rsidP="00DF4C81">
            <w:pPr>
              <w:jc w:val="center"/>
            </w:pPr>
            <w:r w:rsidRPr="00CF3673">
              <w:t>71</w:t>
            </w:r>
          </w:p>
        </w:tc>
        <w:tc>
          <w:tcPr>
            <w:tcW w:w="0" w:type="auto"/>
            <w:noWrap/>
            <w:hideMark/>
          </w:tcPr>
          <w:p w:rsidR="00DF4C81" w:rsidRPr="00CF3673" w:rsidRDefault="00DF4C81" w:rsidP="00DF4C81">
            <w:pPr>
              <w:jc w:val="center"/>
            </w:pPr>
            <w:r w:rsidRPr="00CF3673">
              <w:t>21</w:t>
            </w:r>
          </w:p>
        </w:tc>
        <w:tc>
          <w:tcPr>
            <w:tcW w:w="0" w:type="auto"/>
            <w:noWrap/>
            <w:hideMark/>
          </w:tcPr>
          <w:p w:rsidR="00DF4C81" w:rsidRPr="00CF3673" w:rsidRDefault="00DF4C81" w:rsidP="00DF4C81">
            <w:pPr>
              <w:jc w:val="center"/>
            </w:pPr>
            <w:r w:rsidRPr="00CF3673">
              <w:t>4</w:t>
            </w:r>
          </w:p>
        </w:tc>
        <w:tc>
          <w:tcPr>
            <w:tcW w:w="0" w:type="auto"/>
            <w:noWrap/>
            <w:hideMark/>
          </w:tcPr>
          <w:p w:rsidR="00DF4C81" w:rsidRPr="00CF3673" w:rsidRDefault="00DF4C81" w:rsidP="00DF4C81">
            <w:pPr>
              <w:jc w:val="center"/>
            </w:pPr>
            <w:r w:rsidRPr="00CF3673">
              <w:t>96</w:t>
            </w:r>
          </w:p>
        </w:tc>
      </w:tr>
      <w:tr w:rsidR="005023F7" w:rsidRPr="00CF3673" w:rsidTr="00737B2E">
        <w:trPr>
          <w:trHeight w:val="300"/>
          <w:jc w:val="center"/>
        </w:trPr>
        <w:tc>
          <w:tcPr>
            <w:tcW w:w="0" w:type="auto"/>
            <w:noWrap/>
            <w:hideMark/>
          </w:tcPr>
          <w:p w:rsidR="00DF4C81" w:rsidRPr="00CF3673" w:rsidRDefault="005023F7" w:rsidP="00737B2E">
            <w:pPr>
              <w:rPr>
                <w:rFonts w:ascii="Calibri" w:eastAsia="Times New Roman" w:hAnsi="Calibri" w:cs="Times New Roman"/>
                <w:lang w:eastAsia="zh-CN"/>
              </w:rPr>
            </w:pPr>
            <w:r w:rsidRPr="00CF3673">
              <w:rPr>
                <w:rFonts w:ascii="Calibri" w:eastAsia="Times New Roman" w:hAnsi="Calibri" w:cs="Times New Roman"/>
                <w:lang w:eastAsia="zh-CN"/>
              </w:rPr>
              <w:t>Papel</w:t>
            </w:r>
          </w:p>
        </w:tc>
        <w:tc>
          <w:tcPr>
            <w:tcW w:w="0" w:type="auto"/>
            <w:noWrap/>
            <w:hideMark/>
          </w:tcPr>
          <w:p w:rsidR="00DF4C81" w:rsidRPr="00CF3673" w:rsidRDefault="00DF4C81" w:rsidP="00DF4C81">
            <w:pPr>
              <w:jc w:val="center"/>
            </w:pPr>
          </w:p>
        </w:tc>
        <w:tc>
          <w:tcPr>
            <w:tcW w:w="0" w:type="auto"/>
            <w:noWrap/>
            <w:hideMark/>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r w:rsidRPr="00CF3673">
              <w:t>2</w:t>
            </w:r>
          </w:p>
        </w:tc>
      </w:tr>
      <w:tr w:rsidR="005023F7" w:rsidRPr="00CF3673" w:rsidTr="00737B2E">
        <w:trPr>
          <w:trHeight w:val="300"/>
          <w:jc w:val="center"/>
        </w:trPr>
        <w:tc>
          <w:tcPr>
            <w:tcW w:w="0" w:type="auto"/>
            <w:noWrap/>
            <w:hideMark/>
          </w:tcPr>
          <w:p w:rsidR="00DF4C81" w:rsidRPr="00CF3673" w:rsidRDefault="00DF4C81" w:rsidP="005023F7">
            <w:pPr>
              <w:rPr>
                <w:rFonts w:ascii="Calibri" w:eastAsia="Times New Roman" w:hAnsi="Calibri" w:cs="Times New Roman"/>
                <w:lang w:eastAsia="zh-CN"/>
              </w:rPr>
            </w:pPr>
            <w:r w:rsidRPr="00CF3673">
              <w:rPr>
                <w:rFonts w:ascii="Calibri" w:eastAsia="Times New Roman" w:hAnsi="Calibri" w:cs="Times New Roman"/>
                <w:lang w:eastAsia="zh-CN"/>
              </w:rPr>
              <w:t>Publi</w:t>
            </w:r>
            <w:r w:rsidR="005023F7" w:rsidRPr="00CF3673">
              <w:rPr>
                <w:rFonts w:ascii="Calibri" w:eastAsia="Times New Roman" w:hAnsi="Calibri" w:cs="Times New Roman"/>
                <w:lang w:eastAsia="zh-CN"/>
              </w:rPr>
              <w:t>cação e impressão</w:t>
            </w:r>
          </w:p>
        </w:tc>
        <w:tc>
          <w:tcPr>
            <w:tcW w:w="0" w:type="auto"/>
            <w:noWrap/>
            <w:hideMark/>
          </w:tcPr>
          <w:p w:rsidR="00DF4C81" w:rsidRPr="00CF3673" w:rsidRDefault="00DF4C81" w:rsidP="00DF4C81">
            <w:pPr>
              <w:jc w:val="center"/>
            </w:pPr>
            <w:r w:rsidRPr="00CF3673">
              <w:t>8</w:t>
            </w:r>
          </w:p>
        </w:tc>
        <w:tc>
          <w:tcPr>
            <w:tcW w:w="0" w:type="auto"/>
            <w:noWrap/>
            <w:hideMark/>
          </w:tcPr>
          <w:p w:rsidR="00DF4C81" w:rsidRPr="00CF3673" w:rsidRDefault="00DF4C81" w:rsidP="00DF4C81">
            <w:pPr>
              <w:jc w:val="center"/>
            </w:pPr>
            <w:r w:rsidRPr="00CF3673">
              <w:t>7</w:t>
            </w:r>
          </w:p>
        </w:tc>
        <w:tc>
          <w:tcPr>
            <w:tcW w:w="0" w:type="auto"/>
            <w:noWrap/>
            <w:hideMark/>
          </w:tcPr>
          <w:p w:rsidR="00DF4C81" w:rsidRPr="00CF3673" w:rsidRDefault="00DF4C81" w:rsidP="00DF4C81">
            <w:pPr>
              <w:jc w:val="center"/>
            </w:pPr>
            <w:r w:rsidRPr="00CF3673">
              <w:t>2</w:t>
            </w:r>
          </w:p>
        </w:tc>
        <w:tc>
          <w:tcPr>
            <w:tcW w:w="0" w:type="auto"/>
            <w:noWrap/>
            <w:hideMark/>
          </w:tcPr>
          <w:p w:rsidR="00DF4C81" w:rsidRPr="00CF3673" w:rsidRDefault="00DF4C81" w:rsidP="00DF4C81">
            <w:pPr>
              <w:jc w:val="center"/>
            </w:pPr>
            <w:r w:rsidRPr="00CF3673">
              <w:t>17</w:t>
            </w:r>
          </w:p>
        </w:tc>
      </w:tr>
      <w:tr w:rsidR="005023F7" w:rsidRPr="00CF3673" w:rsidTr="00737B2E">
        <w:trPr>
          <w:trHeight w:val="300"/>
          <w:jc w:val="center"/>
        </w:trPr>
        <w:tc>
          <w:tcPr>
            <w:tcW w:w="0" w:type="auto"/>
            <w:noWrap/>
            <w:hideMark/>
          </w:tcPr>
          <w:p w:rsidR="00DF4C81" w:rsidRPr="00CF3673" w:rsidRDefault="005023F7" w:rsidP="00737B2E">
            <w:pPr>
              <w:rPr>
                <w:rFonts w:ascii="Calibri" w:eastAsia="Times New Roman" w:hAnsi="Calibri" w:cs="Times New Roman"/>
                <w:lang w:eastAsia="zh-CN"/>
              </w:rPr>
            </w:pPr>
            <w:r w:rsidRPr="00CF3673">
              <w:rPr>
                <w:rFonts w:ascii="Calibri" w:eastAsia="Times New Roman" w:hAnsi="Calibri" w:cs="Times New Roman"/>
                <w:lang w:eastAsia="zh-CN"/>
              </w:rPr>
              <w:t>Químico</w:t>
            </w:r>
          </w:p>
        </w:tc>
        <w:tc>
          <w:tcPr>
            <w:tcW w:w="0" w:type="auto"/>
            <w:noWrap/>
            <w:hideMark/>
          </w:tcPr>
          <w:p w:rsidR="00DF4C81" w:rsidRPr="00CF3673" w:rsidRDefault="00DF4C81" w:rsidP="00DF4C81">
            <w:pPr>
              <w:jc w:val="center"/>
            </w:pPr>
          </w:p>
        </w:tc>
        <w:tc>
          <w:tcPr>
            <w:tcW w:w="0" w:type="auto"/>
            <w:noWrap/>
            <w:hideMark/>
          </w:tcPr>
          <w:p w:rsidR="00DF4C81" w:rsidRPr="00CF3673" w:rsidRDefault="00DF4C81" w:rsidP="00DF4C81">
            <w:pPr>
              <w:jc w:val="center"/>
            </w:pPr>
            <w:r w:rsidRPr="00CF3673">
              <w:t>3</w:t>
            </w:r>
          </w:p>
        </w:tc>
        <w:tc>
          <w:tcPr>
            <w:tcW w:w="0" w:type="auto"/>
            <w:noWrap/>
            <w:hideMark/>
          </w:tcPr>
          <w:p w:rsidR="00DF4C81" w:rsidRPr="00CF3673" w:rsidRDefault="00DF4C81" w:rsidP="00DF4C81">
            <w:pPr>
              <w:jc w:val="center"/>
            </w:pPr>
            <w:r w:rsidRPr="00CF3673">
              <w:t>3</w:t>
            </w:r>
          </w:p>
        </w:tc>
        <w:tc>
          <w:tcPr>
            <w:tcW w:w="0" w:type="auto"/>
            <w:noWrap/>
            <w:hideMark/>
          </w:tcPr>
          <w:p w:rsidR="00DF4C81" w:rsidRPr="00CF3673" w:rsidRDefault="00DF4C81" w:rsidP="00DF4C81">
            <w:pPr>
              <w:jc w:val="center"/>
            </w:pPr>
            <w:r w:rsidRPr="00CF3673">
              <w:t>6</w:t>
            </w:r>
          </w:p>
        </w:tc>
      </w:tr>
      <w:tr w:rsidR="005023F7" w:rsidRPr="00CF3673" w:rsidTr="00737B2E">
        <w:trPr>
          <w:trHeight w:val="300"/>
          <w:jc w:val="center"/>
        </w:trPr>
        <w:tc>
          <w:tcPr>
            <w:tcW w:w="0" w:type="auto"/>
            <w:noWrap/>
            <w:hideMark/>
          </w:tcPr>
          <w:p w:rsidR="00DF4C81" w:rsidRPr="00CF3673" w:rsidRDefault="005023F7" w:rsidP="005023F7">
            <w:pPr>
              <w:rPr>
                <w:rFonts w:ascii="Calibri" w:eastAsia="Times New Roman" w:hAnsi="Calibri" w:cs="Times New Roman"/>
                <w:lang w:eastAsia="zh-CN"/>
              </w:rPr>
            </w:pPr>
            <w:r w:rsidRPr="00CF3673">
              <w:rPr>
                <w:rFonts w:ascii="Calibri" w:eastAsia="Times New Roman" w:hAnsi="Calibri" w:cs="Times New Roman"/>
                <w:lang w:eastAsia="zh-CN"/>
              </w:rPr>
              <w:t xml:space="preserve">Borracha e </w:t>
            </w:r>
            <w:r w:rsidR="00B20E4D" w:rsidRPr="00CF3673">
              <w:rPr>
                <w:rFonts w:ascii="Calibri" w:eastAsia="Times New Roman" w:hAnsi="Calibri" w:cs="Times New Roman"/>
                <w:lang w:eastAsia="zh-CN"/>
              </w:rPr>
              <w:t>Plástico</w:t>
            </w:r>
          </w:p>
        </w:tc>
        <w:tc>
          <w:tcPr>
            <w:tcW w:w="0" w:type="auto"/>
            <w:noWrap/>
            <w:hideMark/>
          </w:tcPr>
          <w:p w:rsidR="00DF4C81" w:rsidRPr="00CF3673" w:rsidRDefault="00DF4C81" w:rsidP="00DF4C81">
            <w:pPr>
              <w:jc w:val="center"/>
            </w:pPr>
          </w:p>
        </w:tc>
        <w:tc>
          <w:tcPr>
            <w:tcW w:w="0" w:type="auto"/>
            <w:noWrap/>
            <w:hideMark/>
          </w:tcPr>
          <w:p w:rsidR="00DF4C81" w:rsidRPr="00CF3673" w:rsidRDefault="00DF4C81" w:rsidP="00DF4C81">
            <w:pPr>
              <w:jc w:val="center"/>
            </w:pPr>
            <w:r w:rsidRPr="00CF3673">
              <w:t>3</w:t>
            </w:r>
          </w:p>
        </w:tc>
        <w:tc>
          <w:tcPr>
            <w:tcW w:w="0" w:type="auto"/>
            <w:noWrap/>
            <w:hideMark/>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r w:rsidRPr="00CF3673">
              <w:t>4</w:t>
            </w:r>
          </w:p>
        </w:tc>
      </w:tr>
      <w:tr w:rsidR="005023F7" w:rsidRPr="00CF3673" w:rsidTr="00737B2E">
        <w:trPr>
          <w:trHeight w:val="300"/>
          <w:jc w:val="center"/>
        </w:trPr>
        <w:tc>
          <w:tcPr>
            <w:tcW w:w="0" w:type="auto"/>
            <w:noWrap/>
            <w:hideMark/>
          </w:tcPr>
          <w:p w:rsidR="00DF4C81" w:rsidRPr="00CF3673" w:rsidRDefault="005023F7" w:rsidP="005023F7">
            <w:pPr>
              <w:rPr>
                <w:rFonts w:ascii="Calibri" w:eastAsia="Times New Roman" w:hAnsi="Calibri" w:cs="Times New Roman"/>
                <w:lang w:eastAsia="zh-CN"/>
              </w:rPr>
            </w:pPr>
            <w:r w:rsidRPr="00CF3673">
              <w:rPr>
                <w:rFonts w:ascii="Calibri" w:eastAsia="Times New Roman" w:hAnsi="Calibri" w:cs="Times New Roman"/>
                <w:lang w:eastAsia="zh-CN"/>
              </w:rPr>
              <w:t>Produtos minerais não-metálicos</w:t>
            </w:r>
          </w:p>
        </w:tc>
        <w:tc>
          <w:tcPr>
            <w:tcW w:w="0" w:type="auto"/>
            <w:noWrap/>
            <w:hideMark/>
          </w:tcPr>
          <w:p w:rsidR="00DF4C81" w:rsidRPr="00CF3673" w:rsidRDefault="00DF4C81" w:rsidP="00DF4C81">
            <w:pPr>
              <w:jc w:val="center"/>
            </w:pPr>
            <w:r w:rsidRPr="00CF3673">
              <w:t>45</w:t>
            </w:r>
          </w:p>
        </w:tc>
        <w:tc>
          <w:tcPr>
            <w:tcW w:w="0" w:type="auto"/>
            <w:noWrap/>
            <w:hideMark/>
          </w:tcPr>
          <w:p w:rsidR="00DF4C81" w:rsidRPr="00CF3673" w:rsidRDefault="00DF4C81" w:rsidP="00DF4C81">
            <w:pPr>
              <w:jc w:val="center"/>
            </w:pPr>
            <w:r w:rsidRPr="00CF3673">
              <w:t>15</w:t>
            </w:r>
          </w:p>
        </w:tc>
        <w:tc>
          <w:tcPr>
            <w:tcW w:w="0" w:type="auto"/>
            <w:noWrap/>
            <w:hideMark/>
          </w:tcPr>
          <w:p w:rsidR="00DF4C81" w:rsidRPr="00CF3673" w:rsidRDefault="00DF4C81" w:rsidP="00DF4C81">
            <w:pPr>
              <w:jc w:val="center"/>
            </w:pPr>
            <w:r w:rsidRPr="00CF3673">
              <w:t>4</w:t>
            </w:r>
          </w:p>
        </w:tc>
        <w:tc>
          <w:tcPr>
            <w:tcW w:w="0" w:type="auto"/>
            <w:noWrap/>
            <w:hideMark/>
          </w:tcPr>
          <w:p w:rsidR="00DF4C81" w:rsidRPr="00CF3673" w:rsidRDefault="00DF4C81" w:rsidP="00DF4C81">
            <w:pPr>
              <w:jc w:val="center"/>
            </w:pPr>
            <w:r w:rsidRPr="00CF3673">
              <w:t>64</w:t>
            </w:r>
          </w:p>
        </w:tc>
      </w:tr>
      <w:tr w:rsidR="005023F7" w:rsidRPr="00CF3673" w:rsidTr="00737B2E">
        <w:trPr>
          <w:trHeight w:val="300"/>
          <w:jc w:val="center"/>
        </w:trPr>
        <w:tc>
          <w:tcPr>
            <w:tcW w:w="0" w:type="auto"/>
            <w:noWrap/>
            <w:hideMark/>
          </w:tcPr>
          <w:p w:rsidR="00DF4C81" w:rsidRPr="00CF3673" w:rsidRDefault="00B20E4D" w:rsidP="005023F7">
            <w:pPr>
              <w:rPr>
                <w:rFonts w:ascii="Calibri" w:eastAsia="Times New Roman" w:hAnsi="Calibri" w:cs="Times New Roman"/>
                <w:lang w:eastAsia="zh-CN"/>
              </w:rPr>
            </w:pPr>
            <w:r w:rsidRPr="00CF3673">
              <w:rPr>
                <w:rFonts w:ascii="Calibri" w:eastAsia="Times New Roman" w:hAnsi="Calibri" w:cs="Times New Roman"/>
                <w:lang w:eastAsia="zh-CN"/>
              </w:rPr>
              <w:t>Produtos</w:t>
            </w:r>
            <w:r w:rsidR="005023F7" w:rsidRPr="00CF3673">
              <w:rPr>
                <w:rFonts w:ascii="Calibri" w:eastAsia="Times New Roman" w:hAnsi="Calibri" w:cs="Times New Roman"/>
                <w:lang w:eastAsia="zh-CN"/>
              </w:rPr>
              <w:t xml:space="preserve"> Fabricados de Metal</w:t>
            </w:r>
          </w:p>
        </w:tc>
        <w:tc>
          <w:tcPr>
            <w:tcW w:w="0" w:type="auto"/>
            <w:noWrap/>
            <w:hideMark/>
          </w:tcPr>
          <w:p w:rsidR="00DF4C81" w:rsidRPr="00CF3673" w:rsidRDefault="00DF4C81" w:rsidP="00DF4C81">
            <w:pPr>
              <w:jc w:val="center"/>
            </w:pPr>
            <w:r w:rsidRPr="00CF3673">
              <w:t>125</w:t>
            </w:r>
          </w:p>
        </w:tc>
        <w:tc>
          <w:tcPr>
            <w:tcW w:w="0" w:type="auto"/>
            <w:noWrap/>
            <w:hideMark/>
          </w:tcPr>
          <w:p w:rsidR="00DF4C81" w:rsidRPr="00CF3673" w:rsidRDefault="00DF4C81" w:rsidP="00DF4C81">
            <w:pPr>
              <w:jc w:val="center"/>
            </w:pPr>
            <w:r w:rsidRPr="00CF3673">
              <w:t>33</w:t>
            </w:r>
          </w:p>
        </w:tc>
        <w:tc>
          <w:tcPr>
            <w:tcW w:w="0" w:type="auto"/>
            <w:noWrap/>
            <w:hideMark/>
          </w:tcPr>
          <w:p w:rsidR="00DF4C81" w:rsidRPr="00CF3673" w:rsidRDefault="00DF4C81" w:rsidP="00DF4C81">
            <w:pPr>
              <w:jc w:val="center"/>
            </w:pPr>
            <w:r w:rsidRPr="00CF3673">
              <w:t>5</w:t>
            </w:r>
          </w:p>
        </w:tc>
        <w:tc>
          <w:tcPr>
            <w:tcW w:w="0" w:type="auto"/>
            <w:noWrap/>
            <w:hideMark/>
          </w:tcPr>
          <w:p w:rsidR="00DF4C81" w:rsidRPr="00CF3673" w:rsidRDefault="00DF4C81" w:rsidP="00DF4C81">
            <w:pPr>
              <w:jc w:val="center"/>
            </w:pPr>
            <w:r w:rsidRPr="00CF3673">
              <w:t>163</w:t>
            </w:r>
          </w:p>
        </w:tc>
      </w:tr>
      <w:tr w:rsidR="005023F7" w:rsidRPr="00CF3673" w:rsidTr="00737B2E">
        <w:trPr>
          <w:trHeight w:val="300"/>
          <w:jc w:val="center"/>
        </w:trPr>
        <w:tc>
          <w:tcPr>
            <w:tcW w:w="0" w:type="auto"/>
            <w:noWrap/>
            <w:hideMark/>
          </w:tcPr>
          <w:p w:rsidR="00DF4C81" w:rsidRPr="00CF3673" w:rsidRDefault="005023F7" w:rsidP="00737B2E">
            <w:pPr>
              <w:rPr>
                <w:rFonts w:ascii="Calibri" w:eastAsia="Times New Roman" w:hAnsi="Calibri" w:cs="Times New Roman"/>
                <w:lang w:eastAsia="zh-CN"/>
              </w:rPr>
            </w:pPr>
            <w:r w:rsidRPr="00CF3673">
              <w:rPr>
                <w:rFonts w:ascii="Calibri" w:eastAsia="Times New Roman" w:hAnsi="Calibri" w:cs="Times New Roman"/>
                <w:lang w:eastAsia="zh-CN"/>
              </w:rPr>
              <w:t>Maquinaria</w:t>
            </w:r>
          </w:p>
        </w:tc>
        <w:tc>
          <w:tcPr>
            <w:tcW w:w="0" w:type="auto"/>
            <w:noWrap/>
            <w:hideMark/>
          </w:tcPr>
          <w:p w:rsidR="00DF4C81" w:rsidRPr="00CF3673" w:rsidRDefault="00DF4C81" w:rsidP="00DF4C81">
            <w:pPr>
              <w:jc w:val="center"/>
            </w:pPr>
            <w:r w:rsidRPr="00CF3673">
              <w:t>3</w:t>
            </w:r>
          </w:p>
        </w:tc>
        <w:tc>
          <w:tcPr>
            <w:tcW w:w="0" w:type="auto"/>
            <w:noWrap/>
            <w:hideMark/>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r w:rsidRPr="00CF3673">
              <w:t>5</w:t>
            </w:r>
          </w:p>
        </w:tc>
      </w:tr>
      <w:tr w:rsidR="005023F7" w:rsidRPr="00CF3673" w:rsidTr="00737B2E">
        <w:trPr>
          <w:trHeight w:val="300"/>
          <w:jc w:val="center"/>
        </w:trPr>
        <w:tc>
          <w:tcPr>
            <w:tcW w:w="0" w:type="auto"/>
            <w:noWrap/>
            <w:hideMark/>
          </w:tcPr>
          <w:p w:rsidR="00DF4C81" w:rsidRPr="00CF3673" w:rsidRDefault="005023F7" w:rsidP="005023F7">
            <w:pPr>
              <w:rPr>
                <w:rFonts w:ascii="Calibri" w:eastAsia="Times New Roman" w:hAnsi="Calibri" w:cs="Times New Roman"/>
                <w:lang w:eastAsia="zh-CN"/>
              </w:rPr>
            </w:pPr>
            <w:r w:rsidRPr="00CF3673">
              <w:rPr>
                <w:rFonts w:ascii="Calibri" w:eastAsia="Times New Roman" w:hAnsi="Calibri" w:cs="Times New Roman"/>
                <w:lang w:eastAsia="zh-CN"/>
              </w:rPr>
              <w:t>Equipamento Elé</w:t>
            </w:r>
            <w:r w:rsidR="00DF4C81" w:rsidRPr="00CF3673">
              <w:rPr>
                <w:rFonts w:ascii="Calibri" w:eastAsia="Times New Roman" w:hAnsi="Calibri" w:cs="Times New Roman"/>
                <w:lang w:eastAsia="zh-CN"/>
              </w:rPr>
              <w:t>ctric</w:t>
            </w:r>
            <w:r w:rsidRPr="00CF3673">
              <w:rPr>
                <w:rFonts w:ascii="Calibri" w:eastAsia="Times New Roman" w:hAnsi="Calibri" w:cs="Times New Roman"/>
                <w:lang w:eastAsia="zh-CN"/>
              </w:rPr>
              <w:t>o</w:t>
            </w:r>
          </w:p>
        </w:tc>
        <w:tc>
          <w:tcPr>
            <w:tcW w:w="0" w:type="auto"/>
            <w:noWrap/>
            <w:hideMark/>
          </w:tcPr>
          <w:p w:rsidR="00DF4C81" w:rsidRPr="00CF3673" w:rsidRDefault="00DF4C81" w:rsidP="00DF4C81">
            <w:pPr>
              <w:jc w:val="center"/>
            </w:pPr>
            <w:r w:rsidRPr="00CF3673">
              <w:t>2</w:t>
            </w:r>
          </w:p>
        </w:tc>
        <w:tc>
          <w:tcPr>
            <w:tcW w:w="0" w:type="auto"/>
            <w:noWrap/>
            <w:hideMark/>
          </w:tcPr>
          <w:p w:rsidR="00DF4C81" w:rsidRPr="00CF3673" w:rsidRDefault="00DF4C81" w:rsidP="00DF4C81">
            <w:pPr>
              <w:jc w:val="center"/>
            </w:pPr>
            <w:r w:rsidRPr="00CF3673">
              <w:t>2</w:t>
            </w:r>
          </w:p>
        </w:tc>
        <w:tc>
          <w:tcPr>
            <w:tcW w:w="0" w:type="auto"/>
            <w:noWrap/>
            <w:hideMark/>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r w:rsidRPr="00CF3673">
              <w:t>5</w:t>
            </w:r>
          </w:p>
        </w:tc>
      </w:tr>
      <w:tr w:rsidR="005023F7" w:rsidRPr="00CF3673" w:rsidTr="00737B2E">
        <w:trPr>
          <w:trHeight w:val="300"/>
          <w:jc w:val="center"/>
        </w:trPr>
        <w:tc>
          <w:tcPr>
            <w:tcW w:w="0" w:type="auto"/>
            <w:noWrap/>
            <w:hideMark/>
          </w:tcPr>
          <w:p w:rsidR="00DF4C81" w:rsidRPr="00CF3673" w:rsidRDefault="005023F7" w:rsidP="00737B2E">
            <w:pPr>
              <w:rPr>
                <w:rFonts w:ascii="Calibri" w:eastAsia="Times New Roman" w:hAnsi="Calibri" w:cs="Times New Roman"/>
                <w:lang w:eastAsia="zh-CN"/>
              </w:rPr>
            </w:pPr>
            <w:r w:rsidRPr="00CF3673">
              <w:rPr>
                <w:rFonts w:ascii="Calibri" w:eastAsia="Times New Roman" w:hAnsi="Calibri" w:cs="Times New Roman"/>
                <w:lang w:eastAsia="zh-CN"/>
              </w:rPr>
              <w:t>Instrumentos</w:t>
            </w:r>
          </w:p>
        </w:tc>
        <w:tc>
          <w:tcPr>
            <w:tcW w:w="0" w:type="auto"/>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p>
        </w:tc>
        <w:tc>
          <w:tcPr>
            <w:tcW w:w="0" w:type="auto"/>
            <w:noWrap/>
            <w:hideMark/>
          </w:tcPr>
          <w:p w:rsidR="00DF4C81" w:rsidRPr="00CF3673" w:rsidRDefault="00DF4C81" w:rsidP="00DF4C81">
            <w:pPr>
              <w:jc w:val="center"/>
            </w:pPr>
          </w:p>
        </w:tc>
        <w:tc>
          <w:tcPr>
            <w:tcW w:w="0" w:type="auto"/>
            <w:noWrap/>
            <w:hideMark/>
          </w:tcPr>
          <w:p w:rsidR="00DF4C81" w:rsidRPr="00CF3673" w:rsidRDefault="00DF4C81" w:rsidP="00DF4C81">
            <w:pPr>
              <w:jc w:val="center"/>
            </w:pPr>
            <w:r w:rsidRPr="00CF3673">
              <w:t>1</w:t>
            </w:r>
          </w:p>
        </w:tc>
      </w:tr>
      <w:tr w:rsidR="005023F7" w:rsidRPr="00CF3673" w:rsidTr="00737B2E">
        <w:trPr>
          <w:trHeight w:val="300"/>
          <w:jc w:val="center"/>
        </w:trPr>
        <w:tc>
          <w:tcPr>
            <w:tcW w:w="0" w:type="auto"/>
            <w:noWrap/>
            <w:hideMark/>
          </w:tcPr>
          <w:p w:rsidR="00DF4C81" w:rsidRPr="00CF3673" w:rsidRDefault="00B20E4D" w:rsidP="005023F7">
            <w:pPr>
              <w:rPr>
                <w:rFonts w:ascii="Calibri" w:eastAsia="Times New Roman" w:hAnsi="Calibri" w:cs="Times New Roman"/>
                <w:lang w:eastAsia="zh-CN"/>
              </w:rPr>
            </w:pPr>
            <w:r w:rsidRPr="00CF3673">
              <w:rPr>
                <w:rFonts w:ascii="Calibri" w:eastAsia="Times New Roman" w:hAnsi="Calibri" w:cs="Times New Roman"/>
                <w:lang w:eastAsia="zh-CN"/>
              </w:rPr>
              <w:t>Automóvel</w:t>
            </w:r>
            <w:r w:rsidR="005023F7" w:rsidRPr="00CF3673">
              <w:rPr>
                <w:rFonts w:ascii="Calibri" w:eastAsia="Times New Roman" w:hAnsi="Calibri" w:cs="Times New Roman"/>
                <w:lang w:eastAsia="zh-CN"/>
              </w:rPr>
              <w:t xml:space="preserve"> </w:t>
            </w:r>
            <w:r w:rsidR="00DF4C81" w:rsidRPr="00CF3673">
              <w:rPr>
                <w:rFonts w:ascii="Calibri" w:eastAsia="Times New Roman" w:hAnsi="Calibri" w:cs="Times New Roman"/>
                <w:lang w:eastAsia="zh-CN"/>
              </w:rPr>
              <w:t>etc.</w:t>
            </w:r>
          </w:p>
        </w:tc>
        <w:tc>
          <w:tcPr>
            <w:tcW w:w="0" w:type="auto"/>
            <w:noWrap/>
            <w:hideMark/>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r w:rsidRPr="00CF3673">
              <w:t>1</w:t>
            </w:r>
          </w:p>
        </w:tc>
        <w:tc>
          <w:tcPr>
            <w:tcW w:w="0" w:type="auto"/>
            <w:noWrap/>
            <w:hideMark/>
          </w:tcPr>
          <w:p w:rsidR="00DF4C81" w:rsidRPr="00CF3673" w:rsidRDefault="00DF4C81" w:rsidP="00DF4C81">
            <w:pPr>
              <w:jc w:val="center"/>
            </w:pPr>
          </w:p>
        </w:tc>
        <w:tc>
          <w:tcPr>
            <w:tcW w:w="0" w:type="auto"/>
            <w:noWrap/>
            <w:hideMark/>
          </w:tcPr>
          <w:p w:rsidR="00DF4C81" w:rsidRPr="00CF3673" w:rsidRDefault="00DF4C81" w:rsidP="00DF4C81">
            <w:pPr>
              <w:jc w:val="center"/>
            </w:pPr>
            <w:r w:rsidRPr="00CF3673">
              <w:t>2</w:t>
            </w:r>
          </w:p>
        </w:tc>
      </w:tr>
      <w:tr w:rsidR="005023F7" w:rsidRPr="00CF3673" w:rsidTr="00DF4C81">
        <w:trPr>
          <w:trHeight w:val="300"/>
          <w:jc w:val="center"/>
        </w:trPr>
        <w:tc>
          <w:tcPr>
            <w:tcW w:w="0" w:type="auto"/>
            <w:tcBorders>
              <w:bottom w:val="nil"/>
            </w:tcBorders>
            <w:noWrap/>
            <w:hideMark/>
          </w:tcPr>
          <w:p w:rsidR="00DF4C81" w:rsidRPr="00CF3673" w:rsidRDefault="005023F7" w:rsidP="005023F7">
            <w:pPr>
              <w:rPr>
                <w:rFonts w:ascii="Calibri" w:eastAsia="Times New Roman" w:hAnsi="Calibri" w:cs="Times New Roman"/>
                <w:lang w:eastAsia="zh-CN"/>
              </w:rPr>
            </w:pPr>
            <w:r w:rsidRPr="00CF3673">
              <w:rPr>
                <w:rFonts w:ascii="Calibri" w:eastAsia="Times New Roman" w:hAnsi="Calibri" w:cs="Times New Roman"/>
                <w:lang w:eastAsia="zh-CN"/>
              </w:rPr>
              <w:t>Outros equipamentos de transporte</w:t>
            </w:r>
          </w:p>
        </w:tc>
        <w:tc>
          <w:tcPr>
            <w:tcW w:w="0" w:type="auto"/>
            <w:tcBorders>
              <w:bottom w:val="nil"/>
            </w:tcBorders>
            <w:noWrap/>
            <w:hideMark/>
          </w:tcPr>
          <w:p w:rsidR="00DF4C81" w:rsidRPr="00CF3673" w:rsidRDefault="00DF4C81" w:rsidP="00DF4C81">
            <w:pPr>
              <w:jc w:val="center"/>
            </w:pPr>
          </w:p>
        </w:tc>
        <w:tc>
          <w:tcPr>
            <w:tcW w:w="0" w:type="auto"/>
            <w:tcBorders>
              <w:bottom w:val="nil"/>
            </w:tcBorders>
            <w:noWrap/>
            <w:hideMark/>
          </w:tcPr>
          <w:p w:rsidR="00DF4C81" w:rsidRPr="00CF3673" w:rsidRDefault="00DF4C81" w:rsidP="00DF4C81">
            <w:pPr>
              <w:jc w:val="center"/>
            </w:pPr>
            <w:r w:rsidRPr="00CF3673">
              <w:t>1</w:t>
            </w:r>
          </w:p>
        </w:tc>
        <w:tc>
          <w:tcPr>
            <w:tcW w:w="0" w:type="auto"/>
            <w:tcBorders>
              <w:bottom w:val="nil"/>
            </w:tcBorders>
            <w:noWrap/>
            <w:hideMark/>
          </w:tcPr>
          <w:p w:rsidR="00DF4C81" w:rsidRPr="00CF3673" w:rsidRDefault="00DF4C81" w:rsidP="00DF4C81">
            <w:pPr>
              <w:jc w:val="center"/>
            </w:pPr>
          </w:p>
        </w:tc>
        <w:tc>
          <w:tcPr>
            <w:tcW w:w="0" w:type="auto"/>
            <w:tcBorders>
              <w:bottom w:val="nil"/>
            </w:tcBorders>
            <w:noWrap/>
            <w:hideMark/>
          </w:tcPr>
          <w:p w:rsidR="00DF4C81" w:rsidRPr="00CF3673" w:rsidRDefault="00DF4C81" w:rsidP="00DF4C81">
            <w:pPr>
              <w:jc w:val="center"/>
            </w:pPr>
            <w:r w:rsidRPr="00CF3673">
              <w:t>1</w:t>
            </w:r>
          </w:p>
        </w:tc>
      </w:tr>
      <w:tr w:rsidR="005023F7" w:rsidRPr="00CF3673" w:rsidTr="00DF4C81">
        <w:trPr>
          <w:trHeight w:val="300"/>
          <w:jc w:val="center"/>
        </w:trPr>
        <w:tc>
          <w:tcPr>
            <w:tcW w:w="0" w:type="auto"/>
            <w:tcBorders>
              <w:top w:val="nil"/>
              <w:bottom w:val="single" w:sz="4" w:space="0" w:color="auto"/>
            </w:tcBorders>
            <w:noWrap/>
            <w:hideMark/>
          </w:tcPr>
          <w:p w:rsidR="00DF4C81" w:rsidRPr="00CF3673" w:rsidRDefault="00B20E4D" w:rsidP="005023F7">
            <w:pPr>
              <w:rPr>
                <w:rFonts w:ascii="Calibri" w:eastAsia="Times New Roman" w:hAnsi="Calibri" w:cs="Times New Roman"/>
                <w:lang w:eastAsia="zh-CN"/>
              </w:rPr>
            </w:pPr>
            <w:r w:rsidRPr="00CF3673">
              <w:rPr>
                <w:rFonts w:ascii="Calibri" w:eastAsia="Times New Roman" w:hAnsi="Calibri" w:cs="Times New Roman"/>
                <w:lang w:eastAsia="zh-CN"/>
              </w:rPr>
              <w:t>Mobília</w:t>
            </w:r>
            <w:r w:rsidR="005023F7" w:rsidRPr="00CF3673">
              <w:rPr>
                <w:rFonts w:ascii="Calibri" w:eastAsia="Times New Roman" w:hAnsi="Calibri" w:cs="Times New Roman"/>
                <w:lang w:eastAsia="zh-CN"/>
              </w:rPr>
              <w:t xml:space="preserve">, </w:t>
            </w:r>
            <w:r w:rsidRPr="00CF3673">
              <w:rPr>
                <w:rFonts w:ascii="Calibri" w:eastAsia="Times New Roman" w:hAnsi="Calibri" w:cs="Times New Roman"/>
                <w:lang w:eastAsia="zh-CN"/>
              </w:rPr>
              <w:t>Jóias</w:t>
            </w:r>
            <w:r w:rsidR="005023F7" w:rsidRPr="00CF3673">
              <w:rPr>
                <w:rFonts w:ascii="Calibri" w:eastAsia="Times New Roman" w:hAnsi="Calibri" w:cs="Times New Roman"/>
                <w:lang w:eastAsia="zh-CN"/>
              </w:rPr>
              <w:t xml:space="preserve"> e </w:t>
            </w:r>
            <w:r w:rsidRPr="00CF3673">
              <w:rPr>
                <w:rFonts w:ascii="Calibri" w:eastAsia="Times New Roman" w:hAnsi="Calibri" w:cs="Times New Roman"/>
                <w:lang w:eastAsia="zh-CN"/>
              </w:rPr>
              <w:t>Manufacturas</w:t>
            </w:r>
          </w:p>
        </w:tc>
        <w:tc>
          <w:tcPr>
            <w:tcW w:w="0" w:type="auto"/>
            <w:tcBorders>
              <w:top w:val="nil"/>
              <w:bottom w:val="single" w:sz="4" w:space="0" w:color="auto"/>
            </w:tcBorders>
            <w:noWrap/>
            <w:hideMark/>
          </w:tcPr>
          <w:p w:rsidR="00DF4C81" w:rsidRPr="00CF3673" w:rsidRDefault="00DF4C81" w:rsidP="00DF4C81">
            <w:pPr>
              <w:jc w:val="center"/>
            </w:pPr>
            <w:r w:rsidRPr="00CF3673">
              <w:t>127</w:t>
            </w:r>
          </w:p>
        </w:tc>
        <w:tc>
          <w:tcPr>
            <w:tcW w:w="0" w:type="auto"/>
            <w:tcBorders>
              <w:top w:val="nil"/>
              <w:bottom w:val="single" w:sz="4" w:space="0" w:color="auto"/>
            </w:tcBorders>
            <w:noWrap/>
            <w:hideMark/>
          </w:tcPr>
          <w:p w:rsidR="00DF4C81" w:rsidRPr="00CF3673" w:rsidRDefault="00DF4C81" w:rsidP="00DF4C81">
            <w:pPr>
              <w:jc w:val="center"/>
            </w:pPr>
            <w:r w:rsidRPr="00CF3673">
              <w:t>29</w:t>
            </w:r>
          </w:p>
        </w:tc>
        <w:tc>
          <w:tcPr>
            <w:tcW w:w="0" w:type="auto"/>
            <w:tcBorders>
              <w:top w:val="nil"/>
              <w:bottom w:val="single" w:sz="4" w:space="0" w:color="auto"/>
            </w:tcBorders>
            <w:noWrap/>
            <w:hideMark/>
          </w:tcPr>
          <w:p w:rsidR="00DF4C81" w:rsidRPr="00CF3673" w:rsidRDefault="00DF4C81" w:rsidP="00DF4C81">
            <w:pPr>
              <w:jc w:val="center"/>
            </w:pPr>
            <w:r w:rsidRPr="00CF3673">
              <w:t>9</w:t>
            </w:r>
          </w:p>
        </w:tc>
        <w:tc>
          <w:tcPr>
            <w:tcW w:w="0" w:type="auto"/>
            <w:tcBorders>
              <w:top w:val="nil"/>
              <w:bottom w:val="single" w:sz="4" w:space="0" w:color="auto"/>
            </w:tcBorders>
            <w:noWrap/>
            <w:hideMark/>
          </w:tcPr>
          <w:p w:rsidR="00DF4C81" w:rsidRPr="00CF3673" w:rsidRDefault="00DF4C81" w:rsidP="00DF4C81">
            <w:pPr>
              <w:jc w:val="center"/>
            </w:pPr>
            <w:r w:rsidRPr="00CF3673">
              <w:t>165</w:t>
            </w:r>
          </w:p>
        </w:tc>
      </w:tr>
      <w:tr w:rsidR="005023F7" w:rsidRPr="00CF3673" w:rsidTr="00DF4C81">
        <w:trPr>
          <w:trHeight w:val="300"/>
          <w:jc w:val="center"/>
        </w:trPr>
        <w:tc>
          <w:tcPr>
            <w:tcW w:w="0" w:type="auto"/>
            <w:tcBorders>
              <w:top w:val="single" w:sz="4" w:space="0" w:color="auto"/>
              <w:bottom w:val="double" w:sz="4" w:space="0" w:color="auto"/>
            </w:tcBorders>
            <w:noWrap/>
            <w:hideMark/>
          </w:tcPr>
          <w:p w:rsidR="00DF4C81" w:rsidRPr="00CF3673" w:rsidRDefault="00DF4C81" w:rsidP="00737B2E">
            <w:pPr>
              <w:rPr>
                <w:rFonts w:ascii="Calibri" w:eastAsia="Times New Roman" w:hAnsi="Calibri" w:cs="Times New Roman"/>
                <w:lang w:eastAsia="zh-CN"/>
              </w:rPr>
            </w:pPr>
            <w:r w:rsidRPr="00CF3673">
              <w:rPr>
                <w:rFonts w:ascii="Calibri" w:eastAsia="Times New Roman" w:hAnsi="Calibri" w:cs="Times New Roman"/>
                <w:lang w:eastAsia="zh-CN"/>
              </w:rPr>
              <w:t>Total</w:t>
            </w:r>
          </w:p>
        </w:tc>
        <w:tc>
          <w:tcPr>
            <w:tcW w:w="0" w:type="auto"/>
            <w:tcBorders>
              <w:top w:val="single" w:sz="4" w:space="0" w:color="auto"/>
              <w:bottom w:val="double" w:sz="4" w:space="0" w:color="auto"/>
            </w:tcBorders>
            <w:noWrap/>
            <w:hideMark/>
          </w:tcPr>
          <w:p w:rsidR="00DF4C81" w:rsidRPr="00CF3673" w:rsidRDefault="00DF4C81" w:rsidP="00DF4C81">
            <w:pPr>
              <w:jc w:val="center"/>
            </w:pPr>
            <w:r w:rsidRPr="00CF3673">
              <w:t>517</w:t>
            </w:r>
          </w:p>
        </w:tc>
        <w:tc>
          <w:tcPr>
            <w:tcW w:w="0" w:type="auto"/>
            <w:tcBorders>
              <w:top w:val="single" w:sz="4" w:space="0" w:color="auto"/>
              <w:bottom w:val="double" w:sz="4" w:space="0" w:color="auto"/>
            </w:tcBorders>
            <w:noWrap/>
            <w:hideMark/>
          </w:tcPr>
          <w:p w:rsidR="00DF4C81" w:rsidRPr="00CF3673" w:rsidRDefault="00DF4C81" w:rsidP="00DF4C81">
            <w:pPr>
              <w:jc w:val="center"/>
            </w:pPr>
            <w:r w:rsidRPr="00CF3673">
              <w:t>178</w:t>
            </w:r>
          </w:p>
        </w:tc>
        <w:tc>
          <w:tcPr>
            <w:tcW w:w="0" w:type="auto"/>
            <w:tcBorders>
              <w:top w:val="single" w:sz="4" w:space="0" w:color="auto"/>
              <w:bottom w:val="double" w:sz="4" w:space="0" w:color="auto"/>
            </w:tcBorders>
            <w:noWrap/>
            <w:hideMark/>
          </w:tcPr>
          <w:p w:rsidR="00DF4C81" w:rsidRPr="00CF3673" w:rsidRDefault="00DF4C81" w:rsidP="00DF4C81">
            <w:pPr>
              <w:jc w:val="center"/>
            </w:pPr>
            <w:r w:rsidRPr="00CF3673">
              <w:t>66</w:t>
            </w:r>
          </w:p>
        </w:tc>
        <w:tc>
          <w:tcPr>
            <w:tcW w:w="0" w:type="auto"/>
            <w:tcBorders>
              <w:top w:val="single" w:sz="4" w:space="0" w:color="auto"/>
              <w:bottom w:val="double" w:sz="4" w:space="0" w:color="auto"/>
            </w:tcBorders>
            <w:noWrap/>
            <w:hideMark/>
          </w:tcPr>
          <w:p w:rsidR="00DF4C81" w:rsidRPr="00CF3673" w:rsidRDefault="00DF4C81" w:rsidP="00DF4C81">
            <w:pPr>
              <w:jc w:val="center"/>
            </w:pPr>
            <w:r w:rsidRPr="00CF3673">
              <w:t>761</w:t>
            </w:r>
          </w:p>
        </w:tc>
      </w:tr>
      <w:tr w:rsidR="005023F7" w:rsidRPr="00CF3673" w:rsidTr="00AC53AF">
        <w:trPr>
          <w:trHeight w:val="300"/>
          <w:jc w:val="center"/>
        </w:trPr>
        <w:tc>
          <w:tcPr>
            <w:tcW w:w="0" w:type="auto"/>
            <w:gridSpan w:val="5"/>
            <w:tcBorders>
              <w:top w:val="double" w:sz="4" w:space="0" w:color="auto"/>
              <w:bottom w:val="nil"/>
            </w:tcBorders>
            <w:noWrap/>
          </w:tcPr>
          <w:p w:rsidR="00AC53AF" w:rsidRPr="00CF3673" w:rsidRDefault="00AC53AF" w:rsidP="00D20BBE">
            <w:pPr>
              <w:pStyle w:val="Tablenote"/>
              <w:rPr>
                <w:b/>
                <w:lang w:val="pt-PT" w:eastAsia="zh-CN"/>
              </w:rPr>
            </w:pPr>
            <w:r w:rsidRPr="00CF3673">
              <w:rPr>
                <w:b/>
                <w:lang w:val="pt-PT" w:eastAsia="zh-CN"/>
              </w:rPr>
              <w:t>Not</w:t>
            </w:r>
            <w:r w:rsidR="00D20BBE" w:rsidRPr="00CF3673">
              <w:rPr>
                <w:b/>
                <w:lang w:val="pt-PT" w:eastAsia="zh-CN"/>
              </w:rPr>
              <w:t>a</w:t>
            </w:r>
            <w:r w:rsidRPr="00CF3673">
              <w:rPr>
                <w:b/>
                <w:lang w:val="pt-PT" w:eastAsia="zh-CN"/>
              </w:rPr>
              <w:t>:</w:t>
            </w:r>
            <w:r w:rsidR="00DF4C81" w:rsidRPr="00CF3673">
              <w:rPr>
                <w:lang w:val="pt-PT" w:eastAsia="zh-CN"/>
              </w:rPr>
              <w:t xml:space="preserve"> </w:t>
            </w:r>
            <w:r w:rsidR="005023F7" w:rsidRPr="00CF3673">
              <w:rPr>
                <w:lang w:val="pt-PT" w:eastAsia="zh-CN"/>
              </w:rPr>
              <w:t xml:space="preserve">Espaço em branco indica não há empresas não categoria </w:t>
            </w:r>
          </w:p>
        </w:tc>
      </w:tr>
      <w:tr w:rsidR="005023F7" w:rsidRPr="00CF3673" w:rsidTr="00AC53AF">
        <w:trPr>
          <w:cnfStyle w:val="010000000000" w:firstRow="0" w:lastRow="1" w:firstColumn="0" w:lastColumn="0" w:oddVBand="0" w:evenVBand="0" w:oddHBand="0" w:evenHBand="0" w:firstRowFirstColumn="0" w:firstRowLastColumn="0" w:lastRowFirstColumn="0" w:lastRowLastColumn="0"/>
          <w:trHeight w:val="300"/>
          <w:jc w:val="center"/>
        </w:trPr>
        <w:tc>
          <w:tcPr>
            <w:tcW w:w="0" w:type="auto"/>
            <w:gridSpan w:val="5"/>
            <w:tcBorders>
              <w:top w:val="nil"/>
              <w:bottom w:val="nil"/>
            </w:tcBorders>
            <w:noWrap/>
          </w:tcPr>
          <w:p w:rsidR="00AC53AF" w:rsidRPr="00CF3673" w:rsidRDefault="00D20BBE" w:rsidP="00D20BBE">
            <w:pPr>
              <w:pStyle w:val="Tablenote"/>
              <w:rPr>
                <w:b/>
                <w:lang w:val="pt-PT" w:eastAsia="zh-CN"/>
              </w:rPr>
            </w:pPr>
            <w:r w:rsidRPr="00CF3673">
              <w:rPr>
                <w:b/>
                <w:lang w:val="pt-PT" w:eastAsia="zh-CN"/>
              </w:rPr>
              <w:t>Fonte</w:t>
            </w:r>
            <w:r w:rsidR="00AC53AF" w:rsidRPr="00CF3673">
              <w:rPr>
                <w:b/>
                <w:lang w:val="pt-PT" w:eastAsia="zh-CN"/>
              </w:rPr>
              <w:t>:</w:t>
            </w:r>
            <w:r w:rsidR="00AC53AF" w:rsidRPr="00CF3673">
              <w:rPr>
                <w:lang w:val="pt-PT" w:eastAsia="zh-CN"/>
              </w:rPr>
              <w:t xml:space="preserve"> </w:t>
            </w:r>
            <w:r w:rsidR="00B20E4D" w:rsidRPr="00CF3673">
              <w:rPr>
                <w:lang w:val="pt-PT" w:eastAsia="zh-CN"/>
              </w:rPr>
              <w:t>Cálculos</w:t>
            </w:r>
            <w:r w:rsidR="005023F7" w:rsidRPr="00CF3673">
              <w:rPr>
                <w:lang w:val="pt-PT" w:eastAsia="zh-CN"/>
              </w:rPr>
              <w:t xml:space="preserve"> dos autores </w:t>
            </w:r>
            <w:r w:rsidRPr="00CF3673">
              <w:rPr>
                <w:lang w:val="pt-PT" w:eastAsia="zh-CN"/>
              </w:rPr>
              <w:t>com base n</w:t>
            </w:r>
            <w:r w:rsidR="005023F7" w:rsidRPr="00CF3673">
              <w:rPr>
                <w:lang w:val="pt-PT" w:eastAsia="zh-CN"/>
              </w:rPr>
              <w:t>o</w:t>
            </w:r>
            <w:r w:rsidR="00AC53AF" w:rsidRPr="00CF3673">
              <w:rPr>
                <w:lang w:val="pt-PT" w:eastAsia="zh-CN"/>
              </w:rPr>
              <w:t xml:space="preserve"> IIM 2012.</w:t>
            </w:r>
          </w:p>
        </w:tc>
      </w:tr>
    </w:tbl>
    <w:p w:rsidR="00A71447" w:rsidRPr="00CF3673" w:rsidRDefault="00A71447" w:rsidP="001E664B">
      <w:pPr>
        <w:pStyle w:val="MainText"/>
        <w:rPr>
          <w:lang w:val="pt-PT"/>
        </w:rPr>
      </w:pPr>
    </w:p>
    <w:p w:rsidR="00684B87" w:rsidRPr="00CF3673" w:rsidRDefault="00684B87" w:rsidP="00FC53F2">
      <w:pPr>
        <w:pStyle w:val="MainText"/>
        <w:rPr>
          <w:lang w:val="pt-PT"/>
        </w:rPr>
      </w:pPr>
      <w:r w:rsidRPr="00CF3673">
        <w:rPr>
          <w:lang w:val="pt-PT"/>
        </w:rPr>
        <w:t>Cerca de 44% das média-empresas estão no sector de alimentação enquanto o sector como um todo constitui apenas 17% do total da amostra. Por outro lado, o</w:t>
      </w:r>
      <w:r w:rsidR="000A331F" w:rsidRPr="00CF3673">
        <w:rPr>
          <w:lang w:val="pt-PT"/>
        </w:rPr>
        <w:t>s</w:t>
      </w:r>
      <w:r w:rsidRPr="00CF3673">
        <w:rPr>
          <w:lang w:val="pt-PT"/>
        </w:rPr>
        <w:t xml:space="preserve"> sector</w:t>
      </w:r>
      <w:r w:rsidR="000A331F" w:rsidRPr="00CF3673">
        <w:rPr>
          <w:lang w:val="pt-PT"/>
        </w:rPr>
        <w:t>es</w:t>
      </w:r>
      <w:r w:rsidRPr="00CF3673">
        <w:rPr>
          <w:lang w:val="pt-PT"/>
        </w:rPr>
        <w:t xml:space="preserve"> d</w:t>
      </w:r>
      <w:r w:rsidR="000A331F" w:rsidRPr="00CF3673">
        <w:rPr>
          <w:lang w:val="pt-PT"/>
        </w:rPr>
        <w:t>e</w:t>
      </w:r>
      <w:r w:rsidRPr="00CF3673">
        <w:rPr>
          <w:lang w:val="pt-PT"/>
        </w:rPr>
        <w:t xml:space="preserve"> vestuário, madeira, metal e mobiliário fazem </w:t>
      </w:r>
      <w:r w:rsidR="000A331F" w:rsidRPr="00CF3673">
        <w:rPr>
          <w:lang w:val="pt-PT"/>
        </w:rPr>
        <w:t xml:space="preserve">a </w:t>
      </w:r>
      <w:r w:rsidRPr="00CF3673">
        <w:rPr>
          <w:lang w:val="pt-PT"/>
        </w:rPr>
        <w:t xml:space="preserve">grande parte das </w:t>
      </w:r>
      <w:r w:rsidR="00B20E4D" w:rsidRPr="00CF3673">
        <w:rPr>
          <w:lang w:val="pt-PT"/>
        </w:rPr>
        <w:t>microempresas</w:t>
      </w:r>
      <w:r w:rsidRPr="00CF3673">
        <w:rPr>
          <w:lang w:val="pt-PT"/>
        </w:rPr>
        <w:t xml:space="preserve"> </w:t>
      </w:r>
      <w:r w:rsidR="0031169A" w:rsidRPr="00CF3673">
        <w:rPr>
          <w:lang w:val="pt-PT"/>
        </w:rPr>
        <w:t xml:space="preserve">e no seu conjunto perfazem 75% das </w:t>
      </w:r>
      <w:r w:rsidR="00B20E4D" w:rsidRPr="00CF3673">
        <w:rPr>
          <w:lang w:val="pt-PT"/>
        </w:rPr>
        <w:t>microempresas</w:t>
      </w:r>
      <w:r w:rsidR="0031169A" w:rsidRPr="00CF3673">
        <w:rPr>
          <w:lang w:val="pt-PT"/>
        </w:rPr>
        <w:t xml:space="preserve"> na amostra total.</w:t>
      </w:r>
      <w:r w:rsidRPr="00CF3673">
        <w:rPr>
          <w:lang w:val="pt-PT"/>
        </w:rPr>
        <w:t xml:space="preserve"> </w:t>
      </w:r>
    </w:p>
    <w:p w:rsidR="0031169A" w:rsidRPr="00CF3673" w:rsidRDefault="0031169A" w:rsidP="001E664B">
      <w:pPr>
        <w:pStyle w:val="MainText"/>
        <w:rPr>
          <w:lang w:val="pt-PT"/>
        </w:rPr>
      </w:pPr>
      <w:r w:rsidRPr="00CF3673">
        <w:rPr>
          <w:lang w:val="pt-PT"/>
        </w:rPr>
        <w:t xml:space="preserve">A concentração nos poucos sectores também se faz sentir quando os dados são desagregados. Na figura 2.1 consideramos a distribuição sobre os sectores 4-digitos </w:t>
      </w:r>
      <w:r w:rsidR="008F371B" w:rsidRPr="00CF3673">
        <w:rPr>
          <w:lang w:val="pt-PT"/>
        </w:rPr>
        <w:t>n</w:t>
      </w:r>
      <w:r w:rsidRPr="00CF3673">
        <w:rPr>
          <w:lang w:val="pt-PT"/>
        </w:rPr>
        <w:t xml:space="preserve">os seis sectores mais populosos de 2-digitos. Notamos que o sector de alimentação é predominantemente constituído por padarias e </w:t>
      </w:r>
      <w:proofErr w:type="spellStart"/>
      <w:r w:rsidRPr="00CF3673">
        <w:rPr>
          <w:lang w:val="pt-PT"/>
        </w:rPr>
        <w:t>moageiras</w:t>
      </w:r>
      <w:proofErr w:type="spellEnd"/>
      <w:r w:rsidRPr="00CF3673">
        <w:rPr>
          <w:lang w:val="pt-PT"/>
        </w:rPr>
        <w:t xml:space="preserve">, o sector da madeira por </w:t>
      </w:r>
      <w:r w:rsidR="00B20E4D" w:rsidRPr="00CF3673">
        <w:rPr>
          <w:lang w:val="pt-PT"/>
        </w:rPr>
        <w:t>carpintarias</w:t>
      </w:r>
      <w:r w:rsidRPr="00CF3673">
        <w:rPr>
          <w:lang w:val="pt-PT"/>
        </w:rPr>
        <w:t xml:space="preserve"> e serralharias, o sector de minerais não</w:t>
      </w:r>
      <w:r w:rsidR="008F371B" w:rsidRPr="00CF3673">
        <w:rPr>
          <w:lang w:val="pt-PT"/>
        </w:rPr>
        <w:t>-</w:t>
      </w:r>
      <w:r w:rsidRPr="00CF3673">
        <w:rPr>
          <w:lang w:val="pt-PT"/>
        </w:rPr>
        <w:t xml:space="preserve">metálicos </w:t>
      </w:r>
      <w:r w:rsidR="00721811" w:rsidRPr="00CF3673">
        <w:rPr>
          <w:lang w:val="pt-PT"/>
        </w:rPr>
        <w:t xml:space="preserve">por </w:t>
      </w:r>
      <w:r w:rsidR="00721811" w:rsidRPr="00CF3673">
        <w:rPr>
          <w:lang w:val="pt-PT"/>
        </w:rPr>
        <w:lastRenderedPageBreak/>
        <w:t>produtores de produtos concretos, o sector de metais por</w:t>
      </w:r>
      <w:r w:rsidR="008F371B" w:rsidRPr="00CF3673">
        <w:rPr>
          <w:lang w:val="pt-PT"/>
        </w:rPr>
        <w:t xml:space="preserve"> metais estruturais</w:t>
      </w:r>
      <w:r w:rsidR="00721811" w:rsidRPr="00CF3673">
        <w:rPr>
          <w:lang w:val="pt-PT"/>
        </w:rPr>
        <w:t xml:space="preserve"> e materiais metálic</w:t>
      </w:r>
      <w:r w:rsidR="008F371B" w:rsidRPr="00CF3673">
        <w:rPr>
          <w:lang w:val="pt-PT"/>
        </w:rPr>
        <w:t>os fabricados e o sector de mobí</w:t>
      </w:r>
      <w:r w:rsidR="00721811" w:rsidRPr="00CF3673">
        <w:rPr>
          <w:lang w:val="pt-PT"/>
        </w:rPr>
        <w:t>lia e categoria residual constituída exclusivamente por mobílias.</w:t>
      </w:r>
    </w:p>
    <w:p w:rsidR="00E65FC3" w:rsidRPr="00CF3673" w:rsidRDefault="00A71447" w:rsidP="00E65FC3">
      <w:pPr>
        <w:pStyle w:val="FigureTitle"/>
        <w:rPr>
          <w:lang w:val="pt-PT"/>
        </w:rPr>
      </w:pPr>
      <w:bookmarkStart w:id="27" w:name="_Toc360720508"/>
      <w:r w:rsidRPr="00CF3673">
        <w:rPr>
          <w:lang w:val="pt-PT"/>
        </w:rPr>
        <w:t>Figur</w:t>
      </w:r>
      <w:r w:rsidR="00721811" w:rsidRPr="00CF3673">
        <w:rPr>
          <w:lang w:val="pt-PT"/>
        </w:rPr>
        <w:t>a</w:t>
      </w:r>
      <w:r w:rsidR="000339CD" w:rsidRPr="00CF3673">
        <w:rPr>
          <w:lang w:val="pt-PT"/>
        </w:rPr>
        <w:t xml:space="preserve"> 2.1: </w:t>
      </w:r>
      <w:r w:rsidR="00E26212" w:rsidRPr="00CF3673">
        <w:rPr>
          <w:lang w:val="pt-PT"/>
        </w:rPr>
        <w:t xml:space="preserve">Distribuição de </w:t>
      </w:r>
      <w:r w:rsidR="00721811" w:rsidRPr="00CF3673">
        <w:rPr>
          <w:lang w:val="pt-PT"/>
        </w:rPr>
        <w:t xml:space="preserve">empresas nos </w:t>
      </w:r>
      <w:r w:rsidR="00B20E4D" w:rsidRPr="00CF3673">
        <w:rPr>
          <w:lang w:val="pt-PT"/>
        </w:rPr>
        <w:t>subsectores</w:t>
      </w:r>
      <w:r w:rsidR="00721811" w:rsidRPr="00CF3673">
        <w:rPr>
          <w:lang w:val="pt-PT"/>
        </w:rPr>
        <w:t xml:space="preserve"> mais importantes</w:t>
      </w:r>
      <w:r w:rsidR="00412B99" w:rsidRPr="00CF3673">
        <w:rPr>
          <w:lang w:val="pt-PT"/>
        </w:rPr>
        <w:t xml:space="preserve"> </w:t>
      </w:r>
      <w:r w:rsidR="00721811" w:rsidRPr="00CF3673">
        <w:rPr>
          <w:lang w:val="pt-PT"/>
        </w:rPr>
        <w:t>pelo</w:t>
      </w:r>
      <w:r w:rsidR="00E26212" w:rsidRPr="00CF3673">
        <w:rPr>
          <w:lang w:val="pt-PT"/>
        </w:rPr>
        <w:t>s</w:t>
      </w:r>
      <w:r w:rsidR="00721811" w:rsidRPr="00CF3673">
        <w:rPr>
          <w:lang w:val="pt-PT"/>
        </w:rPr>
        <w:t xml:space="preserve"> sector</w:t>
      </w:r>
      <w:r w:rsidR="00E26212" w:rsidRPr="00CF3673">
        <w:rPr>
          <w:lang w:val="pt-PT"/>
        </w:rPr>
        <w:t>es</w:t>
      </w:r>
      <w:r w:rsidR="00721811" w:rsidRPr="00CF3673">
        <w:rPr>
          <w:lang w:val="pt-PT"/>
        </w:rPr>
        <w:t xml:space="preserve"> </w:t>
      </w:r>
      <w:r w:rsidR="00E26212" w:rsidRPr="00CF3673">
        <w:rPr>
          <w:lang w:val="pt-PT"/>
        </w:rPr>
        <w:t xml:space="preserve">de </w:t>
      </w:r>
      <w:r w:rsidR="00412B99" w:rsidRPr="00CF3673">
        <w:rPr>
          <w:lang w:val="pt-PT"/>
        </w:rPr>
        <w:t xml:space="preserve">2-digit ISIC </w:t>
      </w:r>
      <w:r w:rsidR="00B20E4D" w:rsidRPr="00CF3673">
        <w:rPr>
          <w:lang w:val="pt-PT"/>
        </w:rPr>
        <w:t>sectores</w:t>
      </w:r>
      <w:r w:rsidR="00412B99" w:rsidRPr="00CF3673">
        <w:rPr>
          <w:lang w:val="pt-PT"/>
        </w:rPr>
        <w:t>,</w:t>
      </w:r>
      <w:r w:rsidR="00E26212" w:rsidRPr="00CF3673">
        <w:rPr>
          <w:lang w:val="pt-PT"/>
        </w:rPr>
        <w:t xml:space="preserve"> em %</w:t>
      </w:r>
      <w:bookmarkEnd w:id="27"/>
    </w:p>
    <w:tbl>
      <w:tblPr>
        <w:tblStyle w:val="SrensTable"/>
        <w:tblpPr w:leftFromText="141" w:rightFromText="141" w:vertAnchor="text" w:horzAnchor="margin" w:tblpY="5405"/>
        <w:tblW w:w="9660" w:type="dxa"/>
        <w:tblLook w:val="04A0" w:firstRow="1" w:lastRow="0" w:firstColumn="1" w:lastColumn="0" w:noHBand="0" w:noVBand="1"/>
      </w:tblPr>
      <w:tblGrid>
        <w:gridCol w:w="9660"/>
      </w:tblGrid>
      <w:tr w:rsidR="001E664B" w:rsidRPr="00CF3673" w:rsidTr="001E664B">
        <w:trPr>
          <w:trHeight w:val="350"/>
        </w:trPr>
        <w:tc>
          <w:tcPr>
            <w:tcW w:w="0" w:type="auto"/>
          </w:tcPr>
          <w:p w:rsidR="001E664B" w:rsidRPr="00CF3673" w:rsidRDefault="008F371B" w:rsidP="00E26212">
            <w:pPr>
              <w:pStyle w:val="Tablenote"/>
              <w:rPr>
                <w:b/>
                <w:lang w:val="pt-PT"/>
              </w:rPr>
            </w:pPr>
            <w:r w:rsidRPr="00CF3673">
              <w:rPr>
                <w:b/>
                <w:lang w:val="pt-PT"/>
              </w:rPr>
              <w:t>Nota</w:t>
            </w:r>
            <w:r w:rsidR="001E664B" w:rsidRPr="00CF3673">
              <w:rPr>
                <w:b/>
                <w:lang w:val="pt-PT"/>
              </w:rPr>
              <w:t>:</w:t>
            </w:r>
            <w:r w:rsidR="001E664B" w:rsidRPr="00CF3673">
              <w:rPr>
                <w:lang w:val="pt-PT"/>
              </w:rPr>
              <w:t xml:space="preserve"> </w:t>
            </w:r>
            <w:r w:rsidR="00E26212" w:rsidRPr="00CF3673">
              <w:rPr>
                <w:lang w:val="pt-PT"/>
              </w:rPr>
              <w:t>Número de</w:t>
            </w:r>
            <w:r w:rsidR="001E664B" w:rsidRPr="00CF3673">
              <w:rPr>
                <w:lang w:val="pt-PT"/>
              </w:rPr>
              <w:t xml:space="preserve"> observa</w:t>
            </w:r>
            <w:r w:rsidR="00E26212" w:rsidRPr="00CF3673">
              <w:rPr>
                <w:lang w:val="pt-PT"/>
              </w:rPr>
              <w:t>ções</w:t>
            </w:r>
            <w:r w:rsidR="001E664B" w:rsidRPr="00CF3673">
              <w:rPr>
                <w:lang w:val="pt-PT"/>
              </w:rPr>
              <w:t xml:space="preserve">: 699 (127 </w:t>
            </w:r>
            <w:r w:rsidR="00E26212" w:rsidRPr="00CF3673">
              <w:rPr>
                <w:lang w:val="pt-PT"/>
              </w:rPr>
              <w:t>no sector alimentar</w:t>
            </w:r>
            <w:r w:rsidR="001E664B" w:rsidRPr="00CF3673">
              <w:rPr>
                <w:lang w:val="pt-PT"/>
              </w:rPr>
              <w:t xml:space="preserve">; 84 </w:t>
            </w:r>
            <w:r w:rsidR="00E26212" w:rsidRPr="00CF3673">
              <w:rPr>
                <w:lang w:val="pt-PT"/>
              </w:rPr>
              <w:t>no sector de vestuário</w:t>
            </w:r>
            <w:r w:rsidR="001E664B" w:rsidRPr="00CF3673">
              <w:rPr>
                <w:lang w:val="pt-PT"/>
              </w:rPr>
              <w:t xml:space="preserve">; 96 </w:t>
            </w:r>
            <w:r w:rsidR="00E26212" w:rsidRPr="00CF3673">
              <w:rPr>
                <w:lang w:val="pt-PT"/>
              </w:rPr>
              <w:t>no sector da madeira</w:t>
            </w:r>
            <w:r w:rsidR="001E664B" w:rsidRPr="00CF3673">
              <w:rPr>
                <w:lang w:val="pt-PT"/>
              </w:rPr>
              <w:t xml:space="preserve">; 64 </w:t>
            </w:r>
            <w:r w:rsidR="00E26212" w:rsidRPr="00CF3673">
              <w:rPr>
                <w:lang w:val="pt-PT"/>
              </w:rPr>
              <w:t>no sector de minerais não-</w:t>
            </w:r>
            <w:r w:rsidR="00B20E4D" w:rsidRPr="00CF3673">
              <w:rPr>
                <w:lang w:val="pt-PT"/>
              </w:rPr>
              <w:t>metálicos</w:t>
            </w:r>
            <w:r w:rsidR="001E664B" w:rsidRPr="00CF3673">
              <w:rPr>
                <w:lang w:val="pt-PT"/>
              </w:rPr>
              <w:t xml:space="preserve">; 163 </w:t>
            </w:r>
            <w:r w:rsidR="00E26212" w:rsidRPr="00CF3673">
              <w:rPr>
                <w:lang w:val="pt-PT"/>
              </w:rPr>
              <w:t>no sector de metais e</w:t>
            </w:r>
            <w:r w:rsidR="001E664B" w:rsidRPr="00CF3673">
              <w:rPr>
                <w:lang w:val="pt-PT"/>
              </w:rPr>
              <w:t xml:space="preserve"> 165 </w:t>
            </w:r>
            <w:r w:rsidR="00E26212" w:rsidRPr="00CF3673">
              <w:rPr>
                <w:lang w:val="pt-PT"/>
              </w:rPr>
              <w:t xml:space="preserve">no sector de </w:t>
            </w:r>
            <w:r w:rsidR="00B20E4D" w:rsidRPr="00CF3673">
              <w:rPr>
                <w:lang w:val="pt-PT"/>
              </w:rPr>
              <w:t>mobília</w:t>
            </w:r>
            <w:r w:rsidR="001E664B" w:rsidRPr="00CF3673">
              <w:rPr>
                <w:lang w:val="pt-PT"/>
              </w:rPr>
              <w:t>).</w:t>
            </w:r>
          </w:p>
        </w:tc>
      </w:tr>
      <w:tr w:rsidR="001E664B" w:rsidRPr="00CF3673" w:rsidTr="001E664B">
        <w:trPr>
          <w:trHeight w:val="350"/>
        </w:trPr>
        <w:tc>
          <w:tcPr>
            <w:tcW w:w="0" w:type="auto"/>
          </w:tcPr>
          <w:p w:rsidR="001E664B" w:rsidRPr="00CF3673" w:rsidRDefault="008F371B" w:rsidP="008F371B">
            <w:pPr>
              <w:pStyle w:val="Tablenote"/>
              <w:rPr>
                <w:b/>
                <w:lang w:val="pt-PT"/>
              </w:rPr>
            </w:pPr>
            <w:r w:rsidRPr="00CF3673">
              <w:rPr>
                <w:b/>
                <w:lang w:val="pt-PT"/>
              </w:rPr>
              <w:t>Fonte</w:t>
            </w:r>
            <w:r w:rsidR="001E664B" w:rsidRPr="00CF3673">
              <w:rPr>
                <w:b/>
                <w:lang w:val="pt-PT"/>
              </w:rPr>
              <w:t>:</w:t>
            </w:r>
            <w:r w:rsidR="001E664B" w:rsidRPr="00CF3673">
              <w:rPr>
                <w:lang w:val="pt-PT"/>
              </w:rPr>
              <w:t xml:space="preserve"> </w:t>
            </w:r>
            <w:r w:rsidR="00B20E4D" w:rsidRPr="00CF3673">
              <w:rPr>
                <w:lang w:val="pt-PT"/>
              </w:rPr>
              <w:t>Cálculos</w:t>
            </w:r>
            <w:r w:rsidR="00E26212" w:rsidRPr="00CF3673">
              <w:rPr>
                <w:lang w:val="pt-PT"/>
              </w:rPr>
              <w:t xml:space="preserve"> dos autores com base no </w:t>
            </w:r>
            <w:r w:rsidR="001E664B" w:rsidRPr="00CF3673">
              <w:rPr>
                <w:lang w:val="pt-PT"/>
              </w:rPr>
              <w:t>IIM 2012.</w:t>
            </w:r>
          </w:p>
        </w:tc>
      </w:tr>
    </w:tbl>
    <w:bookmarkStart w:id="28" w:name="_Toc351188630"/>
    <w:p w:rsidR="001E664B" w:rsidRPr="00CF3673" w:rsidRDefault="003F09AA" w:rsidP="003F09AA">
      <w:pPr>
        <w:pStyle w:val="Tablenote"/>
        <w:rPr>
          <w:lang w:val="pt-PT"/>
        </w:rPr>
      </w:pPr>
      <w:r w:rsidRPr="00CF3673">
        <w:rPr>
          <w:noProof/>
        </w:rPr>
        <mc:AlternateContent>
          <mc:Choice Requires="wpg">
            <w:drawing>
              <wp:inline distT="0" distB="0" distL="0" distR="0" wp14:anchorId="2D609BE8" wp14:editId="6E49D238">
                <wp:extent cx="6054090" cy="3206750"/>
                <wp:effectExtent l="0" t="0" r="22860" b="12700"/>
                <wp:docPr id="33" name="Group 8"/>
                <wp:cNvGraphicFramePr/>
                <a:graphic xmlns:a="http://schemas.openxmlformats.org/drawingml/2006/main">
                  <a:graphicData uri="http://schemas.microsoft.com/office/word/2010/wordprocessingGroup">
                    <wpg:wgp>
                      <wpg:cNvGrpSpPr/>
                      <wpg:grpSpPr>
                        <a:xfrm>
                          <a:off x="0" y="0"/>
                          <a:ext cx="6054090" cy="3206750"/>
                          <a:chOff x="0" y="0"/>
                          <a:chExt cx="6054600" cy="3206962"/>
                        </a:xfrm>
                      </wpg:grpSpPr>
                      <wpg:graphicFrame>
                        <wpg:cNvPr id="34" name="Chart 34"/>
                        <wpg:cNvFrPr>
                          <a:graphicFrameLocks noChangeAspect="1"/>
                        </wpg:cNvFrPr>
                        <wpg:xfrm>
                          <a:off x="1" y="0"/>
                          <a:ext cx="2016000" cy="1600941"/>
                        </wpg:xfrm>
                        <a:graphic>
                          <a:graphicData uri="http://schemas.openxmlformats.org/drawingml/2006/chart">
                            <c:chart xmlns:c="http://schemas.openxmlformats.org/drawingml/2006/chart" xmlns:r="http://schemas.openxmlformats.org/officeDocument/2006/relationships" r:id="rId10"/>
                          </a:graphicData>
                        </a:graphic>
                      </wpg:graphicFrame>
                      <wpg:graphicFrame>
                        <wpg:cNvPr id="36" name="Chart 36"/>
                        <wpg:cNvFrPr/>
                        <wpg:xfrm>
                          <a:off x="2022314" y="2165"/>
                          <a:ext cx="2016000" cy="1602000"/>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37" name="Chart 37"/>
                        <wpg:cNvFrPr>
                          <a:graphicFrameLocks/>
                        </wpg:cNvFrPr>
                        <wpg:xfrm>
                          <a:off x="4038599" y="0"/>
                          <a:ext cx="2016000" cy="1602000"/>
                        </wpg:xfrm>
                        <a:graphic>
                          <a:graphicData uri="http://schemas.openxmlformats.org/drawingml/2006/chart">
                            <c:chart xmlns:c="http://schemas.openxmlformats.org/drawingml/2006/chart" xmlns:r="http://schemas.openxmlformats.org/officeDocument/2006/relationships" r:id="rId12"/>
                          </a:graphicData>
                        </a:graphic>
                      </wpg:graphicFrame>
                      <wpg:graphicFrame>
                        <wpg:cNvPr id="44" name="Chart 44"/>
                        <wpg:cNvFrPr/>
                        <wpg:xfrm>
                          <a:off x="0" y="1604962"/>
                          <a:ext cx="2016000" cy="1602000"/>
                        </wpg:xfrm>
                        <a:graphic>
                          <a:graphicData uri="http://schemas.openxmlformats.org/drawingml/2006/chart">
                            <c:chart xmlns:c="http://schemas.openxmlformats.org/drawingml/2006/chart" xmlns:r="http://schemas.openxmlformats.org/officeDocument/2006/relationships" r:id="rId13"/>
                          </a:graphicData>
                        </a:graphic>
                      </wpg:graphicFrame>
                      <wpg:graphicFrame>
                        <wpg:cNvPr id="45" name="Chart 45"/>
                        <wpg:cNvFrPr/>
                        <wpg:xfrm>
                          <a:off x="2019300" y="1604962"/>
                          <a:ext cx="2016000" cy="1602000"/>
                        </wpg:xfrm>
                        <a:graphic>
                          <a:graphicData uri="http://schemas.openxmlformats.org/drawingml/2006/chart">
                            <c:chart xmlns:c="http://schemas.openxmlformats.org/drawingml/2006/chart" xmlns:r="http://schemas.openxmlformats.org/officeDocument/2006/relationships" r:id="rId14"/>
                          </a:graphicData>
                        </a:graphic>
                      </wpg:graphicFrame>
                      <wpg:graphicFrame>
                        <wpg:cNvPr id="46" name="Chart 46"/>
                        <wpg:cNvFrPr/>
                        <wpg:xfrm>
                          <a:off x="4038600" y="1604962"/>
                          <a:ext cx="2016000" cy="1602000"/>
                        </wpg:xfrm>
                        <a:graphic>
                          <a:graphicData uri="http://schemas.openxmlformats.org/drawingml/2006/chart">
                            <c:chart xmlns:c="http://schemas.openxmlformats.org/drawingml/2006/chart" xmlns:r="http://schemas.openxmlformats.org/officeDocument/2006/relationships" r:id="rId15"/>
                          </a:graphicData>
                        </a:graphic>
                      </wpg:graphicFrame>
                    </wpg:wgp>
                  </a:graphicData>
                </a:graphic>
              </wp:inline>
            </w:drawing>
          </mc:Choice>
          <mc:Fallback>
            <w:pict>
              <v:group id="Group 8" o:spid="_x0000_s1026" style="width:476.7pt;height:252.5pt;mso-position-horizontal-relative:char;mso-position-vertical-relative:line" coordsize="60546,32069" o:gfxdata="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4" o:spid="_x0000_s1027" type="#_x0000_t75" style="position:absolute;left:-60;top:-60;width:20300;height:1615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">
                  <v:imagedata r:id="rId16" o:title=""/>
                </v:shape>
                <v:shape id="Chart 36" o:spid="_x0000_s1028" type="#_x0000_t75" style="position:absolute;left:20179;top:-60;width:20240;height:1615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">
                  <v:imagedata r:id="rId17" o:title=""/>
                  <o:lock v:ext="edit" aspectratio="f"/>
                </v:shape>
                <v:shape id="Chart 37" o:spid="_x0000_s1029" type="#_x0000_t75" style="position:absolute;left:40297;top:-60;width:20302;height:1615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">
                  <v:imagedata r:id="rId18" o:title=""/>
                  <o:lock v:ext="edit" aspectratio="f"/>
                </v:shape>
                <v:shape id="Chart 44" o:spid="_x0000_s1030" type="#_x0000_t75" style="position:absolute;left:-60;top:15972;width:20300;height:161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">
                  <v:imagedata r:id="rId19" o:title=""/>
                  <o:lock v:ext="edit" aspectratio="f"/>
                </v:shape>
                <v:shape id="Chart 45" o:spid="_x0000_s1031" type="#_x0000_t75" style="position:absolute;left:20118;top:15972;width:20301;height:161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">
                  <v:imagedata r:id="rId20" o:title=""/>
                  <o:lock v:ext="edit" aspectratio="f"/>
                </v:shape>
                <v:shape id="Chart 46" o:spid="_x0000_s1032" type="#_x0000_t75" style="position:absolute;left:40297;top:15972;width:20302;height:161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">
                  <v:imagedata r:id="rId21" o:title=""/>
                  <o:lock v:ext="edit" aspectratio="f"/>
                </v:shape>
                <w10:anchorlock/>
              </v:group>
            </w:pict>
          </mc:Fallback>
        </mc:AlternateContent>
      </w:r>
      <w:bookmarkEnd w:id="28"/>
    </w:p>
    <w:p w:rsidR="001E664B" w:rsidRPr="00CF3673" w:rsidRDefault="001E664B" w:rsidP="001E664B">
      <w:pPr>
        <w:pStyle w:val="MainText"/>
        <w:rPr>
          <w:lang w:val="pt-PT"/>
        </w:rPr>
      </w:pPr>
    </w:p>
    <w:p w:rsidR="00442891" w:rsidRPr="00CF3673" w:rsidRDefault="00442891" w:rsidP="001E664B">
      <w:pPr>
        <w:pStyle w:val="MainText"/>
        <w:rPr>
          <w:lang w:val="pt-PT"/>
        </w:rPr>
      </w:pPr>
      <w:r w:rsidRPr="00CF3673">
        <w:rPr>
          <w:lang w:val="pt-PT"/>
        </w:rPr>
        <w:t>Em suma, 92% das empresas na amostra estão concentradas nos sectores com 2-digitos (Alime</w:t>
      </w:r>
      <w:r w:rsidR="008F371B" w:rsidRPr="00CF3673">
        <w:rPr>
          <w:lang w:val="pt-PT"/>
        </w:rPr>
        <w:t>n</w:t>
      </w:r>
      <w:r w:rsidRPr="00CF3673">
        <w:rPr>
          <w:lang w:val="pt-PT"/>
        </w:rPr>
        <w:t xml:space="preserve">tação, vestuário, madeira, produtos minerais não metálicos, produtos metálicos fabricados e mobílias, </w:t>
      </w:r>
      <w:proofErr w:type="spellStart"/>
      <w:r w:rsidRPr="00CF3673">
        <w:rPr>
          <w:lang w:val="pt-PT"/>
        </w:rPr>
        <w:t>etc</w:t>
      </w:r>
      <w:proofErr w:type="spellEnd"/>
      <w:r w:rsidRPr="00CF3673">
        <w:rPr>
          <w:lang w:val="pt-PT"/>
        </w:rPr>
        <w:t>) e dentro destes sectores, 92% (84 da amostra como um todo)</w:t>
      </w:r>
      <w:r w:rsidR="00202759" w:rsidRPr="00CF3673">
        <w:rPr>
          <w:lang w:val="pt-PT"/>
        </w:rPr>
        <w:t xml:space="preserve"> estão em 9 sectores com 4-digitos (produtos de </w:t>
      </w:r>
      <w:proofErr w:type="spellStart"/>
      <w:r w:rsidR="00202759" w:rsidRPr="00CF3673">
        <w:rPr>
          <w:lang w:val="pt-PT"/>
        </w:rPr>
        <w:t>moageiras</w:t>
      </w:r>
      <w:proofErr w:type="spellEnd"/>
      <w:r w:rsidR="00202759" w:rsidRPr="00CF3673">
        <w:rPr>
          <w:lang w:val="pt-PT"/>
        </w:rPr>
        <w:t xml:space="preserve">, produtos das padarias, vestuário, </w:t>
      </w:r>
      <w:r w:rsidR="00B20E4D" w:rsidRPr="00CF3673">
        <w:rPr>
          <w:lang w:val="pt-PT"/>
        </w:rPr>
        <w:t>carpintaria</w:t>
      </w:r>
      <w:r w:rsidR="00202759" w:rsidRPr="00CF3673">
        <w:rPr>
          <w:lang w:val="pt-PT"/>
        </w:rPr>
        <w:t xml:space="preserve"> para construção, serralharia, artigos de betão, produtos de estrutura metálicas, produtos metálicos fabricados e </w:t>
      </w:r>
      <w:r w:rsidR="00B20E4D" w:rsidRPr="00CF3673">
        <w:rPr>
          <w:lang w:val="pt-PT"/>
        </w:rPr>
        <w:t>mobília</w:t>
      </w:r>
      <w:r w:rsidR="00202759" w:rsidRPr="00CF3673">
        <w:rPr>
          <w:lang w:val="pt-PT"/>
        </w:rPr>
        <w:t>)</w:t>
      </w:r>
      <w:r w:rsidR="00202759" w:rsidRPr="00CF3673">
        <w:rPr>
          <w:rStyle w:val="FootnoteReference"/>
          <w:lang w:val="pt-PT"/>
        </w:rPr>
        <w:footnoteReference w:id="14"/>
      </w:r>
    </w:p>
    <w:p w:rsidR="00C13D55" w:rsidRPr="00CF3673" w:rsidRDefault="00202759" w:rsidP="001E664B">
      <w:pPr>
        <w:pStyle w:val="MainText"/>
        <w:rPr>
          <w:lang w:val="pt-PT"/>
        </w:rPr>
      </w:pPr>
      <w:r w:rsidRPr="00CF3673">
        <w:rPr>
          <w:lang w:val="pt-PT"/>
        </w:rPr>
        <w:t xml:space="preserve">Dado que </w:t>
      </w:r>
      <w:r w:rsidR="00736B90" w:rsidRPr="00CF3673">
        <w:rPr>
          <w:lang w:val="pt-PT"/>
        </w:rPr>
        <w:t xml:space="preserve">alguns </w:t>
      </w:r>
      <w:r w:rsidRPr="00CF3673">
        <w:rPr>
          <w:lang w:val="pt-PT"/>
        </w:rPr>
        <w:t xml:space="preserve">sectores possuem poucas empresas, alguns códigos dos sectores serão fundidos </w:t>
      </w:r>
      <w:r w:rsidR="00E611B9" w:rsidRPr="00CF3673">
        <w:rPr>
          <w:lang w:val="pt-PT"/>
        </w:rPr>
        <w:t xml:space="preserve">por forma a tornar as tabelas manuseáveis. Vamos incluir empresa no sector de tabaco ao sector de alimentação, o sector de calçado no sector vestuário e </w:t>
      </w:r>
      <w:r w:rsidR="00736B90" w:rsidRPr="00CF3673">
        <w:rPr>
          <w:lang w:val="pt-PT"/>
        </w:rPr>
        <w:t xml:space="preserve">sector do </w:t>
      </w:r>
      <w:r w:rsidR="00E611B9" w:rsidRPr="00CF3673">
        <w:rPr>
          <w:lang w:val="pt-PT"/>
        </w:rPr>
        <w:t xml:space="preserve">papel no sector da madeira. Finalmente, fundimos os sectores químico, </w:t>
      </w:r>
      <w:r w:rsidR="00B20E4D" w:rsidRPr="00CF3673">
        <w:rPr>
          <w:lang w:val="pt-PT"/>
        </w:rPr>
        <w:t>plástico</w:t>
      </w:r>
      <w:r w:rsidR="00E611B9" w:rsidRPr="00CF3673">
        <w:rPr>
          <w:lang w:val="pt-PT"/>
        </w:rPr>
        <w:t>, borracha num grupo mais abrangente</w:t>
      </w:r>
      <w:r w:rsidR="00736B90" w:rsidRPr="00CF3673">
        <w:rPr>
          <w:lang w:val="pt-PT"/>
        </w:rPr>
        <w:t>,</w:t>
      </w:r>
      <w:r w:rsidR="00E611B9" w:rsidRPr="00CF3673">
        <w:rPr>
          <w:lang w:val="pt-PT"/>
        </w:rPr>
        <w:t xml:space="preserve"> o sector </w:t>
      </w:r>
      <w:r w:rsidR="00E611B9" w:rsidRPr="00CF3673">
        <w:rPr>
          <w:lang w:val="pt-PT"/>
        </w:rPr>
        <w:lastRenderedPageBreak/>
        <w:t>“</w:t>
      </w:r>
      <w:r w:rsidR="00B20E4D" w:rsidRPr="00CF3673">
        <w:rPr>
          <w:lang w:val="pt-PT"/>
        </w:rPr>
        <w:t>Químico</w:t>
      </w:r>
      <w:r w:rsidR="00E611B9" w:rsidRPr="00CF3673">
        <w:rPr>
          <w:lang w:val="pt-PT"/>
        </w:rPr>
        <w:t xml:space="preserve">” e de maquinarias, instrumentos eléctricos, instrumentos, veículos automóveis e </w:t>
      </w:r>
      <w:r w:rsidR="00736B90" w:rsidRPr="00CF3673">
        <w:rPr>
          <w:lang w:val="pt-PT"/>
        </w:rPr>
        <w:t>outros equipamentos</w:t>
      </w:r>
      <w:r w:rsidR="00E611B9" w:rsidRPr="00CF3673">
        <w:rPr>
          <w:lang w:val="pt-PT"/>
        </w:rPr>
        <w:t xml:space="preserve"> de transporte num grupo genérico designado por sector de “maquinaria”</w:t>
      </w:r>
      <w:r w:rsidR="00C13D55" w:rsidRPr="00CF3673">
        <w:rPr>
          <w:lang w:val="pt-PT"/>
        </w:rPr>
        <w:t xml:space="preserve">. </w:t>
      </w:r>
      <w:r w:rsidR="00E611B9" w:rsidRPr="00CF3673">
        <w:rPr>
          <w:lang w:val="pt-PT"/>
        </w:rPr>
        <w:t xml:space="preserve">A </w:t>
      </w:r>
      <w:r w:rsidR="00C13D55" w:rsidRPr="00CF3673">
        <w:rPr>
          <w:lang w:val="pt-PT"/>
        </w:rPr>
        <w:t>distribu</w:t>
      </w:r>
      <w:r w:rsidR="00E611B9" w:rsidRPr="00CF3673">
        <w:rPr>
          <w:lang w:val="pt-PT"/>
        </w:rPr>
        <w:t xml:space="preserve">ição do tamanho das </w:t>
      </w:r>
      <w:r w:rsidR="00615286" w:rsidRPr="00CF3673">
        <w:rPr>
          <w:lang w:val="pt-PT"/>
        </w:rPr>
        <w:t>categorias no</w:t>
      </w:r>
      <w:r w:rsidR="00E611B9" w:rsidRPr="00CF3673">
        <w:rPr>
          <w:lang w:val="pt-PT"/>
        </w:rPr>
        <w:t xml:space="preserve"> novo quadro é apresentado na tabela </w:t>
      </w:r>
      <w:r w:rsidR="00C13D55" w:rsidRPr="00CF3673">
        <w:rPr>
          <w:lang w:val="pt-PT"/>
        </w:rPr>
        <w:t>2.13</w:t>
      </w:r>
      <w:r w:rsidR="00E611B9" w:rsidRPr="00CF3673">
        <w:rPr>
          <w:lang w:val="pt-PT"/>
        </w:rPr>
        <w:t xml:space="preserve"> para melhor analise</w:t>
      </w:r>
      <w:r w:rsidR="00C13D55" w:rsidRPr="00CF3673">
        <w:rPr>
          <w:lang w:val="pt-PT"/>
        </w:rPr>
        <w:t>.</w:t>
      </w:r>
    </w:p>
    <w:p w:rsidR="00C13D55" w:rsidRPr="00CF3673" w:rsidRDefault="00B20E4D" w:rsidP="00B06D3F">
      <w:pPr>
        <w:pStyle w:val="TableTitle"/>
        <w:rPr>
          <w:lang w:val="pt-PT"/>
        </w:rPr>
      </w:pPr>
      <w:bookmarkStart w:id="29" w:name="_Toc360720445"/>
      <w:r w:rsidRPr="00CF3673">
        <w:rPr>
          <w:lang w:val="pt-PT"/>
        </w:rPr>
        <w:t>Tabela</w:t>
      </w:r>
      <w:r w:rsidR="00C13D55" w:rsidRPr="00CF3673">
        <w:rPr>
          <w:lang w:val="pt-PT"/>
        </w:rPr>
        <w:t xml:space="preserve"> 2.13: </w:t>
      </w:r>
      <w:r w:rsidR="001A57E4" w:rsidRPr="00CF3673">
        <w:rPr>
          <w:lang w:val="pt-PT"/>
        </w:rPr>
        <w:t>Número</w:t>
      </w:r>
      <w:r w:rsidR="00C0401B" w:rsidRPr="00CF3673">
        <w:rPr>
          <w:lang w:val="pt-PT"/>
        </w:rPr>
        <w:t xml:space="preserve"> de empresas por sector simplif</w:t>
      </w:r>
      <w:r w:rsidR="00736B90" w:rsidRPr="00CF3673">
        <w:rPr>
          <w:lang w:val="pt-PT"/>
        </w:rPr>
        <w:t>i</w:t>
      </w:r>
      <w:r w:rsidR="00C0401B" w:rsidRPr="00CF3673">
        <w:rPr>
          <w:lang w:val="pt-PT"/>
        </w:rPr>
        <w:t>cado e tamanho</w:t>
      </w:r>
      <w:bookmarkEnd w:id="29"/>
      <w:r w:rsidR="00C13D55" w:rsidRPr="00CF3673">
        <w:rPr>
          <w:lang w:val="pt-PT"/>
        </w:rPr>
        <w:t xml:space="preserve"> </w:t>
      </w:r>
    </w:p>
    <w:tbl>
      <w:tblPr>
        <w:tblStyle w:val="StandardTable"/>
        <w:tblW w:w="6840" w:type="dxa"/>
        <w:jc w:val="center"/>
        <w:tblLook w:val="04E0" w:firstRow="1" w:lastRow="1" w:firstColumn="1" w:lastColumn="0" w:noHBand="0" w:noVBand="1"/>
      </w:tblPr>
      <w:tblGrid>
        <w:gridCol w:w="3000"/>
        <w:gridCol w:w="960"/>
        <w:gridCol w:w="960"/>
        <w:gridCol w:w="960"/>
        <w:gridCol w:w="960"/>
      </w:tblGrid>
      <w:tr w:rsidR="00C13D55" w:rsidRPr="00CF3673" w:rsidTr="00737B2E">
        <w:trPr>
          <w:cnfStyle w:val="100000000000" w:firstRow="1" w:lastRow="0" w:firstColumn="0" w:lastColumn="0" w:oddVBand="0" w:evenVBand="0" w:oddHBand="0" w:evenHBand="0" w:firstRowFirstColumn="0" w:firstRowLastColumn="0" w:lastRowFirstColumn="0" w:lastRowLastColumn="0"/>
          <w:trHeight w:val="300"/>
          <w:jc w:val="center"/>
        </w:trPr>
        <w:tc>
          <w:tcPr>
            <w:tcW w:w="3000" w:type="dxa"/>
            <w:noWrap/>
            <w:hideMark/>
          </w:tcPr>
          <w:p w:rsidR="00C13D55" w:rsidRPr="00CF3673" w:rsidRDefault="00C13D55" w:rsidP="00737B2E">
            <w:pPr>
              <w:rPr>
                <w:rFonts w:ascii="Calibri" w:eastAsia="Times New Roman" w:hAnsi="Calibri" w:cs="Times New Roman"/>
                <w:lang w:eastAsia="zh-CN"/>
              </w:rPr>
            </w:pPr>
          </w:p>
        </w:tc>
        <w:tc>
          <w:tcPr>
            <w:tcW w:w="960" w:type="dxa"/>
            <w:noWrap/>
            <w:hideMark/>
          </w:tcPr>
          <w:p w:rsidR="00C13D55" w:rsidRPr="00CF3673" w:rsidRDefault="00C13D5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960" w:type="dxa"/>
            <w:noWrap/>
            <w:hideMark/>
          </w:tcPr>
          <w:p w:rsidR="00C13D55" w:rsidRPr="00CF3673" w:rsidRDefault="00C0401B"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960" w:type="dxa"/>
            <w:noWrap/>
            <w:hideMark/>
          </w:tcPr>
          <w:p w:rsidR="00C13D55" w:rsidRPr="00CF3673" w:rsidRDefault="00C13D55" w:rsidP="00C0401B">
            <w:pPr>
              <w:jc w:val="center"/>
              <w:rPr>
                <w:rFonts w:ascii="Calibri" w:eastAsia="Times New Roman" w:hAnsi="Calibri" w:cs="Times New Roman"/>
                <w:lang w:eastAsia="zh-CN"/>
              </w:rPr>
            </w:pPr>
            <w:r w:rsidRPr="00CF3673">
              <w:rPr>
                <w:rFonts w:ascii="Calibri" w:eastAsia="Times New Roman" w:hAnsi="Calibri" w:cs="Times New Roman"/>
                <w:lang w:eastAsia="zh-CN"/>
              </w:rPr>
              <w:t>Medi</w:t>
            </w:r>
            <w:r w:rsidR="00C0401B" w:rsidRPr="00CF3673">
              <w:rPr>
                <w:rFonts w:ascii="Calibri" w:eastAsia="Times New Roman" w:hAnsi="Calibri" w:cs="Times New Roman"/>
                <w:lang w:eastAsia="zh-CN"/>
              </w:rPr>
              <w:t>a</w:t>
            </w:r>
          </w:p>
        </w:tc>
        <w:tc>
          <w:tcPr>
            <w:tcW w:w="960" w:type="dxa"/>
            <w:noWrap/>
            <w:hideMark/>
          </w:tcPr>
          <w:p w:rsidR="00C13D55" w:rsidRPr="00CF3673" w:rsidRDefault="00C13D5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Total</w:t>
            </w:r>
          </w:p>
        </w:tc>
      </w:tr>
      <w:tr w:rsidR="005C32CE" w:rsidRPr="00CF3673" w:rsidTr="00737B2E">
        <w:trPr>
          <w:trHeight w:val="300"/>
          <w:jc w:val="center"/>
        </w:trPr>
        <w:tc>
          <w:tcPr>
            <w:tcW w:w="3000" w:type="dxa"/>
            <w:noWrap/>
            <w:hideMark/>
          </w:tcPr>
          <w:p w:rsidR="005C32CE" w:rsidRPr="00CF3673" w:rsidRDefault="00C0401B" w:rsidP="00C0401B">
            <w:pPr>
              <w:rPr>
                <w:rFonts w:ascii="Calibri" w:eastAsia="Times New Roman" w:hAnsi="Calibri" w:cs="Times New Roman"/>
                <w:lang w:eastAsia="zh-CN"/>
              </w:rPr>
            </w:pPr>
            <w:r w:rsidRPr="00CF3673">
              <w:rPr>
                <w:rFonts w:ascii="Calibri" w:eastAsia="Times New Roman" w:hAnsi="Calibri" w:cs="Times New Roman"/>
                <w:lang w:eastAsia="zh-CN"/>
              </w:rPr>
              <w:t>Alimentação</w:t>
            </w:r>
            <w:r w:rsidR="005C32CE" w:rsidRPr="00CF3673">
              <w:rPr>
                <w:rFonts w:ascii="Calibri" w:eastAsia="Times New Roman" w:hAnsi="Calibri" w:cs="Times New Roman"/>
                <w:lang w:eastAsia="zh-CN"/>
              </w:rPr>
              <w:t>, Be</w:t>
            </w:r>
            <w:r w:rsidRPr="00CF3673">
              <w:rPr>
                <w:rFonts w:ascii="Calibri" w:eastAsia="Times New Roman" w:hAnsi="Calibri" w:cs="Times New Roman"/>
                <w:lang w:eastAsia="zh-CN"/>
              </w:rPr>
              <w:t>bidas, Ta</w:t>
            </w:r>
            <w:r w:rsidR="005C32CE" w:rsidRPr="00CF3673">
              <w:rPr>
                <w:rFonts w:ascii="Calibri" w:eastAsia="Times New Roman" w:hAnsi="Calibri" w:cs="Times New Roman"/>
                <w:lang w:eastAsia="zh-CN"/>
              </w:rPr>
              <w:t>baco</w:t>
            </w:r>
          </w:p>
        </w:tc>
        <w:tc>
          <w:tcPr>
            <w:tcW w:w="960" w:type="dxa"/>
            <w:noWrap/>
            <w:hideMark/>
          </w:tcPr>
          <w:p w:rsidR="005C32CE" w:rsidRPr="00CF3673" w:rsidRDefault="005C32CE" w:rsidP="005C32CE">
            <w:pPr>
              <w:jc w:val="center"/>
            </w:pPr>
            <w:r w:rsidRPr="00CF3673">
              <w:t>50</w:t>
            </w:r>
          </w:p>
        </w:tc>
        <w:tc>
          <w:tcPr>
            <w:tcW w:w="960" w:type="dxa"/>
            <w:noWrap/>
            <w:hideMark/>
          </w:tcPr>
          <w:p w:rsidR="005C32CE" w:rsidRPr="00CF3673" w:rsidRDefault="005C32CE" w:rsidP="005C32CE">
            <w:pPr>
              <w:jc w:val="center"/>
            </w:pPr>
            <w:r w:rsidRPr="00CF3673">
              <w:t>48</w:t>
            </w:r>
          </w:p>
        </w:tc>
        <w:tc>
          <w:tcPr>
            <w:tcW w:w="960" w:type="dxa"/>
            <w:noWrap/>
            <w:hideMark/>
          </w:tcPr>
          <w:p w:rsidR="005C32CE" w:rsidRPr="00CF3673" w:rsidRDefault="005C32CE" w:rsidP="005C32CE">
            <w:pPr>
              <w:jc w:val="center"/>
            </w:pPr>
            <w:r w:rsidRPr="00CF3673">
              <w:t>30</w:t>
            </w:r>
          </w:p>
        </w:tc>
        <w:tc>
          <w:tcPr>
            <w:tcW w:w="960" w:type="dxa"/>
            <w:noWrap/>
            <w:hideMark/>
          </w:tcPr>
          <w:p w:rsidR="005C32CE" w:rsidRPr="00CF3673" w:rsidRDefault="005C32CE" w:rsidP="005C32CE">
            <w:pPr>
              <w:jc w:val="center"/>
            </w:pPr>
            <w:r w:rsidRPr="00CF3673">
              <w:t>128</w:t>
            </w:r>
          </w:p>
        </w:tc>
      </w:tr>
      <w:tr w:rsidR="005C32CE" w:rsidRPr="00CF3673" w:rsidTr="00737B2E">
        <w:trPr>
          <w:trHeight w:val="300"/>
          <w:jc w:val="center"/>
        </w:trPr>
        <w:tc>
          <w:tcPr>
            <w:tcW w:w="3000" w:type="dxa"/>
            <w:noWrap/>
          </w:tcPr>
          <w:p w:rsidR="005C32CE" w:rsidRPr="00CF3673" w:rsidRDefault="00B20E4D" w:rsidP="00C0401B">
            <w:pPr>
              <w:rPr>
                <w:rFonts w:ascii="Calibri" w:eastAsia="Times New Roman" w:hAnsi="Calibri" w:cs="Times New Roman"/>
                <w:lang w:eastAsia="zh-CN"/>
              </w:rPr>
            </w:pPr>
            <w:r w:rsidRPr="00CF3673">
              <w:rPr>
                <w:rFonts w:ascii="Calibri" w:eastAsia="Times New Roman" w:hAnsi="Calibri" w:cs="Times New Roman"/>
                <w:lang w:eastAsia="zh-CN"/>
              </w:rPr>
              <w:t>Têxteis</w:t>
            </w:r>
          </w:p>
        </w:tc>
        <w:tc>
          <w:tcPr>
            <w:tcW w:w="960" w:type="dxa"/>
            <w:noWrap/>
          </w:tcPr>
          <w:p w:rsidR="005C32CE" w:rsidRPr="00CF3673" w:rsidRDefault="005C32CE" w:rsidP="005C32CE">
            <w:pPr>
              <w:jc w:val="center"/>
            </w:pPr>
            <w:r w:rsidRPr="00CF3673">
              <w:t>3</w:t>
            </w:r>
          </w:p>
        </w:tc>
        <w:tc>
          <w:tcPr>
            <w:tcW w:w="960" w:type="dxa"/>
            <w:noWrap/>
          </w:tcPr>
          <w:p w:rsidR="005C32CE" w:rsidRPr="00CF3673" w:rsidRDefault="005C32CE" w:rsidP="005C32CE">
            <w:pPr>
              <w:jc w:val="center"/>
            </w:pPr>
            <w:r w:rsidRPr="00CF3673">
              <w:t>3</w:t>
            </w:r>
          </w:p>
        </w:tc>
        <w:tc>
          <w:tcPr>
            <w:tcW w:w="960" w:type="dxa"/>
            <w:noWrap/>
          </w:tcPr>
          <w:p w:rsidR="005C32CE" w:rsidRPr="00CF3673" w:rsidRDefault="005C32CE" w:rsidP="005C32CE">
            <w:pPr>
              <w:jc w:val="center"/>
            </w:pPr>
            <w:r w:rsidRPr="00CF3673">
              <w:t>3</w:t>
            </w:r>
          </w:p>
        </w:tc>
        <w:tc>
          <w:tcPr>
            <w:tcW w:w="960" w:type="dxa"/>
            <w:noWrap/>
          </w:tcPr>
          <w:p w:rsidR="005C32CE" w:rsidRPr="00CF3673" w:rsidRDefault="005C32CE" w:rsidP="005C32CE">
            <w:pPr>
              <w:jc w:val="center"/>
            </w:pPr>
            <w:r w:rsidRPr="00CF3673">
              <w:t>9</w:t>
            </w:r>
          </w:p>
        </w:tc>
      </w:tr>
      <w:tr w:rsidR="005C32CE" w:rsidRPr="00CF3673" w:rsidTr="00737B2E">
        <w:trPr>
          <w:trHeight w:val="300"/>
          <w:jc w:val="center"/>
        </w:trPr>
        <w:tc>
          <w:tcPr>
            <w:tcW w:w="3000" w:type="dxa"/>
            <w:noWrap/>
            <w:hideMark/>
          </w:tcPr>
          <w:p w:rsidR="005C32CE" w:rsidRPr="00CF3673" w:rsidRDefault="00C0401B" w:rsidP="00C0401B">
            <w:pPr>
              <w:rPr>
                <w:rFonts w:ascii="Calibri" w:eastAsia="Times New Roman" w:hAnsi="Calibri" w:cs="Times New Roman"/>
                <w:lang w:eastAsia="zh-CN"/>
              </w:rPr>
            </w:pPr>
            <w:r w:rsidRPr="00CF3673">
              <w:rPr>
                <w:rFonts w:ascii="Calibri" w:eastAsia="Times New Roman" w:hAnsi="Calibri" w:cs="Times New Roman"/>
                <w:lang w:eastAsia="zh-CN"/>
              </w:rPr>
              <w:t>Vestuário e Calçados</w:t>
            </w:r>
          </w:p>
        </w:tc>
        <w:tc>
          <w:tcPr>
            <w:tcW w:w="960" w:type="dxa"/>
            <w:noWrap/>
            <w:hideMark/>
          </w:tcPr>
          <w:p w:rsidR="005C32CE" w:rsidRPr="00CF3673" w:rsidRDefault="005C32CE" w:rsidP="005C32CE">
            <w:pPr>
              <w:jc w:val="center"/>
            </w:pPr>
            <w:r w:rsidRPr="00CF3673">
              <w:t>81</w:t>
            </w:r>
          </w:p>
        </w:tc>
        <w:tc>
          <w:tcPr>
            <w:tcW w:w="960" w:type="dxa"/>
            <w:noWrap/>
            <w:hideMark/>
          </w:tcPr>
          <w:p w:rsidR="005C32CE" w:rsidRPr="00CF3673" w:rsidRDefault="005C32CE" w:rsidP="005C32CE">
            <w:pPr>
              <w:jc w:val="center"/>
            </w:pPr>
            <w:r w:rsidRPr="00CF3673">
              <w:t>10</w:t>
            </w:r>
          </w:p>
        </w:tc>
        <w:tc>
          <w:tcPr>
            <w:tcW w:w="960" w:type="dxa"/>
            <w:noWrap/>
            <w:hideMark/>
          </w:tcPr>
          <w:p w:rsidR="005C32CE" w:rsidRPr="00CF3673" w:rsidRDefault="005C32CE" w:rsidP="005C32CE">
            <w:pPr>
              <w:jc w:val="center"/>
            </w:pPr>
            <w:r w:rsidRPr="00CF3673">
              <w:t>2</w:t>
            </w:r>
          </w:p>
        </w:tc>
        <w:tc>
          <w:tcPr>
            <w:tcW w:w="960" w:type="dxa"/>
            <w:noWrap/>
            <w:hideMark/>
          </w:tcPr>
          <w:p w:rsidR="005C32CE" w:rsidRPr="00CF3673" w:rsidRDefault="005C32CE" w:rsidP="005C32CE">
            <w:pPr>
              <w:jc w:val="center"/>
            </w:pPr>
            <w:r w:rsidRPr="00CF3673">
              <w:t>93</w:t>
            </w:r>
          </w:p>
        </w:tc>
      </w:tr>
      <w:tr w:rsidR="005C32CE" w:rsidRPr="00CF3673" w:rsidTr="00737B2E">
        <w:trPr>
          <w:trHeight w:val="300"/>
          <w:jc w:val="center"/>
        </w:trPr>
        <w:tc>
          <w:tcPr>
            <w:tcW w:w="3000" w:type="dxa"/>
            <w:noWrap/>
            <w:hideMark/>
          </w:tcPr>
          <w:p w:rsidR="005C32CE" w:rsidRPr="00CF3673" w:rsidRDefault="00C0401B" w:rsidP="00C0401B">
            <w:pPr>
              <w:rPr>
                <w:rFonts w:ascii="Calibri" w:eastAsia="Times New Roman" w:hAnsi="Calibri" w:cs="Times New Roman"/>
                <w:lang w:eastAsia="zh-CN"/>
              </w:rPr>
            </w:pPr>
            <w:r w:rsidRPr="00CF3673">
              <w:rPr>
                <w:rFonts w:ascii="Calibri" w:eastAsia="Times New Roman" w:hAnsi="Calibri" w:cs="Times New Roman"/>
                <w:lang w:eastAsia="zh-CN"/>
              </w:rPr>
              <w:t>Madeira e Papel</w:t>
            </w:r>
          </w:p>
        </w:tc>
        <w:tc>
          <w:tcPr>
            <w:tcW w:w="960" w:type="dxa"/>
            <w:noWrap/>
            <w:hideMark/>
          </w:tcPr>
          <w:p w:rsidR="005C32CE" w:rsidRPr="00CF3673" w:rsidRDefault="005C32CE" w:rsidP="005C32CE">
            <w:pPr>
              <w:jc w:val="center"/>
            </w:pPr>
            <w:r w:rsidRPr="00CF3673">
              <w:t>71</w:t>
            </w:r>
          </w:p>
        </w:tc>
        <w:tc>
          <w:tcPr>
            <w:tcW w:w="960" w:type="dxa"/>
            <w:noWrap/>
            <w:hideMark/>
          </w:tcPr>
          <w:p w:rsidR="005C32CE" w:rsidRPr="00CF3673" w:rsidRDefault="005C32CE" w:rsidP="005C32CE">
            <w:pPr>
              <w:jc w:val="center"/>
            </w:pPr>
            <w:r w:rsidRPr="00CF3673">
              <w:t>22</w:t>
            </w:r>
          </w:p>
        </w:tc>
        <w:tc>
          <w:tcPr>
            <w:tcW w:w="960" w:type="dxa"/>
            <w:noWrap/>
            <w:hideMark/>
          </w:tcPr>
          <w:p w:rsidR="005C32CE" w:rsidRPr="00CF3673" w:rsidRDefault="005C32CE" w:rsidP="005C32CE">
            <w:pPr>
              <w:jc w:val="center"/>
            </w:pPr>
            <w:r w:rsidRPr="00CF3673">
              <w:t>5</w:t>
            </w:r>
          </w:p>
        </w:tc>
        <w:tc>
          <w:tcPr>
            <w:tcW w:w="960" w:type="dxa"/>
            <w:noWrap/>
            <w:hideMark/>
          </w:tcPr>
          <w:p w:rsidR="005C32CE" w:rsidRPr="00CF3673" w:rsidRDefault="005C32CE" w:rsidP="005C32CE">
            <w:pPr>
              <w:jc w:val="center"/>
            </w:pPr>
            <w:r w:rsidRPr="00CF3673">
              <w:t>98</w:t>
            </w:r>
          </w:p>
        </w:tc>
      </w:tr>
      <w:tr w:rsidR="005C32CE" w:rsidRPr="00CF3673" w:rsidTr="00737B2E">
        <w:trPr>
          <w:trHeight w:val="300"/>
          <w:jc w:val="center"/>
        </w:trPr>
        <w:tc>
          <w:tcPr>
            <w:tcW w:w="3000" w:type="dxa"/>
            <w:noWrap/>
            <w:hideMark/>
          </w:tcPr>
          <w:p w:rsidR="005C32CE" w:rsidRPr="00CF3673" w:rsidRDefault="00C0401B" w:rsidP="00C0401B">
            <w:pPr>
              <w:rPr>
                <w:rFonts w:ascii="Calibri" w:eastAsia="Times New Roman" w:hAnsi="Calibri" w:cs="Times New Roman"/>
                <w:lang w:eastAsia="zh-CN"/>
              </w:rPr>
            </w:pPr>
            <w:r w:rsidRPr="00CF3673">
              <w:rPr>
                <w:rFonts w:ascii="Calibri" w:eastAsia="Times New Roman" w:hAnsi="Calibri" w:cs="Times New Roman"/>
                <w:lang w:eastAsia="zh-CN"/>
              </w:rPr>
              <w:t>Publicação e Impressão</w:t>
            </w:r>
          </w:p>
        </w:tc>
        <w:tc>
          <w:tcPr>
            <w:tcW w:w="960" w:type="dxa"/>
            <w:noWrap/>
            <w:hideMark/>
          </w:tcPr>
          <w:p w:rsidR="005C32CE" w:rsidRPr="00CF3673" w:rsidRDefault="005C32CE" w:rsidP="005C32CE">
            <w:pPr>
              <w:jc w:val="center"/>
            </w:pPr>
            <w:r w:rsidRPr="00CF3673">
              <w:t>8</w:t>
            </w:r>
          </w:p>
        </w:tc>
        <w:tc>
          <w:tcPr>
            <w:tcW w:w="960" w:type="dxa"/>
            <w:noWrap/>
            <w:hideMark/>
          </w:tcPr>
          <w:p w:rsidR="005C32CE" w:rsidRPr="00CF3673" w:rsidRDefault="005C32CE" w:rsidP="005C32CE">
            <w:pPr>
              <w:jc w:val="center"/>
            </w:pPr>
            <w:r w:rsidRPr="00CF3673">
              <w:t>7</w:t>
            </w:r>
          </w:p>
        </w:tc>
        <w:tc>
          <w:tcPr>
            <w:tcW w:w="960" w:type="dxa"/>
            <w:noWrap/>
            <w:hideMark/>
          </w:tcPr>
          <w:p w:rsidR="005C32CE" w:rsidRPr="00CF3673" w:rsidRDefault="005C32CE" w:rsidP="005C32CE">
            <w:pPr>
              <w:jc w:val="center"/>
            </w:pPr>
            <w:r w:rsidRPr="00CF3673">
              <w:t>2</w:t>
            </w:r>
          </w:p>
        </w:tc>
        <w:tc>
          <w:tcPr>
            <w:tcW w:w="960" w:type="dxa"/>
            <w:noWrap/>
            <w:hideMark/>
          </w:tcPr>
          <w:p w:rsidR="005C32CE" w:rsidRPr="00CF3673" w:rsidRDefault="005C32CE" w:rsidP="005C32CE">
            <w:pPr>
              <w:jc w:val="center"/>
            </w:pPr>
            <w:r w:rsidRPr="00CF3673">
              <w:t>17</w:t>
            </w:r>
          </w:p>
        </w:tc>
      </w:tr>
      <w:tr w:rsidR="005C32CE" w:rsidRPr="00CF3673" w:rsidTr="00737B2E">
        <w:trPr>
          <w:trHeight w:val="300"/>
          <w:jc w:val="center"/>
        </w:trPr>
        <w:tc>
          <w:tcPr>
            <w:tcW w:w="3000" w:type="dxa"/>
            <w:noWrap/>
            <w:hideMark/>
          </w:tcPr>
          <w:p w:rsidR="005C32CE" w:rsidRPr="00CF3673" w:rsidRDefault="00C0401B" w:rsidP="00C0401B">
            <w:pPr>
              <w:rPr>
                <w:rFonts w:ascii="Calibri" w:eastAsia="Times New Roman" w:hAnsi="Calibri" w:cs="Times New Roman"/>
                <w:lang w:eastAsia="zh-CN"/>
              </w:rPr>
            </w:pPr>
            <w:r w:rsidRPr="00CF3673">
              <w:rPr>
                <w:rFonts w:ascii="Calibri" w:eastAsia="Times New Roman" w:hAnsi="Calibri" w:cs="Times New Roman"/>
                <w:lang w:eastAsia="zh-CN"/>
              </w:rPr>
              <w:t>Químico</w:t>
            </w:r>
            <w:r w:rsidR="005C32CE" w:rsidRPr="00CF3673">
              <w:rPr>
                <w:rFonts w:ascii="Calibri" w:eastAsia="Times New Roman" w:hAnsi="Calibri" w:cs="Times New Roman"/>
                <w:lang w:eastAsia="zh-CN"/>
              </w:rPr>
              <w:t xml:space="preserve">, </w:t>
            </w:r>
            <w:r w:rsidRPr="00CF3673">
              <w:rPr>
                <w:rFonts w:ascii="Calibri" w:eastAsia="Times New Roman" w:hAnsi="Calibri" w:cs="Times New Roman"/>
                <w:lang w:eastAsia="zh-CN"/>
              </w:rPr>
              <w:t>Borracha</w:t>
            </w:r>
            <w:r w:rsidR="005C32CE" w:rsidRPr="00CF3673">
              <w:rPr>
                <w:rFonts w:ascii="Calibri" w:eastAsia="Times New Roman" w:hAnsi="Calibri" w:cs="Times New Roman"/>
                <w:lang w:eastAsia="zh-CN"/>
              </w:rPr>
              <w:t xml:space="preserve">, </w:t>
            </w:r>
            <w:r w:rsidR="00B20E4D" w:rsidRPr="00CF3673">
              <w:rPr>
                <w:rFonts w:ascii="Calibri" w:eastAsia="Times New Roman" w:hAnsi="Calibri" w:cs="Times New Roman"/>
                <w:lang w:eastAsia="zh-CN"/>
              </w:rPr>
              <w:t>Plástico</w:t>
            </w:r>
          </w:p>
        </w:tc>
        <w:tc>
          <w:tcPr>
            <w:tcW w:w="960" w:type="dxa"/>
            <w:noWrap/>
            <w:hideMark/>
          </w:tcPr>
          <w:p w:rsidR="005C32CE" w:rsidRPr="00CF3673" w:rsidRDefault="005C32CE" w:rsidP="005C32CE">
            <w:pPr>
              <w:jc w:val="center"/>
            </w:pPr>
          </w:p>
        </w:tc>
        <w:tc>
          <w:tcPr>
            <w:tcW w:w="960" w:type="dxa"/>
            <w:noWrap/>
            <w:hideMark/>
          </w:tcPr>
          <w:p w:rsidR="005C32CE" w:rsidRPr="00CF3673" w:rsidRDefault="005C32CE" w:rsidP="005C32CE">
            <w:pPr>
              <w:jc w:val="center"/>
            </w:pPr>
            <w:r w:rsidRPr="00CF3673">
              <w:t>6</w:t>
            </w:r>
          </w:p>
        </w:tc>
        <w:tc>
          <w:tcPr>
            <w:tcW w:w="960" w:type="dxa"/>
            <w:noWrap/>
            <w:hideMark/>
          </w:tcPr>
          <w:p w:rsidR="005C32CE" w:rsidRPr="00CF3673" w:rsidRDefault="005C32CE" w:rsidP="005C32CE">
            <w:pPr>
              <w:jc w:val="center"/>
            </w:pPr>
            <w:r w:rsidRPr="00CF3673">
              <w:t>4</w:t>
            </w:r>
          </w:p>
        </w:tc>
        <w:tc>
          <w:tcPr>
            <w:tcW w:w="960" w:type="dxa"/>
            <w:noWrap/>
            <w:hideMark/>
          </w:tcPr>
          <w:p w:rsidR="005C32CE" w:rsidRPr="00CF3673" w:rsidRDefault="005C32CE" w:rsidP="005C32CE">
            <w:pPr>
              <w:jc w:val="center"/>
            </w:pPr>
            <w:r w:rsidRPr="00CF3673">
              <w:t>10</w:t>
            </w:r>
          </w:p>
        </w:tc>
      </w:tr>
      <w:tr w:rsidR="005C32CE" w:rsidRPr="00CF3673" w:rsidTr="00737B2E">
        <w:trPr>
          <w:trHeight w:val="300"/>
          <w:jc w:val="center"/>
        </w:trPr>
        <w:tc>
          <w:tcPr>
            <w:tcW w:w="3000" w:type="dxa"/>
            <w:noWrap/>
            <w:hideMark/>
          </w:tcPr>
          <w:p w:rsidR="005C32CE" w:rsidRPr="00CF3673" w:rsidRDefault="00C0401B" w:rsidP="00C0401B">
            <w:pPr>
              <w:rPr>
                <w:rFonts w:ascii="Calibri" w:eastAsia="Times New Roman" w:hAnsi="Calibri" w:cs="Times New Roman"/>
                <w:lang w:eastAsia="zh-CN"/>
              </w:rPr>
            </w:pPr>
            <w:r w:rsidRPr="00CF3673">
              <w:rPr>
                <w:rFonts w:ascii="Calibri" w:eastAsia="Times New Roman" w:hAnsi="Calibri" w:cs="Times New Roman"/>
                <w:lang w:eastAsia="zh-CN"/>
              </w:rPr>
              <w:t>Minerais não-metálicos</w:t>
            </w:r>
          </w:p>
        </w:tc>
        <w:tc>
          <w:tcPr>
            <w:tcW w:w="960" w:type="dxa"/>
            <w:noWrap/>
            <w:hideMark/>
          </w:tcPr>
          <w:p w:rsidR="005C32CE" w:rsidRPr="00CF3673" w:rsidRDefault="005C32CE" w:rsidP="005C32CE">
            <w:pPr>
              <w:jc w:val="center"/>
            </w:pPr>
            <w:r w:rsidRPr="00CF3673">
              <w:t>45</w:t>
            </w:r>
          </w:p>
        </w:tc>
        <w:tc>
          <w:tcPr>
            <w:tcW w:w="960" w:type="dxa"/>
            <w:noWrap/>
            <w:hideMark/>
          </w:tcPr>
          <w:p w:rsidR="005C32CE" w:rsidRPr="00CF3673" w:rsidRDefault="005C32CE" w:rsidP="005C32CE">
            <w:pPr>
              <w:jc w:val="center"/>
            </w:pPr>
            <w:r w:rsidRPr="00CF3673">
              <w:t>15</w:t>
            </w:r>
          </w:p>
        </w:tc>
        <w:tc>
          <w:tcPr>
            <w:tcW w:w="960" w:type="dxa"/>
            <w:noWrap/>
            <w:hideMark/>
          </w:tcPr>
          <w:p w:rsidR="005C32CE" w:rsidRPr="00CF3673" w:rsidRDefault="005C32CE" w:rsidP="005C32CE">
            <w:pPr>
              <w:jc w:val="center"/>
            </w:pPr>
            <w:r w:rsidRPr="00CF3673">
              <w:t>4</w:t>
            </w:r>
          </w:p>
        </w:tc>
        <w:tc>
          <w:tcPr>
            <w:tcW w:w="960" w:type="dxa"/>
            <w:noWrap/>
            <w:hideMark/>
          </w:tcPr>
          <w:p w:rsidR="005C32CE" w:rsidRPr="00CF3673" w:rsidRDefault="005C32CE" w:rsidP="005C32CE">
            <w:pPr>
              <w:jc w:val="center"/>
            </w:pPr>
            <w:r w:rsidRPr="00CF3673">
              <w:t>64</w:t>
            </w:r>
          </w:p>
        </w:tc>
      </w:tr>
      <w:tr w:rsidR="005C32CE" w:rsidRPr="00CF3673" w:rsidTr="00737B2E">
        <w:trPr>
          <w:trHeight w:val="300"/>
          <w:jc w:val="center"/>
        </w:trPr>
        <w:tc>
          <w:tcPr>
            <w:tcW w:w="3000" w:type="dxa"/>
            <w:noWrap/>
            <w:hideMark/>
          </w:tcPr>
          <w:p w:rsidR="005C32CE" w:rsidRPr="00CF3673" w:rsidRDefault="00C0401B" w:rsidP="00C0401B">
            <w:pPr>
              <w:rPr>
                <w:rFonts w:ascii="Calibri" w:eastAsia="Times New Roman" w:hAnsi="Calibri" w:cs="Times New Roman"/>
                <w:lang w:eastAsia="zh-CN"/>
              </w:rPr>
            </w:pPr>
            <w:r w:rsidRPr="00CF3673">
              <w:rPr>
                <w:rFonts w:ascii="Calibri" w:eastAsia="Times New Roman" w:hAnsi="Calibri" w:cs="Times New Roman"/>
                <w:lang w:eastAsia="zh-CN"/>
              </w:rPr>
              <w:t>Produtos metálicos fabricados</w:t>
            </w:r>
          </w:p>
        </w:tc>
        <w:tc>
          <w:tcPr>
            <w:tcW w:w="960" w:type="dxa"/>
            <w:noWrap/>
            <w:hideMark/>
          </w:tcPr>
          <w:p w:rsidR="005C32CE" w:rsidRPr="00CF3673" w:rsidRDefault="005C32CE" w:rsidP="005C32CE">
            <w:pPr>
              <w:jc w:val="center"/>
            </w:pPr>
            <w:r w:rsidRPr="00CF3673">
              <w:t>125</w:t>
            </w:r>
          </w:p>
        </w:tc>
        <w:tc>
          <w:tcPr>
            <w:tcW w:w="960" w:type="dxa"/>
            <w:noWrap/>
            <w:hideMark/>
          </w:tcPr>
          <w:p w:rsidR="005C32CE" w:rsidRPr="00CF3673" w:rsidRDefault="005C32CE" w:rsidP="005C32CE">
            <w:pPr>
              <w:jc w:val="center"/>
            </w:pPr>
            <w:r w:rsidRPr="00CF3673">
              <w:t>33</w:t>
            </w:r>
          </w:p>
        </w:tc>
        <w:tc>
          <w:tcPr>
            <w:tcW w:w="960" w:type="dxa"/>
            <w:noWrap/>
            <w:hideMark/>
          </w:tcPr>
          <w:p w:rsidR="005C32CE" w:rsidRPr="00CF3673" w:rsidRDefault="005C32CE" w:rsidP="005C32CE">
            <w:pPr>
              <w:jc w:val="center"/>
            </w:pPr>
            <w:r w:rsidRPr="00CF3673">
              <w:t>5</w:t>
            </w:r>
          </w:p>
        </w:tc>
        <w:tc>
          <w:tcPr>
            <w:tcW w:w="960" w:type="dxa"/>
            <w:noWrap/>
            <w:hideMark/>
          </w:tcPr>
          <w:p w:rsidR="005C32CE" w:rsidRPr="00CF3673" w:rsidRDefault="005C32CE" w:rsidP="005C32CE">
            <w:pPr>
              <w:jc w:val="center"/>
            </w:pPr>
            <w:r w:rsidRPr="00CF3673">
              <w:t>163</w:t>
            </w:r>
          </w:p>
        </w:tc>
      </w:tr>
      <w:tr w:rsidR="005C32CE" w:rsidRPr="00CF3673" w:rsidTr="005C32CE">
        <w:trPr>
          <w:trHeight w:val="300"/>
          <w:jc w:val="center"/>
        </w:trPr>
        <w:tc>
          <w:tcPr>
            <w:tcW w:w="3000" w:type="dxa"/>
            <w:tcBorders>
              <w:bottom w:val="nil"/>
            </w:tcBorders>
            <w:noWrap/>
            <w:hideMark/>
          </w:tcPr>
          <w:p w:rsidR="005C32CE" w:rsidRPr="00CF3673" w:rsidRDefault="005C32CE" w:rsidP="00C0401B">
            <w:pPr>
              <w:rPr>
                <w:rFonts w:ascii="Calibri" w:eastAsia="Times New Roman" w:hAnsi="Calibri" w:cs="Times New Roman"/>
                <w:lang w:eastAsia="zh-CN"/>
              </w:rPr>
            </w:pPr>
            <w:r w:rsidRPr="00CF3673">
              <w:rPr>
                <w:rFonts w:ascii="Calibri" w:eastAsia="Times New Roman" w:hAnsi="Calibri" w:cs="Times New Roman"/>
                <w:lang w:eastAsia="zh-CN"/>
              </w:rPr>
              <w:t>Ma</w:t>
            </w:r>
            <w:r w:rsidR="00C0401B" w:rsidRPr="00CF3673">
              <w:rPr>
                <w:rFonts w:ascii="Calibri" w:eastAsia="Times New Roman" w:hAnsi="Calibri" w:cs="Times New Roman"/>
                <w:lang w:eastAsia="zh-CN"/>
              </w:rPr>
              <w:t>quinaria</w:t>
            </w:r>
            <w:r w:rsidRPr="00CF3673">
              <w:rPr>
                <w:rFonts w:ascii="Calibri" w:eastAsia="Times New Roman" w:hAnsi="Calibri" w:cs="Times New Roman"/>
                <w:lang w:eastAsia="zh-CN"/>
              </w:rPr>
              <w:t xml:space="preserve"> etc.</w:t>
            </w:r>
          </w:p>
        </w:tc>
        <w:tc>
          <w:tcPr>
            <w:tcW w:w="960" w:type="dxa"/>
            <w:tcBorders>
              <w:bottom w:val="nil"/>
            </w:tcBorders>
            <w:noWrap/>
            <w:hideMark/>
          </w:tcPr>
          <w:p w:rsidR="005C32CE" w:rsidRPr="00CF3673" w:rsidRDefault="005C32CE" w:rsidP="005C32CE">
            <w:pPr>
              <w:jc w:val="center"/>
            </w:pPr>
            <w:r w:rsidRPr="00CF3673">
              <w:t>7</w:t>
            </w:r>
          </w:p>
        </w:tc>
        <w:tc>
          <w:tcPr>
            <w:tcW w:w="960" w:type="dxa"/>
            <w:tcBorders>
              <w:bottom w:val="nil"/>
            </w:tcBorders>
            <w:noWrap/>
            <w:hideMark/>
          </w:tcPr>
          <w:p w:rsidR="005C32CE" w:rsidRPr="00CF3673" w:rsidRDefault="005C32CE" w:rsidP="005C32CE">
            <w:pPr>
              <w:jc w:val="center"/>
            </w:pPr>
            <w:r w:rsidRPr="00CF3673">
              <w:t>5</w:t>
            </w:r>
          </w:p>
        </w:tc>
        <w:tc>
          <w:tcPr>
            <w:tcW w:w="960" w:type="dxa"/>
            <w:tcBorders>
              <w:bottom w:val="nil"/>
            </w:tcBorders>
            <w:noWrap/>
            <w:hideMark/>
          </w:tcPr>
          <w:p w:rsidR="005C32CE" w:rsidRPr="00CF3673" w:rsidRDefault="005C32CE" w:rsidP="005C32CE">
            <w:pPr>
              <w:jc w:val="center"/>
            </w:pPr>
            <w:r w:rsidRPr="00CF3673">
              <w:t>2</w:t>
            </w:r>
          </w:p>
        </w:tc>
        <w:tc>
          <w:tcPr>
            <w:tcW w:w="960" w:type="dxa"/>
            <w:tcBorders>
              <w:bottom w:val="nil"/>
            </w:tcBorders>
            <w:noWrap/>
            <w:hideMark/>
          </w:tcPr>
          <w:p w:rsidR="005C32CE" w:rsidRPr="00CF3673" w:rsidRDefault="005C32CE" w:rsidP="005C32CE">
            <w:pPr>
              <w:jc w:val="center"/>
            </w:pPr>
            <w:r w:rsidRPr="00CF3673">
              <w:t>14</w:t>
            </w:r>
          </w:p>
        </w:tc>
      </w:tr>
      <w:tr w:rsidR="005C32CE" w:rsidRPr="00CF3673" w:rsidTr="005C32CE">
        <w:trPr>
          <w:trHeight w:val="300"/>
          <w:jc w:val="center"/>
        </w:trPr>
        <w:tc>
          <w:tcPr>
            <w:tcW w:w="3000" w:type="dxa"/>
            <w:tcBorders>
              <w:top w:val="nil"/>
              <w:bottom w:val="single" w:sz="4" w:space="0" w:color="auto"/>
            </w:tcBorders>
            <w:noWrap/>
            <w:hideMark/>
          </w:tcPr>
          <w:p w:rsidR="005C32CE" w:rsidRPr="00CF3673" w:rsidRDefault="00B20E4D" w:rsidP="00736B90">
            <w:pPr>
              <w:rPr>
                <w:rFonts w:ascii="Calibri" w:eastAsia="Times New Roman" w:hAnsi="Calibri" w:cs="Times New Roman"/>
                <w:lang w:eastAsia="zh-CN"/>
              </w:rPr>
            </w:pPr>
            <w:r w:rsidRPr="00CF3673">
              <w:rPr>
                <w:rFonts w:ascii="Calibri" w:eastAsia="Times New Roman" w:hAnsi="Calibri" w:cs="Times New Roman"/>
                <w:lang w:eastAsia="zh-CN"/>
              </w:rPr>
              <w:t>Mobília</w:t>
            </w:r>
            <w:r w:rsidR="00C0401B" w:rsidRPr="00CF3673">
              <w:rPr>
                <w:rFonts w:ascii="Calibri" w:eastAsia="Times New Roman" w:hAnsi="Calibri" w:cs="Times New Roman"/>
                <w:lang w:eastAsia="zh-CN"/>
              </w:rPr>
              <w:t xml:space="preserve"> </w:t>
            </w:r>
            <w:r w:rsidR="005C32CE" w:rsidRPr="00CF3673">
              <w:rPr>
                <w:rFonts w:ascii="Calibri" w:eastAsia="Times New Roman" w:hAnsi="Calibri" w:cs="Times New Roman"/>
                <w:lang w:eastAsia="zh-CN"/>
              </w:rPr>
              <w:t>&amp; manufactur</w:t>
            </w:r>
            <w:r w:rsidR="00C0401B" w:rsidRPr="00CF3673">
              <w:rPr>
                <w:rFonts w:ascii="Calibri" w:eastAsia="Times New Roman" w:hAnsi="Calibri" w:cs="Times New Roman"/>
                <w:lang w:eastAsia="zh-CN"/>
              </w:rPr>
              <w:t>a</w:t>
            </w:r>
          </w:p>
        </w:tc>
        <w:tc>
          <w:tcPr>
            <w:tcW w:w="960" w:type="dxa"/>
            <w:tcBorders>
              <w:top w:val="nil"/>
              <w:bottom w:val="single" w:sz="4" w:space="0" w:color="auto"/>
            </w:tcBorders>
            <w:noWrap/>
            <w:hideMark/>
          </w:tcPr>
          <w:p w:rsidR="005C32CE" w:rsidRPr="00CF3673" w:rsidRDefault="005C32CE" w:rsidP="005C32CE">
            <w:pPr>
              <w:jc w:val="center"/>
            </w:pPr>
            <w:r w:rsidRPr="00CF3673">
              <w:t>127</w:t>
            </w:r>
          </w:p>
        </w:tc>
        <w:tc>
          <w:tcPr>
            <w:tcW w:w="960" w:type="dxa"/>
            <w:tcBorders>
              <w:top w:val="nil"/>
              <w:bottom w:val="single" w:sz="4" w:space="0" w:color="auto"/>
            </w:tcBorders>
            <w:noWrap/>
            <w:hideMark/>
          </w:tcPr>
          <w:p w:rsidR="005C32CE" w:rsidRPr="00CF3673" w:rsidRDefault="005C32CE" w:rsidP="005C32CE">
            <w:pPr>
              <w:jc w:val="center"/>
            </w:pPr>
            <w:r w:rsidRPr="00CF3673">
              <w:t>29</w:t>
            </w:r>
          </w:p>
        </w:tc>
        <w:tc>
          <w:tcPr>
            <w:tcW w:w="960" w:type="dxa"/>
            <w:tcBorders>
              <w:top w:val="nil"/>
              <w:bottom w:val="single" w:sz="4" w:space="0" w:color="auto"/>
            </w:tcBorders>
            <w:noWrap/>
            <w:hideMark/>
          </w:tcPr>
          <w:p w:rsidR="005C32CE" w:rsidRPr="00CF3673" w:rsidRDefault="005C32CE" w:rsidP="005C32CE">
            <w:pPr>
              <w:jc w:val="center"/>
            </w:pPr>
            <w:r w:rsidRPr="00CF3673">
              <w:t>9</w:t>
            </w:r>
          </w:p>
        </w:tc>
        <w:tc>
          <w:tcPr>
            <w:tcW w:w="960" w:type="dxa"/>
            <w:tcBorders>
              <w:top w:val="nil"/>
              <w:bottom w:val="single" w:sz="4" w:space="0" w:color="auto"/>
            </w:tcBorders>
            <w:noWrap/>
            <w:hideMark/>
          </w:tcPr>
          <w:p w:rsidR="005C32CE" w:rsidRPr="00CF3673" w:rsidRDefault="005C32CE" w:rsidP="005C32CE">
            <w:pPr>
              <w:jc w:val="center"/>
            </w:pPr>
            <w:r w:rsidRPr="00CF3673">
              <w:t>165</w:t>
            </w:r>
          </w:p>
        </w:tc>
      </w:tr>
      <w:tr w:rsidR="005C32CE" w:rsidRPr="00CF3673" w:rsidTr="005C32CE">
        <w:trPr>
          <w:trHeight w:val="300"/>
          <w:jc w:val="center"/>
        </w:trPr>
        <w:tc>
          <w:tcPr>
            <w:tcW w:w="3000" w:type="dxa"/>
            <w:tcBorders>
              <w:top w:val="single" w:sz="4" w:space="0" w:color="auto"/>
              <w:bottom w:val="double" w:sz="4" w:space="0" w:color="auto"/>
            </w:tcBorders>
            <w:noWrap/>
            <w:hideMark/>
          </w:tcPr>
          <w:p w:rsidR="005C32CE" w:rsidRPr="00CF3673" w:rsidRDefault="005C32CE" w:rsidP="00737B2E">
            <w:pPr>
              <w:rPr>
                <w:rFonts w:ascii="Calibri" w:eastAsia="Times New Roman" w:hAnsi="Calibri" w:cs="Times New Roman"/>
                <w:lang w:eastAsia="zh-CN"/>
              </w:rPr>
            </w:pPr>
            <w:r w:rsidRPr="00CF3673">
              <w:rPr>
                <w:rFonts w:ascii="Calibri" w:eastAsia="Times New Roman" w:hAnsi="Calibri" w:cs="Times New Roman"/>
                <w:lang w:eastAsia="zh-CN"/>
              </w:rPr>
              <w:t>Total</w:t>
            </w:r>
          </w:p>
        </w:tc>
        <w:tc>
          <w:tcPr>
            <w:tcW w:w="960" w:type="dxa"/>
            <w:tcBorders>
              <w:top w:val="single" w:sz="4" w:space="0" w:color="auto"/>
              <w:bottom w:val="double" w:sz="4" w:space="0" w:color="auto"/>
            </w:tcBorders>
            <w:noWrap/>
            <w:hideMark/>
          </w:tcPr>
          <w:p w:rsidR="005C32CE" w:rsidRPr="00CF3673" w:rsidRDefault="005C32CE" w:rsidP="005C32CE">
            <w:pPr>
              <w:jc w:val="center"/>
            </w:pPr>
            <w:r w:rsidRPr="00CF3673">
              <w:t>517</w:t>
            </w:r>
          </w:p>
        </w:tc>
        <w:tc>
          <w:tcPr>
            <w:tcW w:w="960" w:type="dxa"/>
            <w:tcBorders>
              <w:top w:val="single" w:sz="4" w:space="0" w:color="auto"/>
              <w:bottom w:val="double" w:sz="4" w:space="0" w:color="auto"/>
            </w:tcBorders>
            <w:noWrap/>
            <w:hideMark/>
          </w:tcPr>
          <w:p w:rsidR="005C32CE" w:rsidRPr="00CF3673" w:rsidRDefault="005C32CE" w:rsidP="005C32CE">
            <w:pPr>
              <w:jc w:val="center"/>
            </w:pPr>
            <w:r w:rsidRPr="00CF3673">
              <w:t>178</w:t>
            </w:r>
          </w:p>
        </w:tc>
        <w:tc>
          <w:tcPr>
            <w:tcW w:w="960" w:type="dxa"/>
            <w:tcBorders>
              <w:top w:val="single" w:sz="4" w:space="0" w:color="auto"/>
              <w:bottom w:val="double" w:sz="4" w:space="0" w:color="auto"/>
            </w:tcBorders>
            <w:noWrap/>
            <w:hideMark/>
          </w:tcPr>
          <w:p w:rsidR="005C32CE" w:rsidRPr="00CF3673" w:rsidRDefault="005C32CE" w:rsidP="005C32CE">
            <w:pPr>
              <w:jc w:val="center"/>
            </w:pPr>
            <w:r w:rsidRPr="00CF3673">
              <w:t>66</w:t>
            </w:r>
          </w:p>
        </w:tc>
        <w:tc>
          <w:tcPr>
            <w:tcW w:w="960" w:type="dxa"/>
            <w:tcBorders>
              <w:top w:val="single" w:sz="4" w:space="0" w:color="auto"/>
              <w:bottom w:val="double" w:sz="4" w:space="0" w:color="auto"/>
            </w:tcBorders>
            <w:noWrap/>
            <w:hideMark/>
          </w:tcPr>
          <w:p w:rsidR="005C32CE" w:rsidRPr="00CF3673" w:rsidRDefault="005C32CE" w:rsidP="005C32CE">
            <w:pPr>
              <w:jc w:val="center"/>
            </w:pPr>
            <w:r w:rsidRPr="00CF3673">
              <w:t>761</w:t>
            </w:r>
          </w:p>
        </w:tc>
      </w:tr>
      <w:tr w:rsidR="002D273F" w:rsidRPr="00CF3673" w:rsidTr="002D273F">
        <w:trPr>
          <w:trHeight w:val="300"/>
          <w:jc w:val="center"/>
        </w:trPr>
        <w:tc>
          <w:tcPr>
            <w:tcW w:w="6840" w:type="dxa"/>
            <w:gridSpan w:val="5"/>
            <w:tcBorders>
              <w:top w:val="double" w:sz="4" w:space="0" w:color="auto"/>
              <w:bottom w:val="nil"/>
            </w:tcBorders>
            <w:noWrap/>
          </w:tcPr>
          <w:p w:rsidR="002D273F" w:rsidRPr="00CF3673" w:rsidRDefault="002D273F" w:rsidP="001A57E4">
            <w:pPr>
              <w:pStyle w:val="Tablenote"/>
              <w:rPr>
                <w:lang w:val="pt-PT"/>
              </w:rPr>
            </w:pPr>
            <w:r w:rsidRPr="00CF3673">
              <w:rPr>
                <w:b/>
                <w:lang w:val="pt-PT"/>
              </w:rPr>
              <w:t>Note</w:t>
            </w:r>
            <w:r w:rsidRPr="00CF3673">
              <w:rPr>
                <w:lang w:val="pt-PT"/>
              </w:rPr>
              <w:t xml:space="preserve">: </w:t>
            </w:r>
            <w:r w:rsidR="001A57E4" w:rsidRPr="00CF3673">
              <w:rPr>
                <w:lang w:val="pt-PT" w:eastAsia="zh-CN"/>
              </w:rPr>
              <w:t xml:space="preserve">Espaço em branco indica não há empresas não categoria </w:t>
            </w:r>
          </w:p>
        </w:tc>
      </w:tr>
      <w:tr w:rsidR="002D273F" w:rsidRPr="00CF3673" w:rsidTr="002D273F">
        <w:trPr>
          <w:cnfStyle w:val="010000000000" w:firstRow="0" w:lastRow="1" w:firstColumn="0" w:lastColumn="0" w:oddVBand="0" w:evenVBand="0" w:oddHBand="0" w:evenHBand="0" w:firstRowFirstColumn="0" w:firstRowLastColumn="0" w:lastRowFirstColumn="0" w:lastRowLastColumn="0"/>
          <w:trHeight w:val="300"/>
          <w:jc w:val="center"/>
        </w:trPr>
        <w:tc>
          <w:tcPr>
            <w:tcW w:w="6840" w:type="dxa"/>
            <w:gridSpan w:val="5"/>
            <w:tcBorders>
              <w:top w:val="nil"/>
              <w:bottom w:val="nil"/>
            </w:tcBorders>
            <w:noWrap/>
          </w:tcPr>
          <w:p w:rsidR="002D273F" w:rsidRPr="00CF3673" w:rsidRDefault="00B20E4D" w:rsidP="001A57E4">
            <w:pPr>
              <w:pStyle w:val="Tablenote"/>
              <w:rPr>
                <w:lang w:val="pt-PT"/>
              </w:rPr>
            </w:pPr>
            <w:r w:rsidRPr="00CF3673">
              <w:rPr>
                <w:b/>
                <w:lang w:val="pt-PT"/>
              </w:rPr>
              <w:t>Fonte</w:t>
            </w:r>
            <w:r w:rsidR="002D273F" w:rsidRPr="00CF3673">
              <w:rPr>
                <w:lang w:val="pt-PT"/>
              </w:rPr>
              <w:t xml:space="preserve">: </w:t>
            </w:r>
            <w:r w:rsidRPr="00CF3673">
              <w:rPr>
                <w:lang w:val="pt-PT"/>
              </w:rPr>
              <w:t>Cálculos</w:t>
            </w:r>
            <w:r w:rsidR="001A57E4" w:rsidRPr="00CF3673">
              <w:rPr>
                <w:lang w:val="pt-PT"/>
              </w:rPr>
              <w:t xml:space="preserve"> dos autores com base no IIM 2012</w:t>
            </w:r>
            <w:r w:rsidR="002D273F" w:rsidRPr="00CF3673">
              <w:rPr>
                <w:lang w:val="pt-PT"/>
              </w:rPr>
              <w:t>.</w:t>
            </w:r>
          </w:p>
        </w:tc>
      </w:tr>
    </w:tbl>
    <w:p w:rsidR="001E664B" w:rsidRPr="00CF3673" w:rsidRDefault="001E664B" w:rsidP="001E664B">
      <w:pPr>
        <w:pStyle w:val="MainText"/>
        <w:rPr>
          <w:lang w:val="pt-PT"/>
        </w:rPr>
      </w:pPr>
    </w:p>
    <w:p w:rsidR="00CC15CC" w:rsidRPr="00CF3673" w:rsidRDefault="00E333A2" w:rsidP="001E664B">
      <w:pPr>
        <w:pStyle w:val="MainText"/>
        <w:rPr>
          <w:lang w:val="pt-PT"/>
        </w:rPr>
      </w:pPr>
      <w:r w:rsidRPr="00CF3673">
        <w:rPr>
          <w:lang w:val="pt-PT"/>
        </w:rPr>
        <w:t>Tab</w:t>
      </w:r>
      <w:r w:rsidR="001A57E4" w:rsidRPr="00CF3673">
        <w:rPr>
          <w:lang w:val="pt-PT"/>
        </w:rPr>
        <w:t xml:space="preserve">ela </w:t>
      </w:r>
      <w:r w:rsidR="00CC15CC" w:rsidRPr="00CF3673">
        <w:rPr>
          <w:lang w:val="pt-PT"/>
        </w:rPr>
        <w:t>2.1</w:t>
      </w:r>
      <w:r w:rsidR="004D2EFF" w:rsidRPr="00CF3673">
        <w:rPr>
          <w:lang w:val="pt-PT"/>
        </w:rPr>
        <w:t>4</w:t>
      </w:r>
      <w:r w:rsidR="00CC15CC" w:rsidRPr="00CF3673">
        <w:rPr>
          <w:lang w:val="pt-PT"/>
        </w:rPr>
        <w:t xml:space="preserve"> </w:t>
      </w:r>
      <w:r w:rsidR="001A57E4" w:rsidRPr="00CF3673">
        <w:rPr>
          <w:lang w:val="pt-PT"/>
        </w:rPr>
        <w:t>faz a tabulação das empresas por províncias e sector</w:t>
      </w:r>
      <w:r w:rsidR="00CC15CC" w:rsidRPr="00CF3673">
        <w:rPr>
          <w:lang w:val="pt-PT"/>
        </w:rPr>
        <w:t xml:space="preserve">. </w:t>
      </w:r>
      <w:r w:rsidR="001A57E4" w:rsidRPr="00CF3673">
        <w:rPr>
          <w:lang w:val="pt-PT"/>
        </w:rPr>
        <w:t xml:space="preserve">As empresas nos seis maiores </w:t>
      </w:r>
      <w:r w:rsidR="00CC15CC" w:rsidRPr="00CF3673">
        <w:rPr>
          <w:lang w:val="pt-PT"/>
        </w:rPr>
        <w:t>sector</w:t>
      </w:r>
      <w:r w:rsidR="001A57E4" w:rsidRPr="00CF3673">
        <w:rPr>
          <w:lang w:val="pt-PT"/>
        </w:rPr>
        <w:t>e</w:t>
      </w:r>
      <w:r w:rsidR="00CC15CC" w:rsidRPr="00CF3673">
        <w:rPr>
          <w:lang w:val="pt-PT"/>
        </w:rPr>
        <w:t xml:space="preserve">s </w:t>
      </w:r>
      <w:r w:rsidR="00D27CAA" w:rsidRPr="00CF3673">
        <w:rPr>
          <w:lang w:val="pt-PT"/>
        </w:rPr>
        <w:t>(</w:t>
      </w:r>
      <w:r w:rsidR="001A57E4" w:rsidRPr="00CF3673">
        <w:rPr>
          <w:lang w:val="pt-PT"/>
        </w:rPr>
        <w:t>alimentação</w:t>
      </w:r>
      <w:r w:rsidR="00D27CAA" w:rsidRPr="00CF3673">
        <w:rPr>
          <w:lang w:val="pt-PT"/>
        </w:rPr>
        <w:t xml:space="preserve">, </w:t>
      </w:r>
      <w:r w:rsidR="001A57E4" w:rsidRPr="00CF3673">
        <w:rPr>
          <w:lang w:val="pt-PT"/>
        </w:rPr>
        <w:t>vestuário</w:t>
      </w:r>
      <w:r w:rsidR="00D27CAA" w:rsidRPr="00CF3673">
        <w:rPr>
          <w:lang w:val="pt-PT"/>
        </w:rPr>
        <w:t xml:space="preserve">, </w:t>
      </w:r>
      <w:r w:rsidR="001A57E4" w:rsidRPr="00CF3673">
        <w:rPr>
          <w:lang w:val="pt-PT"/>
        </w:rPr>
        <w:t>madeira</w:t>
      </w:r>
      <w:r w:rsidR="00D27CAA" w:rsidRPr="00CF3673">
        <w:rPr>
          <w:lang w:val="pt-PT"/>
        </w:rPr>
        <w:t xml:space="preserve">, </w:t>
      </w:r>
      <w:r w:rsidR="001A57E4" w:rsidRPr="00CF3673">
        <w:rPr>
          <w:lang w:val="pt-PT"/>
        </w:rPr>
        <w:t>produtos minerais não-metálicos</w:t>
      </w:r>
      <w:r w:rsidR="00D27CAA" w:rsidRPr="00CF3673">
        <w:rPr>
          <w:lang w:val="pt-PT"/>
        </w:rPr>
        <w:t xml:space="preserve">, </w:t>
      </w:r>
      <w:r w:rsidR="001A57E4" w:rsidRPr="00CF3673">
        <w:rPr>
          <w:lang w:val="pt-PT"/>
        </w:rPr>
        <w:t>produtos metálicos fabricados</w:t>
      </w:r>
      <w:r w:rsidR="00D27CAA" w:rsidRPr="00CF3673">
        <w:rPr>
          <w:lang w:val="pt-PT"/>
        </w:rPr>
        <w:t xml:space="preserve"> </w:t>
      </w:r>
      <w:r w:rsidR="001A57E4" w:rsidRPr="00CF3673">
        <w:rPr>
          <w:lang w:val="pt-PT"/>
        </w:rPr>
        <w:t>e mobília</w:t>
      </w:r>
      <w:r w:rsidR="00D27CAA" w:rsidRPr="00CF3673">
        <w:rPr>
          <w:lang w:val="pt-PT"/>
        </w:rPr>
        <w:t xml:space="preserve">) </w:t>
      </w:r>
      <w:r w:rsidR="001A57E4" w:rsidRPr="00CF3673">
        <w:rPr>
          <w:lang w:val="pt-PT"/>
        </w:rPr>
        <w:t>são presentes em todas as províncias</w:t>
      </w:r>
      <w:r w:rsidR="00D27CAA" w:rsidRPr="00CF3673">
        <w:rPr>
          <w:lang w:val="pt-PT"/>
        </w:rPr>
        <w:t xml:space="preserve">. </w:t>
      </w:r>
      <w:r w:rsidR="001A57E4" w:rsidRPr="00CF3673">
        <w:rPr>
          <w:lang w:val="pt-PT"/>
        </w:rPr>
        <w:t xml:space="preserve">Por outro lado as industrias mais avançadas </w:t>
      </w:r>
      <w:r w:rsidR="00D27CAA" w:rsidRPr="00CF3673">
        <w:rPr>
          <w:lang w:val="pt-PT"/>
        </w:rPr>
        <w:t>(</w:t>
      </w:r>
      <w:r w:rsidR="00B20E4D" w:rsidRPr="00CF3673">
        <w:rPr>
          <w:lang w:val="pt-PT"/>
        </w:rPr>
        <w:t>têxteis</w:t>
      </w:r>
      <w:r w:rsidR="00D27CAA" w:rsidRPr="00CF3673">
        <w:rPr>
          <w:lang w:val="pt-PT"/>
        </w:rPr>
        <w:t xml:space="preserve">; </w:t>
      </w:r>
      <w:r w:rsidR="001A57E4" w:rsidRPr="00CF3673">
        <w:rPr>
          <w:lang w:val="pt-PT"/>
        </w:rPr>
        <w:t>publicação</w:t>
      </w:r>
      <w:r w:rsidR="00D27CAA" w:rsidRPr="00CF3673">
        <w:rPr>
          <w:lang w:val="pt-PT"/>
        </w:rPr>
        <w:t xml:space="preserve">; </w:t>
      </w:r>
      <w:r w:rsidR="001A57E4" w:rsidRPr="00CF3673">
        <w:rPr>
          <w:lang w:val="pt-PT"/>
        </w:rPr>
        <w:t>química</w:t>
      </w:r>
      <w:r w:rsidR="00D27CAA" w:rsidRPr="00CF3673">
        <w:rPr>
          <w:lang w:val="pt-PT"/>
        </w:rPr>
        <w:t xml:space="preserve">, </w:t>
      </w:r>
      <w:r w:rsidR="001A57E4" w:rsidRPr="00CF3673">
        <w:rPr>
          <w:lang w:val="pt-PT"/>
        </w:rPr>
        <w:t>borracha</w:t>
      </w:r>
      <w:r w:rsidR="00D27CAA" w:rsidRPr="00CF3673">
        <w:rPr>
          <w:lang w:val="pt-PT"/>
        </w:rPr>
        <w:t xml:space="preserve"> </w:t>
      </w:r>
      <w:r w:rsidR="00B20E4D" w:rsidRPr="00CF3673">
        <w:rPr>
          <w:lang w:val="pt-PT"/>
        </w:rPr>
        <w:t>plástico</w:t>
      </w:r>
      <w:r w:rsidR="00D27CAA" w:rsidRPr="00CF3673">
        <w:rPr>
          <w:lang w:val="pt-PT"/>
        </w:rPr>
        <w:t xml:space="preserve">; </w:t>
      </w:r>
      <w:r w:rsidR="001A57E4" w:rsidRPr="00CF3673">
        <w:rPr>
          <w:lang w:val="pt-PT"/>
        </w:rPr>
        <w:t>e</w:t>
      </w:r>
      <w:r w:rsidR="00D27CAA" w:rsidRPr="00CF3673">
        <w:rPr>
          <w:lang w:val="pt-PT"/>
        </w:rPr>
        <w:t xml:space="preserve"> ma</w:t>
      </w:r>
      <w:r w:rsidR="001A57E4" w:rsidRPr="00CF3673">
        <w:rPr>
          <w:lang w:val="pt-PT"/>
        </w:rPr>
        <w:t>quinaria</w:t>
      </w:r>
      <w:r w:rsidR="00D27CAA" w:rsidRPr="00CF3673">
        <w:rPr>
          <w:lang w:val="pt-PT"/>
        </w:rPr>
        <w:t xml:space="preserve">) </w:t>
      </w:r>
      <w:r w:rsidR="001A57E4" w:rsidRPr="00CF3673">
        <w:rPr>
          <w:lang w:val="pt-PT"/>
        </w:rPr>
        <w:t xml:space="preserve">continuam concentradas nas grandes cidades particularmente </w:t>
      </w:r>
      <w:r w:rsidR="00D27CAA" w:rsidRPr="00CF3673">
        <w:rPr>
          <w:lang w:val="pt-PT"/>
        </w:rPr>
        <w:t xml:space="preserve">Maputo </w:t>
      </w:r>
      <w:r w:rsidR="001A57E4" w:rsidRPr="00CF3673">
        <w:rPr>
          <w:lang w:val="pt-PT"/>
        </w:rPr>
        <w:t>e</w:t>
      </w:r>
      <w:r w:rsidR="00D27CAA" w:rsidRPr="00CF3673">
        <w:rPr>
          <w:lang w:val="pt-PT"/>
        </w:rPr>
        <w:t xml:space="preserve"> Beira.</w:t>
      </w:r>
    </w:p>
    <w:p w:rsidR="00CC15CC" w:rsidRPr="00CF3673" w:rsidRDefault="00E333A2" w:rsidP="00B06D3F">
      <w:pPr>
        <w:pStyle w:val="TableTitle"/>
        <w:rPr>
          <w:lang w:val="pt-PT"/>
        </w:rPr>
      </w:pPr>
      <w:bookmarkStart w:id="30" w:name="_Toc360720446"/>
      <w:r w:rsidRPr="00CF3673">
        <w:rPr>
          <w:lang w:val="pt-PT"/>
        </w:rPr>
        <w:t>Tab</w:t>
      </w:r>
      <w:r w:rsidR="001A57E4" w:rsidRPr="00CF3673">
        <w:rPr>
          <w:lang w:val="pt-PT"/>
        </w:rPr>
        <w:t>ela</w:t>
      </w:r>
      <w:r w:rsidR="00CC15CC" w:rsidRPr="00CF3673">
        <w:rPr>
          <w:lang w:val="pt-PT"/>
        </w:rPr>
        <w:t xml:space="preserve"> 2.1</w:t>
      </w:r>
      <w:r w:rsidR="004D2EFF" w:rsidRPr="00CF3673">
        <w:rPr>
          <w:lang w:val="pt-PT"/>
        </w:rPr>
        <w:t>4</w:t>
      </w:r>
      <w:r w:rsidR="00C311C5" w:rsidRPr="00CF3673">
        <w:rPr>
          <w:lang w:val="pt-PT"/>
        </w:rPr>
        <w:t xml:space="preserve">: </w:t>
      </w:r>
      <w:r w:rsidR="001A57E4" w:rsidRPr="00CF3673">
        <w:rPr>
          <w:lang w:val="pt-PT"/>
        </w:rPr>
        <w:t>Número de empresas por sector e localização</w:t>
      </w:r>
      <w:bookmarkEnd w:id="30"/>
      <w:r w:rsidR="00C311C5" w:rsidRPr="00CF3673">
        <w:rPr>
          <w:lang w:val="pt-PT"/>
        </w:rPr>
        <w:t xml:space="preserve"> </w:t>
      </w:r>
    </w:p>
    <w:tbl>
      <w:tblPr>
        <w:tblStyle w:val="StandardTable"/>
        <w:tblW w:w="0" w:type="auto"/>
        <w:jc w:val="center"/>
        <w:tblLayout w:type="fixed"/>
        <w:tblLook w:val="04E0" w:firstRow="1" w:lastRow="1" w:firstColumn="1" w:lastColumn="0" w:noHBand="0" w:noVBand="1"/>
      </w:tblPr>
      <w:tblGrid>
        <w:gridCol w:w="2342"/>
        <w:gridCol w:w="1018"/>
        <w:gridCol w:w="1014"/>
        <w:gridCol w:w="636"/>
        <w:gridCol w:w="953"/>
        <w:gridCol w:w="763"/>
        <w:gridCol w:w="891"/>
        <w:gridCol w:w="680"/>
        <w:gridCol w:w="713"/>
        <w:gridCol w:w="628"/>
      </w:tblGrid>
      <w:tr w:rsidR="005C32CE" w:rsidRPr="00CF3673" w:rsidTr="005C32CE">
        <w:trPr>
          <w:cnfStyle w:val="100000000000" w:firstRow="1" w:lastRow="0" w:firstColumn="0" w:lastColumn="0" w:oddVBand="0" w:evenVBand="0" w:oddHBand="0" w:evenHBand="0" w:firstRowFirstColumn="0" w:firstRowLastColumn="0" w:lastRowFirstColumn="0" w:lastRowLastColumn="0"/>
          <w:trHeight w:val="300"/>
          <w:jc w:val="center"/>
        </w:trPr>
        <w:tc>
          <w:tcPr>
            <w:tcW w:w="2342" w:type="dxa"/>
            <w:noWrap/>
            <w:hideMark/>
          </w:tcPr>
          <w:p w:rsidR="005C32CE" w:rsidRPr="00CF3673" w:rsidRDefault="005C32CE" w:rsidP="00CC15CC">
            <w:pPr>
              <w:rPr>
                <w:rFonts w:ascii="Calibri" w:eastAsia="Times New Roman" w:hAnsi="Calibri" w:cs="Times New Roman"/>
                <w:szCs w:val="20"/>
                <w:lang w:eastAsia="zh-CN"/>
              </w:rPr>
            </w:pPr>
            <w:r w:rsidRPr="00CF3673">
              <w:rPr>
                <w:rFonts w:ascii="Calibri" w:eastAsia="Times New Roman" w:hAnsi="Calibri" w:cs="Times New Roman"/>
                <w:szCs w:val="20"/>
                <w:lang w:eastAsia="zh-CN"/>
              </w:rPr>
              <w:t>Sector</w:t>
            </w:r>
          </w:p>
        </w:tc>
        <w:tc>
          <w:tcPr>
            <w:tcW w:w="1018" w:type="dxa"/>
            <w:noWrap/>
            <w:hideMark/>
          </w:tcPr>
          <w:p w:rsidR="005C32CE" w:rsidRPr="00CF3673" w:rsidRDefault="005C32CE" w:rsidP="00CC15CC">
            <w:pPr>
              <w:rPr>
                <w:rFonts w:ascii="Calibri" w:eastAsia="Times New Roman" w:hAnsi="Calibri" w:cs="Times New Roman"/>
                <w:szCs w:val="20"/>
                <w:lang w:eastAsia="zh-CN"/>
              </w:rPr>
            </w:pPr>
            <w:r w:rsidRPr="00CF3673">
              <w:rPr>
                <w:rFonts w:ascii="Calibri" w:eastAsia="Times New Roman" w:hAnsi="Calibri" w:cs="Times New Roman"/>
                <w:szCs w:val="20"/>
                <w:lang w:eastAsia="zh-CN"/>
              </w:rPr>
              <w:t>Maputo C</w:t>
            </w:r>
          </w:p>
        </w:tc>
        <w:tc>
          <w:tcPr>
            <w:tcW w:w="1014" w:type="dxa"/>
            <w:noWrap/>
            <w:hideMark/>
          </w:tcPr>
          <w:p w:rsidR="005C32CE" w:rsidRPr="00CF3673" w:rsidRDefault="005C32CE" w:rsidP="00CC15CC">
            <w:pPr>
              <w:rPr>
                <w:rFonts w:ascii="Calibri" w:eastAsia="Times New Roman" w:hAnsi="Calibri" w:cs="Times New Roman"/>
                <w:szCs w:val="20"/>
                <w:lang w:eastAsia="zh-CN"/>
              </w:rPr>
            </w:pPr>
            <w:r w:rsidRPr="00CF3673">
              <w:rPr>
                <w:rFonts w:ascii="Calibri" w:eastAsia="Times New Roman" w:hAnsi="Calibri" w:cs="Times New Roman"/>
                <w:szCs w:val="20"/>
                <w:lang w:eastAsia="zh-CN"/>
              </w:rPr>
              <w:t>Maputo P</w:t>
            </w:r>
          </w:p>
        </w:tc>
        <w:tc>
          <w:tcPr>
            <w:tcW w:w="636" w:type="dxa"/>
            <w:noWrap/>
            <w:hideMark/>
          </w:tcPr>
          <w:p w:rsidR="005C32CE" w:rsidRPr="00CF3673" w:rsidRDefault="005C32CE" w:rsidP="00CC15CC">
            <w:pPr>
              <w:rPr>
                <w:rFonts w:ascii="Calibri" w:eastAsia="Times New Roman" w:hAnsi="Calibri" w:cs="Times New Roman"/>
                <w:szCs w:val="20"/>
                <w:lang w:eastAsia="zh-CN"/>
              </w:rPr>
            </w:pPr>
            <w:r w:rsidRPr="00CF3673">
              <w:rPr>
                <w:rFonts w:ascii="Calibri" w:eastAsia="Times New Roman" w:hAnsi="Calibri" w:cs="Times New Roman"/>
                <w:szCs w:val="20"/>
                <w:lang w:eastAsia="zh-CN"/>
              </w:rPr>
              <w:t>Beira</w:t>
            </w:r>
          </w:p>
        </w:tc>
        <w:tc>
          <w:tcPr>
            <w:tcW w:w="953" w:type="dxa"/>
            <w:noWrap/>
            <w:hideMark/>
          </w:tcPr>
          <w:p w:rsidR="005C32CE" w:rsidRPr="00CF3673" w:rsidRDefault="005C32CE" w:rsidP="00CC15CC">
            <w:pPr>
              <w:rPr>
                <w:rFonts w:ascii="Calibri" w:eastAsia="Times New Roman" w:hAnsi="Calibri" w:cs="Times New Roman"/>
                <w:szCs w:val="20"/>
                <w:lang w:eastAsia="zh-CN"/>
              </w:rPr>
            </w:pPr>
            <w:r w:rsidRPr="00CF3673">
              <w:rPr>
                <w:rFonts w:ascii="Calibri" w:eastAsia="Times New Roman" w:hAnsi="Calibri" w:cs="Times New Roman"/>
                <w:szCs w:val="20"/>
                <w:lang w:eastAsia="zh-CN"/>
              </w:rPr>
              <w:t>Nampula</w:t>
            </w:r>
          </w:p>
        </w:tc>
        <w:tc>
          <w:tcPr>
            <w:tcW w:w="763" w:type="dxa"/>
            <w:noWrap/>
            <w:hideMark/>
          </w:tcPr>
          <w:p w:rsidR="005C32CE" w:rsidRPr="00CF3673" w:rsidRDefault="005C32CE" w:rsidP="00CC15CC">
            <w:pPr>
              <w:rPr>
                <w:rFonts w:ascii="Calibri" w:eastAsia="Times New Roman" w:hAnsi="Calibri" w:cs="Times New Roman"/>
                <w:szCs w:val="20"/>
                <w:lang w:eastAsia="zh-CN"/>
              </w:rPr>
            </w:pPr>
            <w:r w:rsidRPr="00CF3673">
              <w:rPr>
                <w:rFonts w:ascii="Calibri" w:eastAsia="Times New Roman" w:hAnsi="Calibri" w:cs="Times New Roman"/>
                <w:szCs w:val="20"/>
                <w:lang w:eastAsia="zh-CN"/>
              </w:rPr>
              <w:t>Nacala</w:t>
            </w:r>
          </w:p>
        </w:tc>
        <w:tc>
          <w:tcPr>
            <w:tcW w:w="891" w:type="dxa"/>
            <w:noWrap/>
            <w:hideMark/>
          </w:tcPr>
          <w:p w:rsidR="005C32CE" w:rsidRPr="00CF3673" w:rsidRDefault="005C32CE" w:rsidP="00CC15CC">
            <w:pPr>
              <w:rPr>
                <w:rFonts w:ascii="Calibri" w:eastAsia="Times New Roman" w:hAnsi="Calibri" w:cs="Times New Roman"/>
                <w:szCs w:val="20"/>
                <w:lang w:eastAsia="zh-CN"/>
              </w:rPr>
            </w:pPr>
            <w:r w:rsidRPr="00CF3673">
              <w:rPr>
                <w:rFonts w:ascii="Calibri" w:eastAsia="Times New Roman" w:hAnsi="Calibri" w:cs="Times New Roman"/>
                <w:szCs w:val="20"/>
                <w:lang w:eastAsia="zh-CN"/>
              </w:rPr>
              <w:t>Chimoio</w:t>
            </w:r>
          </w:p>
        </w:tc>
        <w:tc>
          <w:tcPr>
            <w:tcW w:w="680" w:type="dxa"/>
            <w:noWrap/>
            <w:hideMark/>
          </w:tcPr>
          <w:p w:rsidR="005C32CE" w:rsidRPr="00CF3673" w:rsidRDefault="005C32CE" w:rsidP="00CC15CC">
            <w:pPr>
              <w:rPr>
                <w:rFonts w:ascii="Calibri" w:eastAsia="Times New Roman" w:hAnsi="Calibri" w:cs="Times New Roman"/>
                <w:szCs w:val="20"/>
                <w:lang w:eastAsia="zh-CN"/>
              </w:rPr>
            </w:pPr>
            <w:r w:rsidRPr="00CF3673">
              <w:rPr>
                <w:rFonts w:ascii="Calibri" w:eastAsia="Times New Roman" w:hAnsi="Calibri" w:cs="Times New Roman"/>
                <w:szCs w:val="20"/>
                <w:lang w:eastAsia="zh-CN"/>
              </w:rPr>
              <w:t>Tete*</w:t>
            </w:r>
          </w:p>
        </w:tc>
        <w:tc>
          <w:tcPr>
            <w:tcW w:w="713" w:type="dxa"/>
            <w:noWrap/>
            <w:hideMark/>
          </w:tcPr>
          <w:p w:rsidR="005C32CE" w:rsidRPr="00CF3673" w:rsidRDefault="005C32CE" w:rsidP="00CC15CC">
            <w:pPr>
              <w:rPr>
                <w:rFonts w:ascii="Calibri" w:eastAsia="Times New Roman" w:hAnsi="Calibri" w:cs="Times New Roman"/>
                <w:szCs w:val="20"/>
                <w:lang w:eastAsia="zh-CN"/>
              </w:rPr>
            </w:pPr>
            <w:r w:rsidRPr="00CF3673">
              <w:rPr>
                <w:rFonts w:ascii="Calibri" w:eastAsia="Times New Roman" w:hAnsi="Calibri" w:cs="Times New Roman"/>
                <w:szCs w:val="20"/>
                <w:lang w:eastAsia="zh-CN"/>
              </w:rPr>
              <w:t>Gaza*</w:t>
            </w:r>
          </w:p>
        </w:tc>
        <w:tc>
          <w:tcPr>
            <w:tcW w:w="628" w:type="dxa"/>
            <w:noWrap/>
            <w:hideMark/>
          </w:tcPr>
          <w:p w:rsidR="005C32CE" w:rsidRPr="00CF3673" w:rsidRDefault="005C32CE" w:rsidP="00CC15CC">
            <w:pPr>
              <w:rPr>
                <w:rFonts w:ascii="Calibri" w:eastAsia="Times New Roman" w:hAnsi="Calibri" w:cs="Times New Roman"/>
                <w:szCs w:val="20"/>
                <w:lang w:eastAsia="zh-CN"/>
              </w:rPr>
            </w:pPr>
            <w:r w:rsidRPr="00CF3673">
              <w:rPr>
                <w:rFonts w:ascii="Calibri" w:eastAsia="Times New Roman" w:hAnsi="Calibri" w:cs="Times New Roman"/>
                <w:szCs w:val="20"/>
                <w:lang w:eastAsia="zh-CN"/>
              </w:rPr>
              <w:t>Total</w:t>
            </w:r>
          </w:p>
        </w:tc>
      </w:tr>
      <w:tr w:rsidR="00B754D6" w:rsidRPr="00CF3673" w:rsidTr="005C32CE">
        <w:trPr>
          <w:trHeight w:val="300"/>
          <w:jc w:val="center"/>
        </w:trPr>
        <w:tc>
          <w:tcPr>
            <w:tcW w:w="2342" w:type="dxa"/>
            <w:noWrap/>
            <w:hideMark/>
          </w:tcPr>
          <w:p w:rsidR="00B754D6" w:rsidRPr="00CF3673" w:rsidRDefault="00B754D6" w:rsidP="002A2F9E">
            <w:pPr>
              <w:rPr>
                <w:rFonts w:ascii="Calibri" w:eastAsia="Times New Roman" w:hAnsi="Calibri" w:cs="Times New Roman"/>
                <w:lang w:eastAsia="zh-CN"/>
              </w:rPr>
            </w:pPr>
            <w:r w:rsidRPr="00CF3673">
              <w:rPr>
                <w:rFonts w:ascii="Calibri" w:eastAsia="Times New Roman" w:hAnsi="Calibri" w:cs="Times New Roman"/>
                <w:lang w:eastAsia="zh-CN"/>
              </w:rPr>
              <w:t>Alimentação, Bebidas, Tabaco</w:t>
            </w:r>
          </w:p>
        </w:tc>
        <w:tc>
          <w:tcPr>
            <w:tcW w:w="1018" w:type="dxa"/>
            <w:noWrap/>
            <w:hideMark/>
          </w:tcPr>
          <w:p w:rsidR="00B754D6" w:rsidRPr="00CF3673" w:rsidRDefault="00B754D6" w:rsidP="005C32CE">
            <w:pPr>
              <w:jc w:val="center"/>
              <w:rPr>
                <w:szCs w:val="20"/>
              </w:rPr>
            </w:pPr>
            <w:r w:rsidRPr="00CF3673">
              <w:rPr>
                <w:szCs w:val="20"/>
              </w:rPr>
              <w:t>33</w:t>
            </w:r>
          </w:p>
        </w:tc>
        <w:tc>
          <w:tcPr>
            <w:tcW w:w="1014" w:type="dxa"/>
            <w:noWrap/>
            <w:hideMark/>
          </w:tcPr>
          <w:p w:rsidR="00B754D6" w:rsidRPr="00CF3673" w:rsidRDefault="00B754D6" w:rsidP="005C32CE">
            <w:pPr>
              <w:jc w:val="center"/>
              <w:rPr>
                <w:szCs w:val="20"/>
              </w:rPr>
            </w:pPr>
            <w:r w:rsidRPr="00CF3673">
              <w:rPr>
                <w:szCs w:val="20"/>
              </w:rPr>
              <w:t>14</w:t>
            </w:r>
          </w:p>
        </w:tc>
        <w:tc>
          <w:tcPr>
            <w:tcW w:w="636" w:type="dxa"/>
            <w:noWrap/>
            <w:hideMark/>
          </w:tcPr>
          <w:p w:rsidR="00B754D6" w:rsidRPr="00CF3673" w:rsidRDefault="00B754D6" w:rsidP="005C32CE">
            <w:pPr>
              <w:jc w:val="center"/>
              <w:rPr>
                <w:szCs w:val="20"/>
              </w:rPr>
            </w:pPr>
            <w:r w:rsidRPr="00CF3673">
              <w:rPr>
                <w:szCs w:val="20"/>
              </w:rPr>
              <w:t>19</w:t>
            </w:r>
          </w:p>
        </w:tc>
        <w:tc>
          <w:tcPr>
            <w:tcW w:w="953" w:type="dxa"/>
            <w:noWrap/>
            <w:hideMark/>
          </w:tcPr>
          <w:p w:rsidR="00B754D6" w:rsidRPr="00CF3673" w:rsidRDefault="00B754D6" w:rsidP="005C32CE">
            <w:pPr>
              <w:jc w:val="center"/>
              <w:rPr>
                <w:szCs w:val="20"/>
              </w:rPr>
            </w:pPr>
            <w:r w:rsidRPr="00CF3673">
              <w:rPr>
                <w:szCs w:val="20"/>
              </w:rPr>
              <w:t>14</w:t>
            </w:r>
          </w:p>
        </w:tc>
        <w:tc>
          <w:tcPr>
            <w:tcW w:w="763" w:type="dxa"/>
            <w:noWrap/>
            <w:hideMark/>
          </w:tcPr>
          <w:p w:rsidR="00B754D6" w:rsidRPr="00CF3673" w:rsidRDefault="00B754D6" w:rsidP="005C32CE">
            <w:pPr>
              <w:jc w:val="center"/>
              <w:rPr>
                <w:szCs w:val="20"/>
              </w:rPr>
            </w:pPr>
            <w:r w:rsidRPr="00CF3673">
              <w:rPr>
                <w:szCs w:val="20"/>
              </w:rPr>
              <w:t>8</w:t>
            </w:r>
          </w:p>
        </w:tc>
        <w:tc>
          <w:tcPr>
            <w:tcW w:w="891" w:type="dxa"/>
            <w:noWrap/>
            <w:hideMark/>
          </w:tcPr>
          <w:p w:rsidR="00B754D6" w:rsidRPr="00CF3673" w:rsidRDefault="00B754D6" w:rsidP="005C32CE">
            <w:pPr>
              <w:jc w:val="center"/>
              <w:rPr>
                <w:szCs w:val="20"/>
              </w:rPr>
            </w:pPr>
            <w:r w:rsidRPr="00CF3673">
              <w:rPr>
                <w:szCs w:val="20"/>
              </w:rPr>
              <w:t>26</w:t>
            </w:r>
          </w:p>
        </w:tc>
        <w:tc>
          <w:tcPr>
            <w:tcW w:w="680" w:type="dxa"/>
            <w:noWrap/>
            <w:hideMark/>
          </w:tcPr>
          <w:p w:rsidR="00B754D6" w:rsidRPr="00CF3673" w:rsidRDefault="00B754D6" w:rsidP="005C32CE">
            <w:pPr>
              <w:jc w:val="center"/>
              <w:rPr>
                <w:szCs w:val="20"/>
              </w:rPr>
            </w:pPr>
            <w:r w:rsidRPr="00CF3673">
              <w:rPr>
                <w:szCs w:val="20"/>
              </w:rPr>
              <w:t>9</w:t>
            </w:r>
          </w:p>
        </w:tc>
        <w:tc>
          <w:tcPr>
            <w:tcW w:w="713" w:type="dxa"/>
            <w:noWrap/>
            <w:hideMark/>
          </w:tcPr>
          <w:p w:rsidR="00B754D6" w:rsidRPr="00CF3673" w:rsidRDefault="00B754D6" w:rsidP="005C32CE">
            <w:pPr>
              <w:jc w:val="center"/>
              <w:rPr>
                <w:szCs w:val="20"/>
              </w:rPr>
            </w:pPr>
            <w:r w:rsidRPr="00CF3673">
              <w:rPr>
                <w:szCs w:val="20"/>
              </w:rPr>
              <w:t>5</w:t>
            </w:r>
          </w:p>
        </w:tc>
        <w:tc>
          <w:tcPr>
            <w:tcW w:w="628" w:type="dxa"/>
            <w:noWrap/>
            <w:hideMark/>
          </w:tcPr>
          <w:p w:rsidR="00B754D6" w:rsidRPr="00CF3673" w:rsidRDefault="00B754D6" w:rsidP="005C32CE">
            <w:pPr>
              <w:jc w:val="center"/>
              <w:rPr>
                <w:szCs w:val="20"/>
              </w:rPr>
            </w:pPr>
            <w:r w:rsidRPr="00CF3673">
              <w:rPr>
                <w:szCs w:val="20"/>
              </w:rPr>
              <w:t>128</w:t>
            </w:r>
          </w:p>
        </w:tc>
      </w:tr>
      <w:tr w:rsidR="00B754D6" w:rsidRPr="00CF3673" w:rsidTr="005C32CE">
        <w:trPr>
          <w:trHeight w:val="300"/>
          <w:jc w:val="center"/>
        </w:trPr>
        <w:tc>
          <w:tcPr>
            <w:tcW w:w="2342" w:type="dxa"/>
            <w:noWrap/>
            <w:hideMark/>
          </w:tcPr>
          <w:p w:rsidR="00B754D6" w:rsidRPr="00CF3673" w:rsidRDefault="00B20E4D" w:rsidP="002A2F9E">
            <w:pPr>
              <w:rPr>
                <w:rFonts w:ascii="Calibri" w:eastAsia="Times New Roman" w:hAnsi="Calibri" w:cs="Times New Roman"/>
                <w:lang w:eastAsia="zh-CN"/>
              </w:rPr>
            </w:pPr>
            <w:r w:rsidRPr="00CF3673">
              <w:rPr>
                <w:rFonts w:ascii="Calibri" w:eastAsia="Times New Roman" w:hAnsi="Calibri" w:cs="Times New Roman"/>
                <w:lang w:eastAsia="zh-CN"/>
              </w:rPr>
              <w:t>Têxteis</w:t>
            </w:r>
          </w:p>
        </w:tc>
        <w:tc>
          <w:tcPr>
            <w:tcW w:w="1018" w:type="dxa"/>
            <w:noWrap/>
            <w:hideMark/>
          </w:tcPr>
          <w:p w:rsidR="00B754D6" w:rsidRPr="00CF3673" w:rsidRDefault="00B754D6" w:rsidP="005C32CE">
            <w:pPr>
              <w:jc w:val="center"/>
              <w:rPr>
                <w:szCs w:val="20"/>
              </w:rPr>
            </w:pPr>
            <w:r w:rsidRPr="00CF3673">
              <w:rPr>
                <w:szCs w:val="20"/>
              </w:rPr>
              <w:t>6</w:t>
            </w:r>
          </w:p>
        </w:tc>
        <w:tc>
          <w:tcPr>
            <w:tcW w:w="1014" w:type="dxa"/>
            <w:noWrap/>
            <w:hideMark/>
          </w:tcPr>
          <w:p w:rsidR="00B754D6" w:rsidRPr="00CF3673" w:rsidRDefault="00B754D6" w:rsidP="005C32CE">
            <w:pPr>
              <w:jc w:val="center"/>
              <w:rPr>
                <w:szCs w:val="20"/>
              </w:rPr>
            </w:pPr>
          </w:p>
        </w:tc>
        <w:tc>
          <w:tcPr>
            <w:tcW w:w="636" w:type="dxa"/>
            <w:noWrap/>
            <w:hideMark/>
          </w:tcPr>
          <w:p w:rsidR="00B754D6" w:rsidRPr="00CF3673" w:rsidRDefault="00B754D6" w:rsidP="005C32CE">
            <w:pPr>
              <w:jc w:val="center"/>
              <w:rPr>
                <w:szCs w:val="20"/>
              </w:rPr>
            </w:pPr>
            <w:r w:rsidRPr="00CF3673">
              <w:rPr>
                <w:szCs w:val="20"/>
              </w:rPr>
              <w:t>1</w:t>
            </w:r>
          </w:p>
        </w:tc>
        <w:tc>
          <w:tcPr>
            <w:tcW w:w="953" w:type="dxa"/>
            <w:noWrap/>
            <w:hideMark/>
          </w:tcPr>
          <w:p w:rsidR="00B754D6" w:rsidRPr="00CF3673" w:rsidRDefault="00B754D6" w:rsidP="005C32CE">
            <w:pPr>
              <w:jc w:val="center"/>
              <w:rPr>
                <w:szCs w:val="20"/>
              </w:rPr>
            </w:pPr>
          </w:p>
        </w:tc>
        <w:tc>
          <w:tcPr>
            <w:tcW w:w="763" w:type="dxa"/>
            <w:noWrap/>
            <w:hideMark/>
          </w:tcPr>
          <w:p w:rsidR="00B754D6" w:rsidRPr="00CF3673" w:rsidRDefault="00B754D6" w:rsidP="005C32CE">
            <w:pPr>
              <w:jc w:val="center"/>
              <w:rPr>
                <w:szCs w:val="20"/>
              </w:rPr>
            </w:pPr>
            <w:r w:rsidRPr="00CF3673">
              <w:rPr>
                <w:szCs w:val="20"/>
              </w:rPr>
              <w:t>2</w:t>
            </w:r>
          </w:p>
        </w:tc>
        <w:tc>
          <w:tcPr>
            <w:tcW w:w="891" w:type="dxa"/>
            <w:noWrap/>
            <w:hideMark/>
          </w:tcPr>
          <w:p w:rsidR="00B754D6" w:rsidRPr="00CF3673" w:rsidRDefault="00B754D6" w:rsidP="005C32CE">
            <w:pPr>
              <w:jc w:val="center"/>
              <w:rPr>
                <w:szCs w:val="20"/>
              </w:rPr>
            </w:pPr>
          </w:p>
        </w:tc>
        <w:tc>
          <w:tcPr>
            <w:tcW w:w="680" w:type="dxa"/>
            <w:noWrap/>
            <w:hideMark/>
          </w:tcPr>
          <w:p w:rsidR="00B754D6" w:rsidRPr="00CF3673" w:rsidRDefault="00B754D6" w:rsidP="005C32CE">
            <w:pPr>
              <w:jc w:val="center"/>
              <w:rPr>
                <w:szCs w:val="20"/>
              </w:rPr>
            </w:pPr>
          </w:p>
        </w:tc>
        <w:tc>
          <w:tcPr>
            <w:tcW w:w="713" w:type="dxa"/>
            <w:noWrap/>
            <w:hideMark/>
          </w:tcPr>
          <w:p w:rsidR="00B754D6" w:rsidRPr="00CF3673" w:rsidRDefault="00B754D6" w:rsidP="005C32CE">
            <w:pPr>
              <w:jc w:val="center"/>
              <w:rPr>
                <w:szCs w:val="20"/>
              </w:rPr>
            </w:pPr>
          </w:p>
        </w:tc>
        <w:tc>
          <w:tcPr>
            <w:tcW w:w="628" w:type="dxa"/>
            <w:noWrap/>
            <w:hideMark/>
          </w:tcPr>
          <w:p w:rsidR="00B754D6" w:rsidRPr="00CF3673" w:rsidRDefault="00B754D6" w:rsidP="005C32CE">
            <w:pPr>
              <w:jc w:val="center"/>
              <w:rPr>
                <w:szCs w:val="20"/>
              </w:rPr>
            </w:pPr>
            <w:r w:rsidRPr="00CF3673">
              <w:rPr>
                <w:szCs w:val="20"/>
              </w:rPr>
              <w:t>9</w:t>
            </w:r>
          </w:p>
        </w:tc>
      </w:tr>
      <w:tr w:rsidR="00B754D6" w:rsidRPr="00CF3673" w:rsidTr="005C32CE">
        <w:trPr>
          <w:trHeight w:val="300"/>
          <w:jc w:val="center"/>
        </w:trPr>
        <w:tc>
          <w:tcPr>
            <w:tcW w:w="2342" w:type="dxa"/>
            <w:noWrap/>
            <w:hideMark/>
          </w:tcPr>
          <w:p w:rsidR="00B754D6" w:rsidRPr="00CF3673" w:rsidRDefault="00B754D6" w:rsidP="002A2F9E">
            <w:pPr>
              <w:rPr>
                <w:rFonts w:ascii="Calibri" w:eastAsia="Times New Roman" w:hAnsi="Calibri" w:cs="Times New Roman"/>
                <w:lang w:eastAsia="zh-CN"/>
              </w:rPr>
            </w:pPr>
            <w:r w:rsidRPr="00CF3673">
              <w:rPr>
                <w:rFonts w:ascii="Calibri" w:eastAsia="Times New Roman" w:hAnsi="Calibri" w:cs="Times New Roman"/>
                <w:lang w:eastAsia="zh-CN"/>
              </w:rPr>
              <w:t>Vestuário e Calçados</w:t>
            </w:r>
          </w:p>
        </w:tc>
        <w:tc>
          <w:tcPr>
            <w:tcW w:w="1018" w:type="dxa"/>
            <w:noWrap/>
            <w:hideMark/>
          </w:tcPr>
          <w:p w:rsidR="00B754D6" w:rsidRPr="00CF3673" w:rsidRDefault="00B754D6" w:rsidP="005C32CE">
            <w:pPr>
              <w:jc w:val="center"/>
              <w:rPr>
                <w:szCs w:val="20"/>
              </w:rPr>
            </w:pPr>
            <w:r w:rsidRPr="00CF3673">
              <w:rPr>
                <w:szCs w:val="20"/>
              </w:rPr>
              <w:t>42</w:t>
            </w:r>
          </w:p>
        </w:tc>
        <w:tc>
          <w:tcPr>
            <w:tcW w:w="1014" w:type="dxa"/>
            <w:noWrap/>
            <w:hideMark/>
          </w:tcPr>
          <w:p w:rsidR="00B754D6" w:rsidRPr="00CF3673" w:rsidRDefault="00B754D6" w:rsidP="005C32CE">
            <w:pPr>
              <w:jc w:val="center"/>
              <w:rPr>
                <w:szCs w:val="20"/>
              </w:rPr>
            </w:pPr>
            <w:r w:rsidRPr="00CF3673">
              <w:rPr>
                <w:szCs w:val="20"/>
              </w:rPr>
              <w:t>4</w:t>
            </w:r>
          </w:p>
        </w:tc>
        <w:tc>
          <w:tcPr>
            <w:tcW w:w="636" w:type="dxa"/>
            <w:noWrap/>
            <w:hideMark/>
          </w:tcPr>
          <w:p w:rsidR="00B754D6" w:rsidRPr="00CF3673" w:rsidRDefault="00B754D6" w:rsidP="005C32CE">
            <w:pPr>
              <w:jc w:val="center"/>
              <w:rPr>
                <w:szCs w:val="20"/>
              </w:rPr>
            </w:pPr>
            <w:r w:rsidRPr="00CF3673">
              <w:rPr>
                <w:szCs w:val="20"/>
              </w:rPr>
              <w:t>12</w:t>
            </w:r>
          </w:p>
        </w:tc>
        <w:tc>
          <w:tcPr>
            <w:tcW w:w="953" w:type="dxa"/>
            <w:noWrap/>
            <w:hideMark/>
          </w:tcPr>
          <w:p w:rsidR="00B754D6" w:rsidRPr="00CF3673" w:rsidRDefault="00B754D6" w:rsidP="005C32CE">
            <w:pPr>
              <w:jc w:val="center"/>
              <w:rPr>
                <w:szCs w:val="20"/>
              </w:rPr>
            </w:pPr>
            <w:r w:rsidRPr="00CF3673">
              <w:rPr>
                <w:szCs w:val="20"/>
              </w:rPr>
              <w:t>6</w:t>
            </w:r>
          </w:p>
        </w:tc>
        <w:tc>
          <w:tcPr>
            <w:tcW w:w="763" w:type="dxa"/>
            <w:noWrap/>
            <w:hideMark/>
          </w:tcPr>
          <w:p w:rsidR="00B754D6" w:rsidRPr="00CF3673" w:rsidRDefault="00B754D6" w:rsidP="005C32CE">
            <w:pPr>
              <w:jc w:val="center"/>
              <w:rPr>
                <w:szCs w:val="20"/>
              </w:rPr>
            </w:pPr>
            <w:r w:rsidRPr="00CF3673">
              <w:rPr>
                <w:szCs w:val="20"/>
              </w:rPr>
              <w:t>2</w:t>
            </w:r>
          </w:p>
        </w:tc>
        <w:tc>
          <w:tcPr>
            <w:tcW w:w="891" w:type="dxa"/>
            <w:noWrap/>
            <w:hideMark/>
          </w:tcPr>
          <w:p w:rsidR="00B754D6" w:rsidRPr="00CF3673" w:rsidRDefault="00B754D6" w:rsidP="005C32CE">
            <w:pPr>
              <w:jc w:val="center"/>
              <w:rPr>
                <w:szCs w:val="20"/>
              </w:rPr>
            </w:pPr>
            <w:r w:rsidRPr="00CF3673">
              <w:rPr>
                <w:szCs w:val="20"/>
              </w:rPr>
              <w:t>4</w:t>
            </w:r>
          </w:p>
        </w:tc>
        <w:tc>
          <w:tcPr>
            <w:tcW w:w="680" w:type="dxa"/>
            <w:noWrap/>
            <w:hideMark/>
          </w:tcPr>
          <w:p w:rsidR="00B754D6" w:rsidRPr="00CF3673" w:rsidRDefault="00B754D6" w:rsidP="005C32CE">
            <w:pPr>
              <w:jc w:val="center"/>
              <w:rPr>
                <w:szCs w:val="20"/>
              </w:rPr>
            </w:pPr>
            <w:r w:rsidRPr="00CF3673">
              <w:rPr>
                <w:szCs w:val="20"/>
              </w:rPr>
              <w:t>9</w:t>
            </w:r>
          </w:p>
        </w:tc>
        <w:tc>
          <w:tcPr>
            <w:tcW w:w="713" w:type="dxa"/>
            <w:noWrap/>
            <w:hideMark/>
          </w:tcPr>
          <w:p w:rsidR="00B754D6" w:rsidRPr="00CF3673" w:rsidRDefault="00B754D6" w:rsidP="005C32CE">
            <w:pPr>
              <w:jc w:val="center"/>
              <w:rPr>
                <w:szCs w:val="20"/>
              </w:rPr>
            </w:pPr>
            <w:r w:rsidRPr="00CF3673">
              <w:rPr>
                <w:szCs w:val="20"/>
              </w:rPr>
              <w:t>14</w:t>
            </w:r>
          </w:p>
        </w:tc>
        <w:tc>
          <w:tcPr>
            <w:tcW w:w="628" w:type="dxa"/>
            <w:noWrap/>
            <w:hideMark/>
          </w:tcPr>
          <w:p w:rsidR="00B754D6" w:rsidRPr="00CF3673" w:rsidRDefault="00B754D6" w:rsidP="005C32CE">
            <w:pPr>
              <w:jc w:val="center"/>
              <w:rPr>
                <w:szCs w:val="20"/>
              </w:rPr>
            </w:pPr>
            <w:r w:rsidRPr="00CF3673">
              <w:rPr>
                <w:szCs w:val="20"/>
              </w:rPr>
              <w:t>93</w:t>
            </w:r>
          </w:p>
        </w:tc>
      </w:tr>
      <w:tr w:rsidR="00B754D6" w:rsidRPr="00CF3673" w:rsidTr="005C32CE">
        <w:trPr>
          <w:trHeight w:val="300"/>
          <w:jc w:val="center"/>
        </w:trPr>
        <w:tc>
          <w:tcPr>
            <w:tcW w:w="2342" w:type="dxa"/>
            <w:noWrap/>
            <w:hideMark/>
          </w:tcPr>
          <w:p w:rsidR="00B754D6" w:rsidRPr="00CF3673" w:rsidRDefault="00B754D6" w:rsidP="002A2F9E">
            <w:pPr>
              <w:rPr>
                <w:rFonts w:ascii="Calibri" w:eastAsia="Times New Roman" w:hAnsi="Calibri" w:cs="Times New Roman"/>
                <w:lang w:eastAsia="zh-CN"/>
              </w:rPr>
            </w:pPr>
            <w:r w:rsidRPr="00CF3673">
              <w:rPr>
                <w:rFonts w:ascii="Calibri" w:eastAsia="Times New Roman" w:hAnsi="Calibri" w:cs="Times New Roman"/>
                <w:lang w:eastAsia="zh-CN"/>
              </w:rPr>
              <w:t>Madeira e Papel</w:t>
            </w:r>
          </w:p>
        </w:tc>
        <w:tc>
          <w:tcPr>
            <w:tcW w:w="1018" w:type="dxa"/>
            <w:noWrap/>
            <w:hideMark/>
          </w:tcPr>
          <w:p w:rsidR="00B754D6" w:rsidRPr="00CF3673" w:rsidRDefault="00B754D6" w:rsidP="005C32CE">
            <w:pPr>
              <w:jc w:val="center"/>
              <w:rPr>
                <w:szCs w:val="20"/>
              </w:rPr>
            </w:pPr>
            <w:r w:rsidRPr="00CF3673">
              <w:rPr>
                <w:szCs w:val="20"/>
              </w:rPr>
              <w:t>26</w:t>
            </w:r>
          </w:p>
        </w:tc>
        <w:tc>
          <w:tcPr>
            <w:tcW w:w="1014" w:type="dxa"/>
            <w:noWrap/>
            <w:hideMark/>
          </w:tcPr>
          <w:p w:rsidR="00B754D6" w:rsidRPr="00CF3673" w:rsidRDefault="00B754D6" w:rsidP="005C32CE">
            <w:pPr>
              <w:jc w:val="center"/>
              <w:rPr>
                <w:szCs w:val="20"/>
              </w:rPr>
            </w:pPr>
            <w:r w:rsidRPr="00CF3673">
              <w:rPr>
                <w:szCs w:val="20"/>
              </w:rPr>
              <w:t>10</w:t>
            </w:r>
          </w:p>
        </w:tc>
        <w:tc>
          <w:tcPr>
            <w:tcW w:w="636" w:type="dxa"/>
            <w:noWrap/>
            <w:hideMark/>
          </w:tcPr>
          <w:p w:rsidR="00B754D6" w:rsidRPr="00CF3673" w:rsidRDefault="00B754D6" w:rsidP="005C32CE">
            <w:pPr>
              <w:jc w:val="center"/>
              <w:rPr>
                <w:szCs w:val="20"/>
              </w:rPr>
            </w:pPr>
            <w:r w:rsidRPr="00CF3673">
              <w:rPr>
                <w:szCs w:val="20"/>
              </w:rPr>
              <w:t>26</w:t>
            </w:r>
          </w:p>
        </w:tc>
        <w:tc>
          <w:tcPr>
            <w:tcW w:w="953" w:type="dxa"/>
            <w:noWrap/>
            <w:hideMark/>
          </w:tcPr>
          <w:p w:rsidR="00B754D6" w:rsidRPr="00CF3673" w:rsidRDefault="00B754D6" w:rsidP="005C32CE">
            <w:pPr>
              <w:jc w:val="center"/>
              <w:rPr>
                <w:szCs w:val="20"/>
              </w:rPr>
            </w:pPr>
            <w:r w:rsidRPr="00CF3673">
              <w:rPr>
                <w:szCs w:val="20"/>
              </w:rPr>
              <w:t>13</w:t>
            </w:r>
          </w:p>
        </w:tc>
        <w:tc>
          <w:tcPr>
            <w:tcW w:w="763" w:type="dxa"/>
            <w:noWrap/>
            <w:hideMark/>
          </w:tcPr>
          <w:p w:rsidR="00B754D6" w:rsidRPr="00CF3673" w:rsidRDefault="00B754D6" w:rsidP="005C32CE">
            <w:pPr>
              <w:jc w:val="center"/>
              <w:rPr>
                <w:szCs w:val="20"/>
              </w:rPr>
            </w:pPr>
            <w:r w:rsidRPr="00CF3673">
              <w:rPr>
                <w:szCs w:val="20"/>
              </w:rPr>
              <w:t>4</w:t>
            </w:r>
          </w:p>
        </w:tc>
        <w:tc>
          <w:tcPr>
            <w:tcW w:w="891" w:type="dxa"/>
            <w:noWrap/>
            <w:hideMark/>
          </w:tcPr>
          <w:p w:rsidR="00B754D6" w:rsidRPr="00CF3673" w:rsidRDefault="00B754D6" w:rsidP="005C32CE">
            <w:pPr>
              <w:jc w:val="center"/>
              <w:rPr>
                <w:szCs w:val="20"/>
              </w:rPr>
            </w:pPr>
            <w:r w:rsidRPr="00CF3673">
              <w:rPr>
                <w:szCs w:val="20"/>
              </w:rPr>
              <w:t>10</w:t>
            </w:r>
          </w:p>
        </w:tc>
        <w:tc>
          <w:tcPr>
            <w:tcW w:w="680" w:type="dxa"/>
            <w:noWrap/>
            <w:hideMark/>
          </w:tcPr>
          <w:p w:rsidR="00B754D6" w:rsidRPr="00CF3673" w:rsidRDefault="00B754D6" w:rsidP="005C32CE">
            <w:pPr>
              <w:jc w:val="center"/>
              <w:rPr>
                <w:szCs w:val="20"/>
              </w:rPr>
            </w:pPr>
            <w:r w:rsidRPr="00CF3673">
              <w:rPr>
                <w:szCs w:val="20"/>
              </w:rPr>
              <w:t>2</w:t>
            </w:r>
          </w:p>
        </w:tc>
        <w:tc>
          <w:tcPr>
            <w:tcW w:w="713" w:type="dxa"/>
            <w:noWrap/>
            <w:hideMark/>
          </w:tcPr>
          <w:p w:rsidR="00B754D6" w:rsidRPr="00CF3673" w:rsidRDefault="00B754D6" w:rsidP="005C32CE">
            <w:pPr>
              <w:jc w:val="center"/>
              <w:rPr>
                <w:szCs w:val="20"/>
              </w:rPr>
            </w:pPr>
            <w:r w:rsidRPr="00CF3673">
              <w:rPr>
                <w:szCs w:val="20"/>
              </w:rPr>
              <w:t>7</w:t>
            </w:r>
          </w:p>
        </w:tc>
        <w:tc>
          <w:tcPr>
            <w:tcW w:w="628" w:type="dxa"/>
            <w:noWrap/>
            <w:hideMark/>
          </w:tcPr>
          <w:p w:rsidR="00B754D6" w:rsidRPr="00CF3673" w:rsidRDefault="00B754D6" w:rsidP="005C32CE">
            <w:pPr>
              <w:jc w:val="center"/>
              <w:rPr>
                <w:szCs w:val="20"/>
              </w:rPr>
            </w:pPr>
            <w:r w:rsidRPr="00CF3673">
              <w:rPr>
                <w:szCs w:val="20"/>
              </w:rPr>
              <w:t>98</w:t>
            </w:r>
          </w:p>
        </w:tc>
      </w:tr>
      <w:tr w:rsidR="00B754D6" w:rsidRPr="00CF3673" w:rsidTr="005C32CE">
        <w:trPr>
          <w:trHeight w:val="300"/>
          <w:jc w:val="center"/>
        </w:trPr>
        <w:tc>
          <w:tcPr>
            <w:tcW w:w="2342" w:type="dxa"/>
            <w:noWrap/>
            <w:hideMark/>
          </w:tcPr>
          <w:p w:rsidR="00B754D6" w:rsidRPr="00CF3673" w:rsidRDefault="00B754D6" w:rsidP="002A2F9E">
            <w:pPr>
              <w:rPr>
                <w:rFonts w:ascii="Calibri" w:eastAsia="Times New Roman" w:hAnsi="Calibri" w:cs="Times New Roman"/>
                <w:lang w:eastAsia="zh-CN"/>
              </w:rPr>
            </w:pPr>
            <w:r w:rsidRPr="00CF3673">
              <w:rPr>
                <w:rFonts w:ascii="Calibri" w:eastAsia="Times New Roman" w:hAnsi="Calibri" w:cs="Times New Roman"/>
                <w:lang w:eastAsia="zh-CN"/>
              </w:rPr>
              <w:t>Publicação e Impressão</w:t>
            </w:r>
          </w:p>
        </w:tc>
        <w:tc>
          <w:tcPr>
            <w:tcW w:w="1018" w:type="dxa"/>
            <w:noWrap/>
            <w:hideMark/>
          </w:tcPr>
          <w:p w:rsidR="00B754D6" w:rsidRPr="00CF3673" w:rsidRDefault="00B754D6" w:rsidP="005C32CE">
            <w:pPr>
              <w:jc w:val="center"/>
              <w:rPr>
                <w:szCs w:val="20"/>
              </w:rPr>
            </w:pPr>
            <w:r w:rsidRPr="00CF3673">
              <w:rPr>
                <w:szCs w:val="20"/>
              </w:rPr>
              <w:t>5</w:t>
            </w:r>
          </w:p>
        </w:tc>
        <w:tc>
          <w:tcPr>
            <w:tcW w:w="1014" w:type="dxa"/>
            <w:noWrap/>
            <w:hideMark/>
          </w:tcPr>
          <w:p w:rsidR="00B754D6" w:rsidRPr="00CF3673" w:rsidRDefault="00B754D6" w:rsidP="005C32CE">
            <w:pPr>
              <w:jc w:val="center"/>
              <w:rPr>
                <w:szCs w:val="20"/>
              </w:rPr>
            </w:pPr>
          </w:p>
        </w:tc>
        <w:tc>
          <w:tcPr>
            <w:tcW w:w="636" w:type="dxa"/>
            <w:noWrap/>
            <w:hideMark/>
          </w:tcPr>
          <w:p w:rsidR="00B754D6" w:rsidRPr="00CF3673" w:rsidRDefault="00B754D6" w:rsidP="005C32CE">
            <w:pPr>
              <w:jc w:val="center"/>
              <w:rPr>
                <w:szCs w:val="20"/>
              </w:rPr>
            </w:pPr>
            <w:r w:rsidRPr="00CF3673">
              <w:rPr>
                <w:szCs w:val="20"/>
              </w:rPr>
              <w:t>12</w:t>
            </w:r>
          </w:p>
        </w:tc>
        <w:tc>
          <w:tcPr>
            <w:tcW w:w="953" w:type="dxa"/>
            <w:noWrap/>
            <w:hideMark/>
          </w:tcPr>
          <w:p w:rsidR="00B754D6" w:rsidRPr="00CF3673" w:rsidRDefault="00B754D6" w:rsidP="005C32CE">
            <w:pPr>
              <w:jc w:val="center"/>
              <w:rPr>
                <w:szCs w:val="20"/>
              </w:rPr>
            </w:pPr>
          </w:p>
        </w:tc>
        <w:tc>
          <w:tcPr>
            <w:tcW w:w="763" w:type="dxa"/>
            <w:noWrap/>
            <w:hideMark/>
          </w:tcPr>
          <w:p w:rsidR="00B754D6" w:rsidRPr="00CF3673" w:rsidRDefault="00B754D6" w:rsidP="005C32CE">
            <w:pPr>
              <w:jc w:val="center"/>
              <w:rPr>
                <w:szCs w:val="20"/>
              </w:rPr>
            </w:pPr>
          </w:p>
        </w:tc>
        <w:tc>
          <w:tcPr>
            <w:tcW w:w="891" w:type="dxa"/>
            <w:noWrap/>
            <w:hideMark/>
          </w:tcPr>
          <w:p w:rsidR="00B754D6" w:rsidRPr="00CF3673" w:rsidRDefault="00B754D6" w:rsidP="005C32CE">
            <w:pPr>
              <w:jc w:val="center"/>
              <w:rPr>
                <w:szCs w:val="20"/>
              </w:rPr>
            </w:pPr>
          </w:p>
        </w:tc>
        <w:tc>
          <w:tcPr>
            <w:tcW w:w="680" w:type="dxa"/>
            <w:noWrap/>
            <w:hideMark/>
          </w:tcPr>
          <w:p w:rsidR="00B754D6" w:rsidRPr="00CF3673" w:rsidRDefault="00B754D6" w:rsidP="005C32CE">
            <w:pPr>
              <w:jc w:val="center"/>
              <w:rPr>
                <w:szCs w:val="20"/>
              </w:rPr>
            </w:pPr>
          </w:p>
        </w:tc>
        <w:tc>
          <w:tcPr>
            <w:tcW w:w="713" w:type="dxa"/>
            <w:noWrap/>
            <w:hideMark/>
          </w:tcPr>
          <w:p w:rsidR="00B754D6" w:rsidRPr="00CF3673" w:rsidRDefault="00B754D6" w:rsidP="005C32CE">
            <w:pPr>
              <w:jc w:val="center"/>
              <w:rPr>
                <w:szCs w:val="20"/>
              </w:rPr>
            </w:pPr>
          </w:p>
        </w:tc>
        <w:tc>
          <w:tcPr>
            <w:tcW w:w="628" w:type="dxa"/>
            <w:noWrap/>
            <w:hideMark/>
          </w:tcPr>
          <w:p w:rsidR="00B754D6" w:rsidRPr="00CF3673" w:rsidRDefault="00B754D6" w:rsidP="005C32CE">
            <w:pPr>
              <w:jc w:val="center"/>
              <w:rPr>
                <w:szCs w:val="20"/>
              </w:rPr>
            </w:pPr>
            <w:r w:rsidRPr="00CF3673">
              <w:rPr>
                <w:szCs w:val="20"/>
              </w:rPr>
              <w:t>17</w:t>
            </w:r>
          </w:p>
        </w:tc>
      </w:tr>
      <w:tr w:rsidR="00B754D6" w:rsidRPr="00CF3673" w:rsidTr="005C32CE">
        <w:trPr>
          <w:trHeight w:val="300"/>
          <w:jc w:val="center"/>
        </w:trPr>
        <w:tc>
          <w:tcPr>
            <w:tcW w:w="2342" w:type="dxa"/>
            <w:noWrap/>
            <w:hideMark/>
          </w:tcPr>
          <w:p w:rsidR="00B754D6" w:rsidRPr="00CF3673" w:rsidRDefault="00B754D6" w:rsidP="002A2F9E">
            <w:pPr>
              <w:rPr>
                <w:rFonts w:ascii="Calibri" w:eastAsia="Times New Roman" w:hAnsi="Calibri" w:cs="Times New Roman"/>
                <w:lang w:eastAsia="zh-CN"/>
              </w:rPr>
            </w:pPr>
            <w:r w:rsidRPr="00CF3673">
              <w:rPr>
                <w:rFonts w:ascii="Calibri" w:eastAsia="Times New Roman" w:hAnsi="Calibri" w:cs="Times New Roman"/>
                <w:lang w:eastAsia="zh-CN"/>
              </w:rPr>
              <w:t xml:space="preserve">Químico, Borracha, </w:t>
            </w:r>
            <w:r w:rsidR="00B20E4D" w:rsidRPr="00CF3673">
              <w:rPr>
                <w:rFonts w:ascii="Calibri" w:eastAsia="Times New Roman" w:hAnsi="Calibri" w:cs="Times New Roman"/>
                <w:lang w:eastAsia="zh-CN"/>
              </w:rPr>
              <w:t>Plástico</w:t>
            </w:r>
          </w:p>
        </w:tc>
        <w:tc>
          <w:tcPr>
            <w:tcW w:w="1018" w:type="dxa"/>
            <w:noWrap/>
            <w:hideMark/>
          </w:tcPr>
          <w:p w:rsidR="00B754D6" w:rsidRPr="00CF3673" w:rsidRDefault="00B754D6" w:rsidP="005C32CE">
            <w:pPr>
              <w:jc w:val="center"/>
              <w:rPr>
                <w:szCs w:val="20"/>
              </w:rPr>
            </w:pPr>
            <w:r w:rsidRPr="00CF3673">
              <w:rPr>
                <w:szCs w:val="20"/>
              </w:rPr>
              <w:t>6</w:t>
            </w:r>
          </w:p>
        </w:tc>
        <w:tc>
          <w:tcPr>
            <w:tcW w:w="1014" w:type="dxa"/>
            <w:noWrap/>
            <w:hideMark/>
          </w:tcPr>
          <w:p w:rsidR="00B754D6" w:rsidRPr="00CF3673" w:rsidRDefault="00B754D6" w:rsidP="005C32CE">
            <w:pPr>
              <w:jc w:val="center"/>
              <w:rPr>
                <w:szCs w:val="20"/>
              </w:rPr>
            </w:pPr>
            <w:r w:rsidRPr="00CF3673">
              <w:rPr>
                <w:szCs w:val="20"/>
              </w:rPr>
              <w:t>2</w:t>
            </w:r>
          </w:p>
        </w:tc>
        <w:tc>
          <w:tcPr>
            <w:tcW w:w="636" w:type="dxa"/>
            <w:noWrap/>
            <w:hideMark/>
          </w:tcPr>
          <w:p w:rsidR="00B754D6" w:rsidRPr="00CF3673" w:rsidRDefault="00B754D6" w:rsidP="005C32CE">
            <w:pPr>
              <w:jc w:val="center"/>
              <w:rPr>
                <w:szCs w:val="20"/>
              </w:rPr>
            </w:pPr>
            <w:r w:rsidRPr="00CF3673">
              <w:rPr>
                <w:szCs w:val="20"/>
              </w:rPr>
              <w:t>2</w:t>
            </w:r>
          </w:p>
        </w:tc>
        <w:tc>
          <w:tcPr>
            <w:tcW w:w="953" w:type="dxa"/>
            <w:noWrap/>
            <w:hideMark/>
          </w:tcPr>
          <w:p w:rsidR="00B754D6" w:rsidRPr="00CF3673" w:rsidRDefault="00B754D6" w:rsidP="005C32CE">
            <w:pPr>
              <w:jc w:val="center"/>
              <w:rPr>
                <w:szCs w:val="20"/>
              </w:rPr>
            </w:pPr>
          </w:p>
        </w:tc>
        <w:tc>
          <w:tcPr>
            <w:tcW w:w="763" w:type="dxa"/>
            <w:noWrap/>
            <w:hideMark/>
          </w:tcPr>
          <w:p w:rsidR="00B754D6" w:rsidRPr="00CF3673" w:rsidRDefault="00B754D6" w:rsidP="005C32CE">
            <w:pPr>
              <w:jc w:val="center"/>
              <w:rPr>
                <w:szCs w:val="20"/>
              </w:rPr>
            </w:pPr>
          </w:p>
        </w:tc>
        <w:tc>
          <w:tcPr>
            <w:tcW w:w="891" w:type="dxa"/>
            <w:noWrap/>
            <w:hideMark/>
          </w:tcPr>
          <w:p w:rsidR="00B754D6" w:rsidRPr="00CF3673" w:rsidRDefault="00B754D6" w:rsidP="005C32CE">
            <w:pPr>
              <w:jc w:val="center"/>
              <w:rPr>
                <w:szCs w:val="20"/>
              </w:rPr>
            </w:pPr>
          </w:p>
        </w:tc>
        <w:tc>
          <w:tcPr>
            <w:tcW w:w="680" w:type="dxa"/>
            <w:noWrap/>
            <w:hideMark/>
          </w:tcPr>
          <w:p w:rsidR="00B754D6" w:rsidRPr="00CF3673" w:rsidRDefault="00B754D6" w:rsidP="005C32CE">
            <w:pPr>
              <w:jc w:val="center"/>
              <w:rPr>
                <w:szCs w:val="20"/>
              </w:rPr>
            </w:pPr>
          </w:p>
        </w:tc>
        <w:tc>
          <w:tcPr>
            <w:tcW w:w="713" w:type="dxa"/>
            <w:noWrap/>
            <w:hideMark/>
          </w:tcPr>
          <w:p w:rsidR="00B754D6" w:rsidRPr="00CF3673" w:rsidRDefault="00B754D6" w:rsidP="005C32CE">
            <w:pPr>
              <w:jc w:val="center"/>
              <w:rPr>
                <w:szCs w:val="20"/>
              </w:rPr>
            </w:pPr>
          </w:p>
        </w:tc>
        <w:tc>
          <w:tcPr>
            <w:tcW w:w="628" w:type="dxa"/>
            <w:noWrap/>
            <w:hideMark/>
          </w:tcPr>
          <w:p w:rsidR="00B754D6" w:rsidRPr="00CF3673" w:rsidRDefault="00B754D6" w:rsidP="005C32CE">
            <w:pPr>
              <w:jc w:val="center"/>
              <w:rPr>
                <w:szCs w:val="20"/>
              </w:rPr>
            </w:pPr>
            <w:r w:rsidRPr="00CF3673">
              <w:rPr>
                <w:szCs w:val="20"/>
              </w:rPr>
              <w:t>10</w:t>
            </w:r>
          </w:p>
        </w:tc>
      </w:tr>
      <w:tr w:rsidR="00B754D6" w:rsidRPr="00CF3673" w:rsidTr="005C32CE">
        <w:trPr>
          <w:trHeight w:val="300"/>
          <w:jc w:val="center"/>
        </w:trPr>
        <w:tc>
          <w:tcPr>
            <w:tcW w:w="2342" w:type="dxa"/>
            <w:noWrap/>
            <w:hideMark/>
          </w:tcPr>
          <w:p w:rsidR="00B754D6" w:rsidRPr="00CF3673" w:rsidRDefault="00B754D6" w:rsidP="002A2F9E">
            <w:pPr>
              <w:rPr>
                <w:rFonts w:ascii="Calibri" w:eastAsia="Times New Roman" w:hAnsi="Calibri" w:cs="Times New Roman"/>
                <w:lang w:eastAsia="zh-CN"/>
              </w:rPr>
            </w:pPr>
            <w:r w:rsidRPr="00CF3673">
              <w:rPr>
                <w:rFonts w:ascii="Calibri" w:eastAsia="Times New Roman" w:hAnsi="Calibri" w:cs="Times New Roman"/>
                <w:lang w:eastAsia="zh-CN"/>
              </w:rPr>
              <w:t>Minerais não-metálicos</w:t>
            </w:r>
          </w:p>
        </w:tc>
        <w:tc>
          <w:tcPr>
            <w:tcW w:w="1018" w:type="dxa"/>
            <w:noWrap/>
            <w:hideMark/>
          </w:tcPr>
          <w:p w:rsidR="00B754D6" w:rsidRPr="00CF3673" w:rsidRDefault="00B754D6" w:rsidP="005C32CE">
            <w:pPr>
              <w:jc w:val="center"/>
              <w:rPr>
                <w:szCs w:val="20"/>
              </w:rPr>
            </w:pPr>
            <w:r w:rsidRPr="00CF3673">
              <w:rPr>
                <w:szCs w:val="20"/>
              </w:rPr>
              <w:t>24</w:t>
            </w:r>
          </w:p>
        </w:tc>
        <w:tc>
          <w:tcPr>
            <w:tcW w:w="1014" w:type="dxa"/>
            <w:noWrap/>
            <w:hideMark/>
          </w:tcPr>
          <w:p w:rsidR="00B754D6" w:rsidRPr="00CF3673" w:rsidRDefault="00B754D6" w:rsidP="005C32CE">
            <w:pPr>
              <w:jc w:val="center"/>
              <w:rPr>
                <w:szCs w:val="20"/>
              </w:rPr>
            </w:pPr>
            <w:r w:rsidRPr="00CF3673">
              <w:rPr>
                <w:szCs w:val="20"/>
              </w:rPr>
              <w:t>13</w:t>
            </w:r>
          </w:p>
        </w:tc>
        <w:tc>
          <w:tcPr>
            <w:tcW w:w="636" w:type="dxa"/>
            <w:noWrap/>
            <w:hideMark/>
          </w:tcPr>
          <w:p w:rsidR="00B754D6" w:rsidRPr="00CF3673" w:rsidRDefault="00B754D6" w:rsidP="005C32CE">
            <w:pPr>
              <w:jc w:val="center"/>
              <w:rPr>
                <w:szCs w:val="20"/>
              </w:rPr>
            </w:pPr>
            <w:r w:rsidRPr="00CF3673">
              <w:rPr>
                <w:szCs w:val="20"/>
              </w:rPr>
              <w:t>10</w:t>
            </w:r>
          </w:p>
        </w:tc>
        <w:tc>
          <w:tcPr>
            <w:tcW w:w="953" w:type="dxa"/>
            <w:noWrap/>
            <w:hideMark/>
          </w:tcPr>
          <w:p w:rsidR="00B754D6" w:rsidRPr="00CF3673" w:rsidRDefault="00B754D6" w:rsidP="005C32CE">
            <w:pPr>
              <w:jc w:val="center"/>
              <w:rPr>
                <w:szCs w:val="20"/>
              </w:rPr>
            </w:pPr>
            <w:r w:rsidRPr="00CF3673">
              <w:rPr>
                <w:szCs w:val="20"/>
              </w:rPr>
              <w:t>2</w:t>
            </w:r>
          </w:p>
        </w:tc>
        <w:tc>
          <w:tcPr>
            <w:tcW w:w="763" w:type="dxa"/>
            <w:noWrap/>
            <w:hideMark/>
          </w:tcPr>
          <w:p w:rsidR="00B754D6" w:rsidRPr="00CF3673" w:rsidRDefault="00B754D6" w:rsidP="005C32CE">
            <w:pPr>
              <w:jc w:val="center"/>
              <w:rPr>
                <w:szCs w:val="20"/>
              </w:rPr>
            </w:pPr>
            <w:r w:rsidRPr="00CF3673">
              <w:rPr>
                <w:szCs w:val="20"/>
              </w:rPr>
              <w:t>3</w:t>
            </w:r>
          </w:p>
        </w:tc>
        <w:tc>
          <w:tcPr>
            <w:tcW w:w="891" w:type="dxa"/>
            <w:noWrap/>
            <w:hideMark/>
          </w:tcPr>
          <w:p w:rsidR="00B754D6" w:rsidRPr="00CF3673" w:rsidRDefault="00B754D6" w:rsidP="005C32CE">
            <w:pPr>
              <w:jc w:val="center"/>
              <w:rPr>
                <w:szCs w:val="20"/>
              </w:rPr>
            </w:pPr>
            <w:r w:rsidRPr="00CF3673">
              <w:rPr>
                <w:szCs w:val="20"/>
              </w:rPr>
              <w:t>4</w:t>
            </w:r>
          </w:p>
        </w:tc>
        <w:tc>
          <w:tcPr>
            <w:tcW w:w="680" w:type="dxa"/>
            <w:noWrap/>
            <w:hideMark/>
          </w:tcPr>
          <w:p w:rsidR="00B754D6" w:rsidRPr="00CF3673" w:rsidRDefault="00B754D6" w:rsidP="005C32CE">
            <w:pPr>
              <w:jc w:val="center"/>
              <w:rPr>
                <w:szCs w:val="20"/>
              </w:rPr>
            </w:pPr>
            <w:r w:rsidRPr="00CF3673">
              <w:rPr>
                <w:szCs w:val="20"/>
              </w:rPr>
              <w:t>1</w:t>
            </w:r>
          </w:p>
        </w:tc>
        <w:tc>
          <w:tcPr>
            <w:tcW w:w="713" w:type="dxa"/>
            <w:noWrap/>
            <w:hideMark/>
          </w:tcPr>
          <w:p w:rsidR="00B754D6" w:rsidRPr="00CF3673" w:rsidRDefault="00B754D6" w:rsidP="005C32CE">
            <w:pPr>
              <w:jc w:val="center"/>
              <w:rPr>
                <w:szCs w:val="20"/>
              </w:rPr>
            </w:pPr>
            <w:r w:rsidRPr="00CF3673">
              <w:rPr>
                <w:szCs w:val="20"/>
              </w:rPr>
              <w:t>7</w:t>
            </w:r>
          </w:p>
        </w:tc>
        <w:tc>
          <w:tcPr>
            <w:tcW w:w="628" w:type="dxa"/>
            <w:noWrap/>
            <w:hideMark/>
          </w:tcPr>
          <w:p w:rsidR="00B754D6" w:rsidRPr="00CF3673" w:rsidRDefault="00B754D6" w:rsidP="005C32CE">
            <w:pPr>
              <w:jc w:val="center"/>
              <w:rPr>
                <w:szCs w:val="20"/>
              </w:rPr>
            </w:pPr>
            <w:r w:rsidRPr="00CF3673">
              <w:rPr>
                <w:szCs w:val="20"/>
              </w:rPr>
              <w:t>64</w:t>
            </w:r>
          </w:p>
        </w:tc>
      </w:tr>
      <w:tr w:rsidR="00B754D6" w:rsidRPr="00CF3673" w:rsidTr="005C32CE">
        <w:trPr>
          <w:trHeight w:val="300"/>
          <w:jc w:val="center"/>
        </w:trPr>
        <w:tc>
          <w:tcPr>
            <w:tcW w:w="2342" w:type="dxa"/>
            <w:noWrap/>
            <w:hideMark/>
          </w:tcPr>
          <w:p w:rsidR="00B754D6" w:rsidRPr="00CF3673" w:rsidRDefault="00B754D6" w:rsidP="002A2F9E">
            <w:pPr>
              <w:rPr>
                <w:rFonts w:ascii="Calibri" w:eastAsia="Times New Roman" w:hAnsi="Calibri" w:cs="Times New Roman"/>
                <w:lang w:eastAsia="zh-CN"/>
              </w:rPr>
            </w:pPr>
            <w:r w:rsidRPr="00CF3673">
              <w:rPr>
                <w:rFonts w:ascii="Calibri" w:eastAsia="Times New Roman" w:hAnsi="Calibri" w:cs="Times New Roman"/>
                <w:lang w:eastAsia="zh-CN"/>
              </w:rPr>
              <w:t>Produtos metálicos fabricados</w:t>
            </w:r>
          </w:p>
        </w:tc>
        <w:tc>
          <w:tcPr>
            <w:tcW w:w="1018" w:type="dxa"/>
            <w:noWrap/>
            <w:hideMark/>
          </w:tcPr>
          <w:p w:rsidR="00B754D6" w:rsidRPr="00CF3673" w:rsidRDefault="00B754D6" w:rsidP="005C32CE">
            <w:pPr>
              <w:jc w:val="center"/>
              <w:rPr>
                <w:szCs w:val="20"/>
              </w:rPr>
            </w:pPr>
            <w:r w:rsidRPr="00CF3673">
              <w:rPr>
                <w:szCs w:val="20"/>
              </w:rPr>
              <w:t>63</w:t>
            </w:r>
          </w:p>
        </w:tc>
        <w:tc>
          <w:tcPr>
            <w:tcW w:w="1014" w:type="dxa"/>
            <w:noWrap/>
            <w:hideMark/>
          </w:tcPr>
          <w:p w:rsidR="00B754D6" w:rsidRPr="00CF3673" w:rsidRDefault="00B754D6" w:rsidP="005C32CE">
            <w:pPr>
              <w:jc w:val="center"/>
              <w:rPr>
                <w:szCs w:val="20"/>
              </w:rPr>
            </w:pPr>
            <w:r w:rsidRPr="00CF3673">
              <w:rPr>
                <w:szCs w:val="20"/>
              </w:rPr>
              <w:t>17</w:t>
            </w:r>
          </w:p>
        </w:tc>
        <w:tc>
          <w:tcPr>
            <w:tcW w:w="636" w:type="dxa"/>
            <w:noWrap/>
            <w:hideMark/>
          </w:tcPr>
          <w:p w:rsidR="00B754D6" w:rsidRPr="00CF3673" w:rsidRDefault="00B754D6" w:rsidP="005C32CE">
            <w:pPr>
              <w:jc w:val="center"/>
              <w:rPr>
                <w:szCs w:val="20"/>
              </w:rPr>
            </w:pPr>
            <w:r w:rsidRPr="00CF3673">
              <w:rPr>
                <w:szCs w:val="20"/>
              </w:rPr>
              <w:t>24</w:t>
            </w:r>
          </w:p>
        </w:tc>
        <w:tc>
          <w:tcPr>
            <w:tcW w:w="953" w:type="dxa"/>
            <w:noWrap/>
            <w:hideMark/>
          </w:tcPr>
          <w:p w:rsidR="00B754D6" w:rsidRPr="00CF3673" w:rsidRDefault="00B754D6" w:rsidP="005C32CE">
            <w:pPr>
              <w:jc w:val="center"/>
              <w:rPr>
                <w:szCs w:val="20"/>
              </w:rPr>
            </w:pPr>
            <w:r w:rsidRPr="00CF3673">
              <w:rPr>
                <w:szCs w:val="20"/>
              </w:rPr>
              <w:t>6</w:t>
            </w:r>
          </w:p>
        </w:tc>
        <w:tc>
          <w:tcPr>
            <w:tcW w:w="763" w:type="dxa"/>
            <w:noWrap/>
            <w:hideMark/>
          </w:tcPr>
          <w:p w:rsidR="00B754D6" w:rsidRPr="00CF3673" w:rsidRDefault="00B754D6" w:rsidP="005C32CE">
            <w:pPr>
              <w:jc w:val="center"/>
              <w:rPr>
                <w:szCs w:val="20"/>
              </w:rPr>
            </w:pPr>
            <w:r w:rsidRPr="00CF3673">
              <w:rPr>
                <w:szCs w:val="20"/>
              </w:rPr>
              <w:t>2</w:t>
            </w:r>
          </w:p>
        </w:tc>
        <w:tc>
          <w:tcPr>
            <w:tcW w:w="891" w:type="dxa"/>
            <w:noWrap/>
            <w:hideMark/>
          </w:tcPr>
          <w:p w:rsidR="00B754D6" w:rsidRPr="00CF3673" w:rsidRDefault="00B754D6" w:rsidP="005C32CE">
            <w:pPr>
              <w:jc w:val="center"/>
              <w:rPr>
                <w:szCs w:val="20"/>
              </w:rPr>
            </w:pPr>
            <w:r w:rsidRPr="00CF3673">
              <w:rPr>
                <w:szCs w:val="20"/>
              </w:rPr>
              <w:t>20</w:t>
            </w:r>
          </w:p>
        </w:tc>
        <w:tc>
          <w:tcPr>
            <w:tcW w:w="680" w:type="dxa"/>
            <w:noWrap/>
            <w:hideMark/>
          </w:tcPr>
          <w:p w:rsidR="00B754D6" w:rsidRPr="00CF3673" w:rsidRDefault="00B754D6" w:rsidP="005C32CE">
            <w:pPr>
              <w:jc w:val="center"/>
              <w:rPr>
                <w:szCs w:val="20"/>
              </w:rPr>
            </w:pPr>
            <w:r w:rsidRPr="00CF3673">
              <w:rPr>
                <w:szCs w:val="20"/>
              </w:rPr>
              <w:t>18</w:t>
            </w:r>
          </w:p>
        </w:tc>
        <w:tc>
          <w:tcPr>
            <w:tcW w:w="713" w:type="dxa"/>
            <w:noWrap/>
            <w:hideMark/>
          </w:tcPr>
          <w:p w:rsidR="00B754D6" w:rsidRPr="00CF3673" w:rsidRDefault="00B754D6" w:rsidP="005C32CE">
            <w:pPr>
              <w:jc w:val="center"/>
              <w:rPr>
                <w:szCs w:val="20"/>
              </w:rPr>
            </w:pPr>
            <w:r w:rsidRPr="00CF3673">
              <w:rPr>
                <w:szCs w:val="20"/>
              </w:rPr>
              <w:t>13</w:t>
            </w:r>
          </w:p>
        </w:tc>
        <w:tc>
          <w:tcPr>
            <w:tcW w:w="628" w:type="dxa"/>
            <w:noWrap/>
            <w:hideMark/>
          </w:tcPr>
          <w:p w:rsidR="00B754D6" w:rsidRPr="00CF3673" w:rsidRDefault="00B754D6" w:rsidP="005C32CE">
            <w:pPr>
              <w:jc w:val="center"/>
              <w:rPr>
                <w:szCs w:val="20"/>
              </w:rPr>
            </w:pPr>
            <w:r w:rsidRPr="00CF3673">
              <w:rPr>
                <w:szCs w:val="20"/>
              </w:rPr>
              <w:t>163</w:t>
            </w:r>
          </w:p>
        </w:tc>
      </w:tr>
      <w:tr w:rsidR="00B754D6" w:rsidRPr="00CF3673" w:rsidTr="005C32CE">
        <w:trPr>
          <w:trHeight w:val="300"/>
          <w:jc w:val="center"/>
        </w:trPr>
        <w:tc>
          <w:tcPr>
            <w:tcW w:w="2342" w:type="dxa"/>
            <w:tcBorders>
              <w:bottom w:val="nil"/>
            </w:tcBorders>
            <w:noWrap/>
            <w:hideMark/>
          </w:tcPr>
          <w:p w:rsidR="00B754D6" w:rsidRPr="00CF3673" w:rsidRDefault="00B754D6" w:rsidP="002A2F9E">
            <w:pPr>
              <w:rPr>
                <w:rFonts w:ascii="Calibri" w:eastAsia="Times New Roman" w:hAnsi="Calibri" w:cs="Times New Roman"/>
                <w:lang w:eastAsia="zh-CN"/>
              </w:rPr>
            </w:pPr>
            <w:r w:rsidRPr="00CF3673">
              <w:rPr>
                <w:rFonts w:ascii="Calibri" w:eastAsia="Times New Roman" w:hAnsi="Calibri" w:cs="Times New Roman"/>
                <w:lang w:eastAsia="zh-CN"/>
              </w:rPr>
              <w:t>Maquinaria etc.</w:t>
            </w:r>
          </w:p>
        </w:tc>
        <w:tc>
          <w:tcPr>
            <w:tcW w:w="1018" w:type="dxa"/>
            <w:tcBorders>
              <w:bottom w:val="nil"/>
            </w:tcBorders>
            <w:noWrap/>
            <w:hideMark/>
          </w:tcPr>
          <w:p w:rsidR="00B754D6" w:rsidRPr="00CF3673" w:rsidRDefault="00B754D6" w:rsidP="005C32CE">
            <w:pPr>
              <w:jc w:val="center"/>
              <w:rPr>
                <w:szCs w:val="20"/>
              </w:rPr>
            </w:pPr>
            <w:r w:rsidRPr="00CF3673">
              <w:rPr>
                <w:szCs w:val="20"/>
              </w:rPr>
              <w:t>9</w:t>
            </w:r>
          </w:p>
        </w:tc>
        <w:tc>
          <w:tcPr>
            <w:tcW w:w="1014" w:type="dxa"/>
            <w:tcBorders>
              <w:bottom w:val="nil"/>
            </w:tcBorders>
            <w:noWrap/>
            <w:hideMark/>
          </w:tcPr>
          <w:p w:rsidR="00B754D6" w:rsidRPr="00CF3673" w:rsidRDefault="00B754D6" w:rsidP="005C32CE">
            <w:pPr>
              <w:jc w:val="center"/>
              <w:rPr>
                <w:szCs w:val="20"/>
              </w:rPr>
            </w:pPr>
            <w:r w:rsidRPr="00CF3673">
              <w:rPr>
                <w:szCs w:val="20"/>
              </w:rPr>
              <w:t>3</w:t>
            </w:r>
          </w:p>
        </w:tc>
        <w:tc>
          <w:tcPr>
            <w:tcW w:w="636" w:type="dxa"/>
            <w:tcBorders>
              <w:bottom w:val="nil"/>
            </w:tcBorders>
            <w:noWrap/>
            <w:hideMark/>
          </w:tcPr>
          <w:p w:rsidR="00B754D6" w:rsidRPr="00CF3673" w:rsidRDefault="00B754D6" w:rsidP="005C32CE">
            <w:pPr>
              <w:jc w:val="center"/>
              <w:rPr>
                <w:szCs w:val="20"/>
              </w:rPr>
            </w:pPr>
            <w:r w:rsidRPr="00CF3673">
              <w:rPr>
                <w:szCs w:val="20"/>
              </w:rPr>
              <w:t>1</w:t>
            </w:r>
          </w:p>
        </w:tc>
        <w:tc>
          <w:tcPr>
            <w:tcW w:w="953" w:type="dxa"/>
            <w:tcBorders>
              <w:bottom w:val="nil"/>
            </w:tcBorders>
            <w:noWrap/>
            <w:hideMark/>
          </w:tcPr>
          <w:p w:rsidR="00B754D6" w:rsidRPr="00CF3673" w:rsidRDefault="00B754D6" w:rsidP="005C32CE">
            <w:pPr>
              <w:jc w:val="center"/>
              <w:rPr>
                <w:szCs w:val="20"/>
              </w:rPr>
            </w:pPr>
            <w:r w:rsidRPr="00CF3673">
              <w:rPr>
                <w:szCs w:val="20"/>
              </w:rPr>
              <w:t>1</w:t>
            </w:r>
          </w:p>
        </w:tc>
        <w:tc>
          <w:tcPr>
            <w:tcW w:w="763" w:type="dxa"/>
            <w:tcBorders>
              <w:bottom w:val="nil"/>
            </w:tcBorders>
            <w:noWrap/>
            <w:hideMark/>
          </w:tcPr>
          <w:p w:rsidR="00B754D6" w:rsidRPr="00CF3673" w:rsidRDefault="00B754D6" w:rsidP="005C32CE">
            <w:pPr>
              <w:jc w:val="center"/>
              <w:rPr>
                <w:szCs w:val="20"/>
              </w:rPr>
            </w:pPr>
          </w:p>
        </w:tc>
        <w:tc>
          <w:tcPr>
            <w:tcW w:w="891" w:type="dxa"/>
            <w:tcBorders>
              <w:bottom w:val="nil"/>
            </w:tcBorders>
            <w:noWrap/>
            <w:hideMark/>
          </w:tcPr>
          <w:p w:rsidR="00B754D6" w:rsidRPr="00CF3673" w:rsidRDefault="00B754D6" w:rsidP="005C32CE">
            <w:pPr>
              <w:jc w:val="center"/>
              <w:rPr>
                <w:szCs w:val="20"/>
              </w:rPr>
            </w:pPr>
          </w:p>
        </w:tc>
        <w:tc>
          <w:tcPr>
            <w:tcW w:w="680" w:type="dxa"/>
            <w:tcBorders>
              <w:bottom w:val="nil"/>
            </w:tcBorders>
            <w:noWrap/>
            <w:hideMark/>
          </w:tcPr>
          <w:p w:rsidR="00B754D6" w:rsidRPr="00CF3673" w:rsidRDefault="00B754D6" w:rsidP="005C32CE">
            <w:pPr>
              <w:jc w:val="center"/>
              <w:rPr>
                <w:szCs w:val="20"/>
              </w:rPr>
            </w:pPr>
          </w:p>
        </w:tc>
        <w:tc>
          <w:tcPr>
            <w:tcW w:w="713" w:type="dxa"/>
            <w:tcBorders>
              <w:bottom w:val="nil"/>
            </w:tcBorders>
            <w:noWrap/>
            <w:hideMark/>
          </w:tcPr>
          <w:p w:rsidR="00B754D6" w:rsidRPr="00CF3673" w:rsidRDefault="00B754D6" w:rsidP="005C32CE">
            <w:pPr>
              <w:jc w:val="center"/>
              <w:rPr>
                <w:szCs w:val="20"/>
              </w:rPr>
            </w:pPr>
          </w:p>
        </w:tc>
        <w:tc>
          <w:tcPr>
            <w:tcW w:w="628" w:type="dxa"/>
            <w:tcBorders>
              <w:bottom w:val="nil"/>
            </w:tcBorders>
            <w:noWrap/>
            <w:hideMark/>
          </w:tcPr>
          <w:p w:rsidR="00B754D6" w:rsidRPr="00CF3673" w:rsidRDefault="00B754D6" w:rsidP="005C32CE">
            <w:pPr>
              <w:jc w:val="center"/>
              <w:rPr>
                <w:szCs w:val="20"/>
              </w:rPr>
            </w:pPr>
            <w:r w:rsidRPr="00CF3673">
              <w:rPr>
                <w:szCs w:val="20"/>
              </w:rPr>
              <w:t>14</w:t>
            </w:r>
          </w:p>
        </w:tc>
      </w:tr>
      <w:tr w:rsidR="00B754D6" w:rsidRPr="00CF3673" w:rsidTr="005C32CE">
        <w:trPr>
          <w:trHeight w:val="300"/>
          <w:jc w:val="center"/>
        </w:trPr>
        <w:tc>
          <w:tcPr>
            <w:tcW w:w="2342" w:type="dxa"/>
            <w:tcBorders>
              <w:top w:val="nil"/>
              <w:bottom w:val="single" w:sz="4" w:space="0" w:color="auto"/>
            </w:tcBorders>
            <w:noWrap/>
            <w:hideMark/>
          </w:tcPr>
          <w:p w:rsidR="00B754D6" w:rsidRPr="00CF3673" w:rsidRDefault="00B20E4D" w:rsidP="002A2F9E">
            <w:pPr>
              <w:rPr>
                <w:rFonts w:ascii="Calibri" w:eastAsia="Times New Roman" w:hAnsi="Calibri" w:cs="Times New Roman"/>
                <w:lang w:eastAsia="zh-CN"/>
              </w:rPr>
            </w:pPr>
            <w:r w:rsidRPr="00CF3673">
              <w:rPr>
                <w:rFonts w:ascii="Calibri" w:eastAsia="Times New Roman" w:hAnsi="Calibri" w:cs="Times New Roman"/>
                <w:lang w:eastAsia="zh-CN"/>
              </w:rPr>
              <w:lastRenderedPageBreak/>
              <w:t>Mobília</w:t>
            </w:r>
            <w:r w:rsidR="00736B90" w:rsidRPr="00CF3673">
              <w:rPr>
                <w:rFonts w:ascii="Calibri" w:eastAsia="Times New Roman" w:hAnsi="Calibri" w:cs="Times New Roman"/>
                <w:lang w:eastAsia="zh-CN"/>
              </w:rPr>
              <w:t xml:space="preserve"> &amp; manufactura</w:t>
            </w:r>
          </w:p>
        </w:tc>
        <w:tc>
          <w:tcPr>
            <w:tcW w:w="1018" w:type="dxa"/>
            <w:tcBorders>
              <w:top w:val="nil"/>
              <w:bottom w:val="single" w:sz="4" w:space="0" w:color="auto"/>
            </w:tcBorders>
            <w:noWrap/>
            <w:hideMark/>
          </w:tcPr>
          <w:p w:rsidR="00B754D6" w:rsidRPr="00CF3673" w:rsidRDefault="00B754D6" w:rsidP="005C32CE">
            <w:pPr>
              <w:jc w:val="center"/>
              <w:rPr>
                <w:szCs w:val="20"/>
              </w:rPr>
            </w:pPr>
            <w:r w:rsidRPr="00CF3673">
              <w:rPr>
                <w:szCs w:val="20"/>
              </w:rPr>
              <w:t>54</w:t>
            </w:r>
          </w:p>
        </w:tc>
        <w:tc>
          <w:tcPr>
            <w:tcW w:w="1014" w:type="dxa"/>
            <w:tcBorders>
              <w:top w:val="nil"/>
              <w:bottom w:val="single" w:sz="4" w:space="0" w:color="auto"/>
            </w:tcBorders>
            <w:noWrap/>
            <w:hideMark/>
          </w:tcPr>
          <w:p w:rsidR="00B754D6" w:rsidRPr="00CF3673" w:rsidRDefault="00B754D6" w:rsidP="005C32CE">
            <w:pPr>
              <w:jc w:val="center"/>
              <w:rPr>
                <w:szCs w:val="20"/>
              </w:rPr>
            </w:pPr>
            <w:r w:rsidRPr="00CF3673">
              <w:rPr>
                <w:szCs w:val="20"/>
              </w:rPr>
              <w:t>6</w:t>
            </w:r>
          </w:p>
        </w:tc>
        <w:tc>
          <w:tcPr>
            <w:tcW w:w="636" w:type="dxa"/>
            <w:tcBorders>
              <w:top w:val="nil"/>
              <w:bottom w:val="single" w:sz="4" w:space="0" w:color="auto"/>
            </w:tcBorders>
            <w:noWrap/>
            <w:hideMark/>
          </w:tcPr>
          <w:p w:rsidR="00B754D6" w:rsidRPr="00CF3673" w:rsidRDefault="00B754D6" w:rsidP="005C32CE">
            <w:pPr>
              <w:jc w:val="center"/>
              <w:rPr>
                <w:szCs w:val="20"/>
              </w:rPr>
            </w:pPr>
            <w:r w:rsidRPr="00CF3673">
              <w:rPr>
                <w:szCs w:val="20"/>
              </w:rPr>
              <w:t>36</w:t>
            </w:r>
          </w:p>
        </w:tc>
        <w:tc>
          <w:tcPr>
            <w:tcW w:w="953" w:type="dxa"/>
            <w:tcBorders>
              <w:top w:val="nil"/>
              <w:bottom w:val="single" w:sz="4" w:space="0" w:color="auto"/>
            </w:tcBorders>
            <w:noWrap/>
            <w:hideMark/>
          </w:tcPr>
          <w:p w:rsidR="00B754D6" w:rsidRPr="00CF3673" w:rsidRDefault="00B754D6" w:rsidP="005C32CE">
            <w:pPr>
              <w:jc w:val="center"/>
              <w:rPr>
                <w:szCs w:val="20"/>
              </w:rPr>
            </w:pPr>
            <w:r w:rsidRPr="00CF3673">
              <w:rPr>
                <w:szCs w:val="20"/>
              </w:rPr>
              <w:t>6</w:t>
            </w:r>
          </w:p>
        </w:tc>
        <w:tc>
          <w:tcPr>
            <w:tcW w:w="763" w:type="dxa"/>
            <w:tcBorders>
              <w:top w:val="nil"/>
              <w:bottom w:val="single" w:sz="4" w:space="0" w:color="auto"/>
            </w:tcBorders>
            <w:noWrap/>
            <w:hideMark/>
          </w:tcPr>
          <w:p w:rsidR="00B754D6" w:rsidRPr="00CF3673" w:rsidRDefault="00B754D6" w:rsidP="005C32CE">
            <w:pPr>
              <w:jc w:val="center"/>
              <w:rPr>
                <w:szCs w:val="20"/>
              </w:rPr>
            </w:pPr>
            <w:r w:rsidRPr="00CF3673">
              <w:rPr>
                <w:szCs w:val="20"/>
              </w:rPr>
              <w:t>2</w:t>
            </w:r>
          </w:p>
        </w:tc>
        <w:tc>
          <w:tcPr>
            <w:tcW w:w="891" w:type="dxa"/>
            <w:tcBorders>
              <w:top w:val="nil"/>
              <w:bottom w:val="single" w:sz="4" w:space="0" w:color="auto"/>
            </w:tcBorders>
            <w:noWrap/>
            <w:hideMark/>
          </w:tcPr>
          <w:p w:rsidR="00B754D6" w:rsidRPr="00CF3673" w:rsidRDefault="00B754D6" w:rsidP="005C32CE">
            <w:pPr>
              <w:jc w:val="center"/>
              <w:rPr>
                <w:szCs w:val="20"/>
              </w:rPr>
            </w:pPr>
            <w:r w:rsidRPr="00CF3673">
              <w:rPr>
                <w:szCs w:val="20"/>
              </w:rPr>
              <w:t>21</w:t>
            </w:r>
          </w:p>
        </w:tc>
        <w:tc>
          <w:tcPr>
            <w:tcW w:w="680" w:type="dxa"/>
            <w:tcBorders>
              <w:top w:val="nil"/>
              <w:bottom w:val="single" w:sz="4" w:space="0" w:color="auto"/>
            </w:tcBorders>
            <w:noWrap/>
            <w:hideMark/>
          </w:tcPr>
          <w:p w:rsidR="00B754D6" w:rsidRPr="00CF3673" w:rsidRDefault="00B754D6" w:rsidP="005C32CE">
            <w:pPr>
              <w:jc w:val="center"/>
              <w:rPr>
                <w:szCs w:val="20"/>
              </w:rPr>
            </w:pPr>
            <w:r w:rsidRPr="00CF3673">
              <w:rPr>
                <w:szCs w:val="20"/>
              </w:rPr>
              <w:t>13</w:t>
            </w:r>
          </w:p>
        </w:tc>
        <w:tc>
          <w:tcPr>
            <w:tcW w:w="713" w:type="dxa"/>
            <w:tcBorders>
              <w:top w:val="nil"/>
              <w:bottom w:val="single" w:sz="4" w:space="0" w:color="auto"/>
            </w:tcBorders>
            <w:noWrap/>
            <w:hideMark/>
          </w:tcPr>
          <w:p w:rsidR="00B754D6" w:rsidRPr="00CF3673" w:rsidRDefault="00B754D6" w:rsidP="005C32CE">
            <w:pPr>
              <w:jc w:val="center"/>
              <w:rPr>
                <w:szCs w:val="20"/>
              </w:rPr>
            </w:pPr>
            <w:r w:rsidRPr="00CF3673">
              <w:rPr>
                <w:szCs w:val="20"/>
              </w:rPr>
              <w:t>27</w:t>
            </w:r>
          </w:p>
        </w:tc>
        <w:tc>
          <w:tcPr>
            <w:tcW w:w="628" w:type="dxa"/>
            <w:tcBorders>
              <w:top w:val="nil"/>
              <w:bottom w:val="single" w:sz="4" w:space="0" w:color="auto"/>
            </w:tcBorders>
            <w:noWrap/>
            <w:hideMark/>
          </w:tcPr>
          <w:p w:rsidR="00B754D6" w:rsidRPr="00CF3673" w:rsidRDefault="00B754D6" w:rsidP="005C32CE">
            <w:pPr>
              <w:jc w:val="center"/>
              <w:rPr>
                <w:szCs w:val="20"/>
              </w:rPr>
            </w:pPr>
            <w:r w:rsidRPr="00CF3673">
              <w:rPr>
                <w:szCs w:val="20"/>
              </w:rPr>
              <w:t>165</w:t>
            </w:r>
          </w:p>
        </w:tc>
      </w:tr>
      <w:tr w:rsidR="005C32CE" w:rsidRPr="00CF3673" w:rsidTr="005C32CE">
        <w:trPr>
          <w:trHeight w:val="300"/>
          <w:jc w:val="center"/>
        </w:trPr>
        <w:tc>
          <w:tcPr>
            <w:tcW w:w="2342" w:type="dxa"/>
            <w:tcBorders>
              <w:top w:val="single" w:sz="4" w:space="0" w:color="auto"/>
              <w:bottom w:val="double" w:sz="4" w:space="0" w:color="auto"/>
            </w:tcBorders>
            <w:noWrap/>
            <w:hideMark/>
          </w:tcPr>
          <w:p w:rsidR="005C32CE" w:rsidRPr="00CF3673" w:rsidRDefault="005C32CE" w:rsidP="00737B2E">
            <w:pPr>
              <w:rPr>
                <w:szCs w:val="20"/>
              </w:rPr>
            </w:pPr>
            <w:r w:rsidRPr="00CF3673">
              <w:rPr>
                <w:rFonts w:ascii="Calibri" w:eastAsia="Times New Roman" w:hAnsi="Calibri" w:cs="Times New Roman"/>
                <w:szCs w:val="20"/>
                <w:lang w:eastAsia="zh-CN"/>
              </w:rPr>
              <w:t>Total</w:t>
            </w:r>
          </w:p>
        </w:tc>
        <w:tc>
          <w:tcPr>
            <w:tcW w:w="1018" w:type="dxa"/>
            <w:tcBorders>
              <w:top w:val="single" w:sz="4" w:space="0" w:color="auto"/>
              <w:bottom w:val="double" w:sz="4" w:space="0" w:color="auto"/>
            </w:tcBorders>
            <w:noWrap/>
            <w:hideMark/>
          </w:tcPr>
          <w:p w:rsidR="005C32CE" w:rsidRPr="00CF3673" w:rsidRDefault="005C32CE" w:rsidP="005C32CE">
            <w:pPr>
              <w:jc w:val="center"/>
              <w:rPr>
                <w:szCs w:val="20"/>
              </w:rPr>
            </w:pPr>
            <w:r w:rsidRPr="00CF3673">
              <w:rPr>
                <w:szCs w:val="20"/>
              </w:rPr>
              <w:t>268</w:t>
            </w:r>
          </w:p>
        </w:tc>
        <w:tc>
          <w:tcPr>
            <w:tcW w:w="1014" w:type="dxa"/>
            <w:tcBorders>
              <w:top w:val="single" w:sz="4" w:space="0" w:color="auto"/>
              <w:bottom w:val="double" w:sz="4" w:space="0" w:color="auto"/>
            </w:tcBorders>
            <w:noWrap/>
            <w:hideMark/>
          </w:tcPr>
          <w:p w:rsidR="005C32CE" w:rsidRPr="00CF3673" w:rsidRDefault="005C32CE" w:rsidP="005C32CE">
            <w:pPr>
              <w:jc w:val="center"/>
              <w:rPr>
                <w:szCs w:val="20"/>
              </w:rPr>
            </w:pPr>
            <w:r w:rsidRPr="00CF3673">
              <w:rPr>
                <w:szCs w:val="20"/>
              </w:rPr>
              <w:t>69</w:t>
            </w:r>
          </w:p>
        </w:tc>
        <w:tc>
          <w:tcPr>
            <w:tcW w:w="636" w:type="dxa"/>
            <w:tcBorders>
              <w:top w:val="single" w:sz="4" w:space="0" w:color="auto"/>
              <w:bottom w:val="double" w:sz="4" w:space="0" w:color="auto"/>
            </w:tcBorders>
            <w:noWrap/>
            <w:hideMark/>
          </w:tcPr>
          <w:p w:rsidR="005C32CE" w:rsidRPr="00CF3673" w:rsidRDefault="005C32CE" w:rsidP="005C32CE">
            <w:pPr>
              <w:jc w:val="center"/>
              <w:rPr>
                <w:szCs w:val="20"/>
              </w:rPr>
            </w:pPr>
            <w:r w:rsidRPr="00CF3673">
              <w:rPr>
                <w:szCs w:val="20"/>
              </w:rPr>
              <w:t>143</w:t>
            </w:r>
          </w:p>
        </w:tc>
        <w:tc>
          <w:tcPr>
            <w:tcW w:w="953" w:type="dxa"/>
            <w:tcBorders>
              <w:top w:val="single" w:sz="4" w:space="0" w:color="auto"/>
              <w:bottom w:val="double" w:sz="4" w:space="0" w:color="auto"/>
            </w:tcBorders>
            <w:noWrap/>
            <w:hideMark/>
          </w:tcPr>
          <w:p w:rsidR="005C32CE" w:rsidRPr="00CF3673" w:rsidRDefault="005C32CE" w:rsidP="005C32CE">
            <w:pPr>
              <w:jc w:val="center"/>
              <w:rPr>
                <w:szCs w:val="20"/>
              </w:rPr>
            </w:pPr>
            <w:r w:rsidRPr="00CF3673">
              <w:rPr>
                <w:szCs w:val="20"/>
              </w:rPr>
              <w:t>48</w:t>
            </w:r>
          </w:p>
        </w:tc>
        <w:tc>
          <w:tcPr>
            <w:tcW w:w="763" w:type="dxa"/>
            <w:tcBorders>
              <w:top w:val="single" w:sz="4" w:space="0" w:color="auto"/>
              <w:bottom w:val="double" w:sz="4" w:space="0" w:color="auto"/>
            </w:tcBorders>
            <w:noWrap/>
            <w:hideMark/>
          </w:tcPr>
          <w:p w:rsidR="005C32CE" w:rsidRPr="00CF3673" w:rsidRDefault="005C32CE" w:rsidP="005C32CE">
            <w:pPr>
              <w:jc w:val="center"/>
              <w:rPr>
                <w:szCs w:val="20"/>
              </w:rPr>
            </w:pPr>
            <w:r w:rsidRPr="00CF3673">
              <w:rPr>
                <w:szCs w:val="20"/>
              </w:rPr>
              <w:t>23</w:t>
            </w:r>
          </w:p>
        </w:tc>
        <w:tc>
          <w:tcPr>
            <w:tcW w:w="891" w:type="dxa"/>
            <w:tcBorders>
              <w:top w:val="single" w:sz="4" w:space="0" w:color="auto"/>
              <w:bottom w:val="double" w:sz="4" w:space="0" w:color="auto"/>
            </w:tcBorders>
            <w:noWrap/>
            <w:hideMark/>
          </w:tcPr>
          <w:p w:rsidR="005C32CE" w:rsidRPr="00CF3673" w:rsidRDefault="005C32CE" w:rsidP="005C32CE">
            <w:pPr>
              <w:jc w:val="center"/>
              <w:rPr>
                <w:szCs w:val="20"/>
              </w:rPr>
            </w:pPr>
            <w:r w:rsidRPr="00CF3673">
              <w:rPr>
                <w:szCs w:val="20"/>
              </w:rPr>
              <w:t>85</w:t>
            </w:r>
          </w:p>
        </w:tc>
        <w:tc>
          <w:tcPr>
            <w:tcW w:w="680" w:type="dxa"/>
            <w:tcBorders>
              <w:top w:val="single" w:sz="4" w:space="0" w:color="auto"/>
              <w:bottom w:val="double" w:sz="4" w:space="0" w:color="auto"/>
            </w:tcBorders>
            <w:noWrap/>
            <w:hideMark/>
          </w:tcPr>
          <w:p w:rsidR="005C32CE" w:rsidRPr="00CF3673" w:rsidRDefault="005C32CE" w:rsidP="005C32CE">
            <w:pPr>
              <w:jc w:val="center"/>
              <w:rPr>
                <w:szCs w:val="20"/>
              </w:rPr>
            </w:pPr>
            <w:r w:rsidRPr="00CF3673">
              <w:rPr>
                <w:szCs w:val="20"/>
              </w:rPr>
              <w:t>52</w:t>
            </w:r>
          </w:p>
        </w:tc>
        <w:tc>
          <w:tcPr>
            <w:tcW w:w="713" w:type="dxa"/>
            <w:tcBorders>
              <w:top w:val="single" w:sz="4" w:space="0" w:color="auto"/>
              <w:bottom w:val="double" w:sz="4" w:space="0" w:color="auto"/>
            </w:tcBorders>
            <w:noWrap/>
            <w:hideMark/>
          </w:tcPr>
          <w:p w:rsidR="005C32CE" w:rsidRPr="00CF3673" w:rsidRDefault="005C32CE" w:rsidP="005C32CE">
            <w:pPr>
              <w:jc w:val="center"/>
              <w:rPr>
                <w:szCs w:val="20"/>
              </w:rPr>
            </w:pPr>
            <w:r w:rsidRPr="00CF3673">
              <w:rPr>
                <w:szCs w:val="20"/>
              </w:rPr>
              <w:t>73</w:t>
            </w:r>
          </w:p>
        </w:tc>
        <w:tc>
          <w:tcPr>
            <w:tcW w:w="628" w:type="dxa"/>
            <w:tcBorders>
              <w:top w:val="single" w:sz="4" w:space="0" w:color="auto"/>
              <w:bottom w:val="double" w:sz="4" w:space="0" w:color="auto"/>
            </w:tcBorders>
            <w:noWrap/>
            <w:hideMark/>
          </w:tcPr>
          <w:p w:rsidR="005C32CE" w:rsidRPr="00CF3673" w:rsidRDefault="005C32CE" w:rsidP="005C32CE">
            <w:pPr>
              <w:jc w:val="center"/>
              <w:rPr>
                <w:szCs w:val="20"/>
              </w:rPr>
            </w:pPr>
            <w:r w:rsidRPr="00CF3673">
              <w:rPr>
                <w:szCs w:val="20"/>
              </w:rPr>
              <w:t>761</w:t>
            </w:r>
          </w:p>
        </w:tc>
      </w:tr>
      <w:tr w:rsidR="005C32CE" w:rsidRPr="00CF3673" w:rsidTr="005C32CE">
        <w:trPr>
          <w:trHeight w:val="300"/>
          <w:jc w:val="center"/>
        </w:trPr>
        <w:tc>
          <w:tcPr>
            <w:tcW w:w="9638" w:type="dxa"/>
            <w:gridSpan w:val="10"/>
            <w:tcBorders>
              <w:top w:val="double" w:sz="4" w:space="0" w:color="auto"/>
              <w:bottom w:val="nil"/>
            </w:tcBorders>
            <w:noWrap/>
          </w:tcPr>
          <w:p w:rsidR="005C32CE" w:rsidRPr="00CF3673" w:rsidRDefault="00736B90" w:rsidP="00B754D6">
            <w:pPr>
              <w:pStyle w:val="Tablenote"/>
              <w:rPr>
                <w:lang w:val="pt-PT"/>
              </w:rPr>
            </w:pPr>
            <w:r w:rsidRPr="00CF3673">
              <w:rPr>
                <w:b/>
                <w:lang w:val="pt-PT"/>
              </w:rPr>
              <w:t>Nota</w:t>
            </w:r>
            <w:r w:rsidR="005C32CE" w:rsidRPr="00CF3673">
              <w:rPr>
                <w:lang w:val="pt-PT"/>
              </w:rPr>
              <w:t xml:space="preserve">: * </w:t>
            </w:r>
            <w:r w:rsidR="00B754D6" w:rsidRPr="00CF3673">
              <w:rPr>
                <w:lang w:val="pt-PT"/>
              </w:rPr>
              <w:t>A categoria Tete</w:t>
            </w:r>
            <w:r w:rsidR="005C32CE" w:rsidRPr="00CF3673">
              <w:rPr>
                <w:lang w:val="pt-PT"/>
              </w:rPr>
              <w:t xml:space="preserve"> co</w:t>
            </w:r>
            <w:r w:rsidR="00B754D6" w:rsidRPr="00CF3673">
              <w:rPr>
                <w:lang w:val="pt-PT"/>
              </w:rPr>
              <w:t>bre</w:t>
            </w:r>
            <w:r w:rsidR="005C32CE" w:rsidRPr="00CF3673">
              <w:rPr>
                <w:lang w:val="pt-PT"/>
              </w:rPr>
              <w:t xml:space="preserve"> </w:t>
            </w:r>
            <w:r w:rsidR="00B754D6" w:rsidRPr="00CF3673">
              <w:rPr>
                <w:lang w:val="pt-PT"/>
              </w:rPr>
              <w:t>a Província de Tete</w:t>
            </w:r>
            <w:r w:rsidR="005C32CE" w:rsidRPr="00CF3673">
              <w:rPr>
                <w:lang w:val="pt-PT"/>
              </w:rPr>
              <w:t xml:space="preserve"> (Tete </w:t>
            </w:r>
            <w:r w:rsidR="00B754D6" w:rsidRPr="00CF3673">
              <w:rPr>
                <w:lang w:val="pt-PT"/>
              </w:rPr>
              <w:t>e</w:t>
            </w:r>
            <w:r w:rsidR="005C32CE" w:rsidRPr="00CF3673">
              <w:rPr>
                <w:lang w:val="pt-PT"/>
              </w:rPr>
              <w:t xml:space="preserve"> </w:t>
            </w:r>
            <w:proofErr w:type="spellStart"/>
            <w:r w:rsidR="005C32CE" w:rsidRPr="00CF3673">
              <w:rPr>
                <w:lang w:val="pt-PT"/>
              </w:rPr>
              <w:t>Moatize</w:t>
            </w:r>
            <w:proofErr w:type="spellEnd"/>
            <w:r w:rsidR="005C32CE" w:rsidRPr="00CF3673">
              <w:rPr>
                <w:lang w:val="pt-PT"/>
              </w:rPr>
              <w:t xml:space="preserve">) </w:t>
            </w:r>
            <w:r w:rsidR="00B754D6" w:rsidRPr="00CF3673">
              <w:rPr>
                <w:lang w:val="pt-PT"/>
              </w:rPr>
              <w:t xml:space="preserve">e a categoria Gaza cobre Província </w:t>
            </w:r>
            <w:r w:rsidR="00B20E4D" w:rsidRPr="00CF3673">
              <w:rPr>
                <w:lang w:val="pt-PT"/>
              </w:rPr>
              <w:t>de Gaza</w:t>
            </w:r>
            <w:r w:rsidR="005C32CE" w:rsidRPr="00CF3673">
              <w:rPr>
                <w:lang w:val="pt-PT"/>
              </w:rPr>
              <w:t xml:space="preserve"> (</w:t>
            </w:r>
            <w:proofErr w:type="spellStart"/>
            <w:r w:rsidR="005C32CE" w:rsidRPr="00CF3673">
              <w:rPr>
                <w:lang w:val="pt-PT"/>
              </w:rPr>
              <w:t>Xai-Xai</w:t>
            </w:r>
            <w:proofErr w:type="spellEnd"/>
            <w:r w:rsidR="005C32CE" w:rsidRPr="00CF3673">
              <w:rPr>
                <w:lang w:val="pt-PT"/>
              </w:rPr>
              <w:t xml:space="preserve"> </w:t>
            </w:r>
            <w:r w:rsidR="00B754D6" w:rsidRPr="00CF3673">
              <w:rPr>
                <w:lang w:val="pt-PT"/>
              </w:rPr>
              <w:t>e</w:t>
            </w:r>
            <w:r w:rsidR="005C32CE" w:rsidRPr="00CF3673">
              <w:rPr>
                <w:lang w:val="pt-PT"/>
              </w:rPr>
              <w:t xml:space="preserve"> </w:t>
            </w:r>
            <w:proofErr w:type="spellStart"/>
            <w:r w:rsidR="00B20E4D" w:rsidRPr="00CF3673">
              <w:rPr>
                <w:lang w:val="pt-PT"/>
              </w:rPr>
              <w:t>Chókwe</w:t>
            </w:r>
            <w:proofErr w:type="spellEnd"/>
            <w:r w:rsidR="005C32CE" w:rsidRPr="00CF3673">
              <w:rPr>
                <w:lang w:val="pt-PT"/>
              </w:rPr>
              <w:t xml:space="preserve">). </w:t>
            </w:r>
            <w:r w:rsidR="00B754D6" w:rsidRPr="00CF3673">
              <w:rPr>
                <w:lang w:val="pt-PT" w:eastAsia="zh-CN"/>
              </w:rPr>
              <w:t>Espaço em branco indica não há empresas não categoria</w:t>
            </w:r>
            <w:r w:rsidR="005C32CE" w:rsidRPr="00CF3673">
              <w:rPr>
                <w:lang w:val="pt-PT"/>
              </w:rPr>
              <w:t>.</w:t>
            </w:r>
          </w:p>
        </w:tc>
      </w:tr>
      <w:tr w:rsidR="005C32CE" w:rsidRPr="00CF3673" w:rsidTr="005C32CE">
        <w:trPr>
          <w:cnfStyle w:val="010000000000" w:firstRow="0" w:lastRow="1" w:firstColumn="0" w:lastColumn="0" w:oddVBand="0" w:evenVBand="0" w:oddHBand="0" w:evenHBand="0" w:firstRowFirstColumn="0" w:firstRowLastColumn="0" w:lastRowFirstColumn="0" w:lastRowLastColumn="0"/>
          <w:trHeight w:val="300"/>
          <w:jc w:val="center"/>
        </w:trPr>
        <w:tc>
          <w:tcPr>
            <w:tcW w:w="9638" w:type="dxa"/>
            <w:gridSpan w:val="10"/>
            <w:tcBorders>
              <w:top w:val="nil"/>
              <w:bottom w:val="nil"/>
            </w:tcBorders>
            <w:noWrap/>
          </w:tcPr>
          <w:p w:rsidR="005C32CE" w:rsidRPr="00CF3673" w:rsidRDefault="00736B90" w:rsidP="001E0466">
            <w:pPr>
              <w:pStyle w:val="Tablenote"/>
              <w:rPr>
                <w:lang w:val="pt-PT"/>
              </w:rPr>
            </w:pPr>
            <w:r w:rsidRPr="00CF3673">
              <w:rPr>
                <w:b/>
                <w:lang w:val="pt-PT"/>
              </w:rPr>
              <w:t>Fonte</w:t>
            </w:r>
            <w:r w:rsidR="005C32CE" w:rsidRPr="00CF3673">
              <w:rPr>
                <w:lang w:val="pt-PT"/>
              </w:rPr>
              <w:t xml:space="preserve">: </w:t>
            </w:r>
            <w:r w:rsidR="00B20E4D" w:rsidRPr="00CF3673">
              <w:rPr>
                <w:lang w:val="pt-PT"/>
              </w:rPr>
              <w:t>Cálculos</w:t>
            </w:r>
            <w:r w:rsidR="00B754D6" w:rsidRPr="00CF3673">
              <w:rPr>
                <w:lang w:val="pt-PT"/>
              </w:rPr>
              <w:t xml:space="preserve"> dos autores com base no IIM 2012</w:t>
            </w:r>
            <w:r w:rsidR="005C32CE" w:rsidRPr="00CF3673">
              <w:rPr>
                <w:lang w:val="pt-PT"/>
              </w:rPr>
              <w:t>.</w:t>
            </w:r>
          </w:p>
        </w:tc>
      </w:tr>
    </w:tbl>
    <w:p w:rsidR="00736B90" w:rsidRPr="00CF3673" w:rsidRDefault="00736B90" w:rsidP="001E664B">
      <w:pPr>
        <w:pStyle w:val="MainText"/>
        <w:rPr>
          <w:lang w:val="pt-PT"/>
        </w:rPr>
      </w:pPr>
    </w:p>
    <w:p w:rsidR="0025111E" w:rsidRPr="00CF3673" w:rsidRDefault="00697284" w:rsidP="001E664B">
      <w:pPr>
        <w:pStyle w:val="MainText"/>
        <w:rPr>
          <w:lang w:val="pt-PT"/>
        </w:rPr>
      </w:pPr>
      <w:r w:rsidRPr="00CF3673">
        <w:rPr>
          <w:lang w:val="pt-PT"/>
        </w:rPr>
        <w:t>Finalmente é importante</w:t>
      </w:r>
      <w:r w:rsidR="00736B90" w:rsidRPr="00CF3673">
        <w:rPr>
          <w:lang w:val="pt-PT"/>
        </w:rPr>
        <w:t xml:space="preserve"> notar</w:t>
      </w:r>
      <w:r w:rsidRPr="00CF3673">
        <w:rPr>
          <w:lang w:val="pt-PT"/>
        </w:rPr>
        <w:t xml:space="preserve"> que as secções de dados do painel e </w:t>
      </w:r>
      <w:r w:rsidR="00736B90" w:rsidRPr="00CF3673">
        <w:rPr>
          <w:lang w:val="pt-PT"/>
        </w:rPr>
        <w:t xml:space="preserve">os </w:t>
      </w:r>
      <w:r w:rsidRPr="00CF3673">
        <w:rPr>
          <w:lang w:val="pt-PT"/>
        </w:rPr>
        <w:t xml:space="preserve">cruzados diferem </w:t>
      </w:r>
      <w:r w:rsidR="00B20E4D" w:rsidRPr="00CF3673">
        <w:rPr>
          <w:lang w:val="pt-PT"/>
        </w:rPr>
        <w:t>substancialmente</w:t>
      </w:r>
      <w:r w:rsidRPr="00CF3673">
        <w:rPr>
          <w:lang w:val="pt-PT"/>
        </w:rPr>
        <w:t xml:space="preserve"> em termos da composição das empresas de diferentes tamanhos. Na tabela 2.15 comparamos a distribuição </w:t>
      </w:r>
      <w:r w:rsidR="00736B90" w:rsidRPr="00CF3673">
        <w:rPr>
          <w:lang w:val="pt-PT"/>
        </w:rPr>
        <w:t xml:space="preserve">cruzada </w:t>
      </w:r>
      <w:r w:rsidRPr="00CF3673">
        <w:rPr>
          <w:lang w:val="pt-PT"/>
        </w:rPr>
        <w:t>do tamanho da</w:t>
      </w:r>
      <w:r w:rsidR="00736B90" w:rsidRPr="00CF3673">
        <w:rPr>
          <w:lang w:val="pt-PT"/>
        </w:rPr>
        <w:t>s</w:t>
      </w:r>
      <w:r w:rsidRPr="00CF3673">
        <w:rPr>
          <w:lang w:val="pt-PT"/>
        </w:rPr>
        <w:t xml:space="preserve"> empresa</w:t>
      </w:r>
      <w:r w:rsidR="00736B90" w:rsidRPr="00CF3673">
        <w:rPr>
          <w:lang w:val="pt-PT"/>
        </w:rPr>
        <w:t>s</w:t>
      </w:r>
      <w:r w:rsidRPr="00CF3673">
        <w:rPr>
          <w:lang w:val="pt-PT"/>
        </w:rPr>
        <w:t xml:space="preserve">, o painel e a população (O CEMPRE). Notamos que as pequenas e </w:t>
      </w:r>
      <w:r w:rsidR="0025111E" w:rsidRPr="00CF3673">
        <w:rPr>
          <w:lang w:val="pt-PT"/>
        </w:rPr>
        <w:t>médias</w:t>
      </w:r>
      <w:r w:rsidRPr="00CF3673">
        <w:rPr>
          <w:lang w:val="pt-PT"/>
        </w:rPr>
        <w:t xml:space="preserve"> empresas estão de alguma forma demasiadamente representadas no </w:t>
      </w:r>
      <w:r w:rsidR="0025111E" w:rsidRPr="00CF3673">
        <w:rPr>
          <w:lang w:val="pt-PT"/>
        </w:rPr>
        <w:t xml:space="preserve">painel e </w:t>
      </w:r>
      <w:r w:rsidRPr="00CF3673">
        <w:rPr>
          <w:lang w:val="pt-PT"/>
        </w:rPr>
        <w:t xml:space="preserve">de alguma forma menos representadas na secção cruzada </w:t>
      </w:r>
      <w:r w:rsidR="0025111E" w:rsidRPr="00CF3673">
        <w:rPr>
          <w:lang w:val="pt-PT"/>
        </w:rPr>
        <w:t>de 2012.</w:t>
      </w:r>
      <w:r w:rsidR="002A2F9E" w:rsidRPr="00CF3673">
        <w:rPr>
          <w:lang w:val="pt-PT"/>
        </w:rPr>
        <w:t xml:space="preserve"> </w:t>
      </w:r>
      <w:r w:rsidRPr="00CF3673">
        <w:rPr>
          <w:lang w:val="pt-PT"/>
        </w:rPr>
        <w:t xml:space="preserve"> </w:t>
      </w:r>
    </w:p>
    <w:p w:rsidR="0025111E" w:rsidRPr="00CF3673" w:rsidRDefault="00E333A2" w:rsidP="00B06D3F">
      <w:pPr>
        <w:pStyle w:val="TableTitle"/>
        <w:rPr>
          <w:lang w:val="pt-PT"/>
        </w:rPr>
      </w:pPr>
      <w:bookmarkStart w:id="31" w:name="_Toc360720447"/>
      <w:r w:rsidRPr="00CF3673">
        <w:rPr>
          <w:lang w:val="pt-PT"/>
        </w:rPr>
        <w:t>Tab</w:t>
      </w:r>
      <w:r w:rsidR="0025111E" w:rsidRPr="00CF3673">
        <w:rPr>
          <w:lang w:val="pt-PT"/>
        </w:rPr>
        <w:t>ela</w:t>
      </w:r>
      <w:r w:rsidR="00A71447" w:rsidRPr="00CF3673">
        <w:rPr>
          <w:lang w:val="pt-PT"/>
        </w:rPr>
        <w:t xml:space="preserve"> 2.15: Composi</w:t>
      </w:r>
      <w:r w:rsidR="00736B90" w:rsidRPr="00CF3673">
        <w:rPr>
          <w:lang w:val="pt-PT"/>
        </w:rPr>
        <w:t>ção</w:t>
      </w:r>
      <w:r w:rsidR="0025111E" w:rsidRPr="00CF3673">
        <w:rPr>
          <w:lang w:val="pt-PT"/>
        </w:rPr>
        <w:t xml:space="preserve"> das empresas em painel, secção cruzada e população, %</w:t>
      </w:r>
    </w:p>
    <w:bookmarkEnd w:id="31"/>
    <w:tbl>
      <w:tblPr>
        <w:tblStyle w:val="StandardTable"/>
        <w:tblW w:w="0" w:type="auto"/>
        <w:jc w:val="center"/>
        <w:tblLayout w:type="fixed"/>
        <w:tblLook w:val="04A0" w:firstRow="1" w:lastRow="0" w:firstColumn="1" w:lastColumn="0" w:noHBand="0" w:noVBand="1"/>
      </w:tblPr>
      <w:tblGrid>
        <w:gridCol w:w="1831"/>
        <w:gridCol w:w="693"/>
        <w:gridCol w:w="656"/>
        <w:gridCol w:w="903"/>
        <w:gridCol w:w="660"/>
        <w:gridCol w:w="1556"/>
      </w:tblGrid>
      <w:tr w:rsidR="00C13D55" w:rsidRPr="00CF3673" w:rsidTr="00021FF4">
        <w:trPr>
          <w:cnfStyle w:val="100000000000" w:firstRow="1" w:lastRow="0" w:firstColumn="0" w:lastColumn="0" w:oddVBand="0" w:evenVBand="0" w:oddHBand="0" w:evenHBand="0" w:firstRowFirstColumn="0" w:firstRowLastColumn="0" w:lastRowFirstColumn="0" w:lastRowLastColumn="0"/>
          <w:trHeight w:val="300"/>
          <w:jc w:val="center"/>
        </w:trPr>
        <w:tc>
          <w:tcPr>
            <w:tcW w:w="1831" w:type="dxa"/>
            <w:noWrap/>
          </w:tcPr>
          <w:p w:rsidR="00C13D55" w:rsidRPr="00CF3673" w:rsidRDefault="00C13D55" w:rsidP="00737B2E">
            <w:pPr>
              <w:rPr>
                <w:rFonts w:ascii="Calibri" w:eastAsia="Times New Roman" w:hAnsi="Calibri" w:cs="Times New Roman"/>
                <w:lang w:eastAsia="zh-CN"/>
              </w:rPr>
            </w:pPr>
          </w:p>
        </w:tc>
        <w:tc>
          <w:tcPr>
            <w:tcW w:w="693" w:type="dxa"/>
            <w:noWrap/>
            <w:hideMark/>
          </w:tcPr>
          <w:p w:rsidR="00C13D55" w:rsidRPr="00CF3673" w:rsidRDefault="00C13D5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656" w:type="dxa"/>
            <w:noWrap/>
            <w:hideMark/>
          </w:tcPr>
          <w:p w:rsidR="00C13D55" w:rsidRPr="00CF3673" w:rsidRDefault="003E0785" w:rsidP="003E0785">
            <w:pPr>
              <w:jc w:val="cente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903" w:type="dxa"/>
            <w:noWrap/>
            <w:hideMark/>
          </w:tcPr>
          <w:p w:rsidR="00C13D55" w:rsidRPr="00CF3673" w:rsidRDefault="00C13D55" w:rsidP="003E0785">
            <w:pPr>
              <w:jc w:val="center"/>
              <w:rPr>
                <w:rFonts w:ascii="Calibri" w:eastAsia="Times New Roman" w:hAnsi="Calibri" w:cs="Times New Roman"/>
                <w:lang w:eastAsia="zh-CN"/>
              </w:rPr>
            </w:pPr>
            <w:r w:rsidRPr="00CF3673">
              <w:rPr>
                <w:rFonts w:ascii="Calibri" w:eastAsia="Times New Roman" w:hAnsi="Calibri" w:cs="Times New Roman"/>
                <w:lang w:eastAsia="zh-CN"/>
              </w:rPr>
              <w:t>Medi</w:t>
            </w:r>
            <w:r w:rsidR="003E0785" w:rsidRPr="00CF3673">
              <w:rPr>
                <w:rFonts w:ascii="Calibri" w:eastAsia="Times New Roman" w:hAnsi="Calibri" w:cs="Times New Roman"/>
                <w:lang w:eastAsia="zh-CN"/>
              </w:rPr>
              <w:t>a</w:t>
            </w:r>
          </w:p>
        </w:tc>
        <w:tc>
          <w:tcPr>
            <w:tcW w:w="660" w:type="dxa"/>
          </w:tcPr>
          <w:p w:rsidR="00C13D55" w:rsidRPr="00CF3673" w:rsidRDefault="003E0785" w:rsidP="003E0785">
            <w:pPr>
              <w:jc w:val="center"/>
              <w:rPr>
                <w:rFonts w:ascii="Calibri" w:eastAsia="Times New Roman" w:hAnsi="Calibri" w:cs="Times New Roman"/>
                <w:lang w:eastAsia="zh-CN"/>
              </w:rPr>
            </w:pPr>
            <w:r w:rsidRPr="00CF3673">
              <w:rPr>
                <w:rFonts w:ascii="Calibri" w:eastAsia="Times New Roman" w:hAnsi="Calibri" w:cs="Times New Roman"/>
                <w:lang w:eastAsia="zh-CN"/>
              </w:rPr>
              <w:t>Grande</w:t>
            </w:r>
          </w:p>
        </w:tc>
        <w:tc>
          <w:tcPr>
            <w:tcW w:w="1556" w:type="dxa"/>
            <w:noWrap/>
            <w:hideMark/>
          </w:tcPr>
          <w:p w:rsidR="00C13D55" w:rsidRPr="00CF3673" w:rsidRDefault="003E0785" w:rsidP="003E0785">
            <w:pPr>
              <w:jc w:val="center"/>
              <w:rPr>
                <w:rFonts w:ascii="Calibri" w:eastAsia="Times New Roman" w:hAnsi="Calibri" w:cs="Times New Roman"/>
                <w:lang w:eastAsia="zh-CN"/>
              </w:rPr>
            </w:pPr>
            <w:r w:rsidRPr="00CF3673">
              <w:rPr>
                <w:rFonts w:ascii="Calibri" w:eastAsia="Times New Roman" w:hAnsi="Calibri" w:cs="Times New Roman"/>
                <w:lang w:eastAsia="zh-CN"/>
              </w:rPr>
              <w:t>Número</w:t>
            </w:r>
            <w:r w:rsidR="00C13D55" w:rsidRPr="00CF3673">
              <w:rPr>
                <w:rFonts w:ascii="Calibri" w:eastAsia="Times New Roman" w:hAnsi="Calibri" w:cs="Times New Roman"/>
                <w:lang w:eastAsia="zh-CN"/>
              </w:rPr>
              <w:t xml:space="preserve"> </w:t>
            </w:r>
            <w:r w:rsidRPr="00CF3673">
              <w:rPr>
                <w:rFonts w:ascii="Calibri" w:eastAsia="Times New Roman" w:hAnsi="Calibri" w:cs="Times New Roman"/>
                <w:lang w:eastAsia="zh-CN"/>
              </w:rPr>
              <w:t>de</w:t>
            </w:r>
            <w:r w:rsidR="00C13D55" w:rsidRPr="00CF3673">
              <w:rPr>
                <w:rFonts w:ascii="Calibri" w:eastAsia="Times New Roman" w:hAnsi="Calibri" w:cs="Times New Roman"/>
                <w:lang w:eastAsia="zh-CN"/>
              </w:rPr>
              <w:t xml:space="preserve"> </w:t>
            </w:r>
            <w:r w:rsidRPr="00CF3673">
              <w:rPr>
                <w:rFonts w:ascii="Calibri" w:eastAsia="Times New Roman" w:hAnsi="Calibri" w:cs="Times New Roman"/>
                <w:lang w:eastAsia="zh-CN"/>
              </w:rPr>
              <w:t>empresas</w:t>
            </w:r>
          </w:p>
        </w:tc>
      </w:tr>
      <w:tr w:rsidR="00C13D55" w:rsidRPr="00CF3673" w:rsidTr="00021FF4">
        <w:trPr>
          <w:trHeight w:val="300"/>
          <w:jc w:val="center"/>
        </w:trPr>
        <w:tc>
          <w:tcPr>
            <w:tcW w:w="1831" w:type="dxa"/>
            <w:noWrap/>
            <w:hideMark/>
          </w:tcPr>
          <w:p w:rsidR="00C13D55" w:rsidRPr="00CF3673" w:rsidRDefault="0025111E" w:rsidP="0025111E">
            <w:pPr>
              <w:rPr>
                <w:rFonts w:ascii="Calibri" w:eastAsia="Times New Roman" w:hAnsi="Calibri" w:cs="Times New Roman"/>
                <w:lang w:eastAsia="zh-CN"/>
              </w:rPr>
            </w:pPr>
            <w:r w:rsidRPr="00CF3673">
              <w:rPr>
                <w:rFonts w:ascii="Calibri" w:eastAsia="Times New Roman" w:hAnsi="Calibri" w:cs="Times New Roman"/>
                <w:lang w:eastAsia="zh-CN"/>
              </w:rPr>
              <w:t>Paine</w:t>
            </w:r>
            <w:r w:rsidR="003E0785" w:rsidRPr="00CF3673">
              <w:rPr>
                <w:rFonts w:ascii="Calibri" w:eastAsia="Times New Roman" w:hAnsi="Calibri" w:cs="Times New Roman"/>
                <w:lang w:eastAsia="zh-CN"/>
              </w:rPr>
              <w:t>l</w:t>
            </w:r>
            <w:r w:rsidRPr="00CF3673">
              <w:rPr>
                <w:rFonts w:ascii="Calibri" w:eastAsia="Times New Roman" w:hAnsi="Calibri" w:cs="Times New Roman"/>
                <w:lang w:eastAsia="zh-CN"/>
              </w:rPr>
              <w:t xml:space="preserve"> </w:t>
            </w:r>
            <w:r w:rsidR="00C13D55" w:rsidRPr="00CF3673">
              <w:rPr>
                <w:rFonts w:ascii="Calibri" w:eastAsia="Times New Roman" w:hAnsi="Calibri" w:cs="Times New Roman"/>
                <w:lang w:eastAsia="zh-CN"/>
              </w:rPr>
              <w:t>2012</w:t>
            </w:r>
          </w:p>
        </w:tc>
        <w:tc>
          <w:tcPr>
            <w:tcW w:w="693" w:type="dxa"/>
            <w:noWrap/>
            <w:hideMark/>
          </w:tcPr>
          <w:p w:rsidR="00C13D55" w:rsidRPr="00CF3673" w:rsidRDefault="00021FF4"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48.6</w:t>
            </w:r>
          </w:p>
        </w:tc>
        <w:tc>
          <w:tcPr>
            <w:tcW w:w="656" w:type="dxa"/>
            <w:noWrap/>
            <w:hideMark/>
          </w:tcPr>
          <w:p w:rsidR="00C13D55" w:rsidRPr="00CF3673" w:rsidRDefault="00C13D5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32.9</w:t>
            </w:r>
          </w:p>
        </w:tc>
        <w:tc>
          <w:tcPr>
            <w:tcW w:w="903" w:type="dxa"/>
            <w:noWrap/>
            <w:hideMark/>
          </w:tcPr>
          <w:p w:rsidR="00C13D55" w:rsidRPr="00CF3673" w:rsidRDefault="00021FF4"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19.5</w:t>
            </w:r>
          </w:p>
        </w:tc>
        <w:tc>
          <w:tcPr>
            <w:tcW w:w="660" w:type="dxa"/>
          </w:tcPr>
          <w:p w:rsidR="00C13D55" w:rsidRPr="00CF3673" w:rsidRDefault="00C13D5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w:t>
            </w:r>
          </w:p>
        </w:tc>
        <w:tc>
          <w:tcPr>
            <w:tcW w:w="1556" w:type="dxa"/>
            <w:noWrap/>
            <w:hideMark/>
          </w:tcPr>
          <w:p w:rsidR="00C13D55" w:rsidRPr="00CF3673" w:rsidRDefault="00021FF4"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216</w:t>
            </w:r>
          </w:p>
        </w:tc>
      </w:tr>
      <w:tr w:rsidR="00C13D55" w:rsidRPr="00CF3673" w:rsidTr="00021FF4">
        <w:trPr>
          <w:trHeight w:val="300"/>
          <w:jc w:val="center"/>
        </w:trPr>
        <w:tc>
          <w:tcPr>
            <w:tcW w:w="1831" w:type="dxa"/>
            <w:noWrap/>
            <w:hideMark/>
          </w:tcPr>
          <w:p w:rsidR="00C13D55" w:rsidRPr="00CF3673" w:rsidRDefault="0025111E" w:rsidP="0025111E">
            <w:pPr>
              <w:rPr>
                <w:rFonts w:ascii="Calibri" w:eastAsia="Times New Roman" w:hAnsi="Calibri" w:cs="Times New Roman"/>
                <w:lang w:eastAsia="zh-CN"/>
              </w:rPr>
            </w:pPr>
            <w:r w:rsidRPr="00CF3673">
              <w:rPr>
                <w:rFonts w:ascii="Calibri" w:eastAsia="Times New Roman" w:hAnsi="Calibri" w:cs="Times New Roman"/>
                <w:lang w:eastAsia="zh-CN"/>
              </w:rPr>
              <w:t xml:space="preserve">Secção cruzada </w:t>
            </w:r>
            <w:r w:rsidR="00C13D55" w:rsidRPr="00CF3673">
              <w:rPr>
                <w:rFonts w:ascii="Calibri" w:eastAsia="Times New Roman" w:hAnsi="Calibri" w:cs="Times New Roman"/>
                <w:lang w:eastAsia="zh-CN"/>
              </w:rPr>
              <w:t>2012</w:t>
            </w:r>
          </w:p>
        </w:tc>
        <w:tc>
          <w:tcPr>
            <w:tcW w:w="693" w:type="dxa"/>
            <w:noWrap/>
            <w:hideMark/>
          </w:tcPr>
          <w:p w:rsidR="00C13D55" w:rsidRPr="00CF3673" w:rsidRDefault="00C13D55" w:rsidP="004B5DEE">
            <w:pPr>
              <w:jc w:val="center"/>
              <w:rPr>
                <w:rFonts w:ascii="Calibri" w:eastAsia="Times New Roman" w:hAnsi="Calibri" w:cs="Times New Roman"/>
                <w:lang w:eastAsia="zh-CN"/>
              </w:rPr>
            </w:pPr>
            <w:r w:rsidRPr="00CF3673">
              <w:rPr>
                <w:rFonts w:ascii="Calibri" w:eastAsia="Times New Roman" w:hAnsi="Calibri" w:cs="Times New Roman"/>
                <w:lang w:eastAsia="zh-CN"/>
              </w:rPr>
              <w:t>67.</w:t>
            </w:r>
            <w:r w:rsidR="00021FF4" w:rsidRPr="00CF3673">
              <w:rPr>
                <w:rFonts w:ascii="Calibri" w:eastAsia="Times New Roman" w:hAnsi="Calibri" w:cs="Times New Roman"/>
                <w:lang w:eastAsia="zh-CN"/>
              </w:rPr>
              <w:t>9</w:t>
            </w:r>
          </w:p>
        </w:tc>
        <w:tc>
          <w:tcPr>
            <w:tcW w:w="656" w:type="dxa"/>
            <w:noWrap/>
            <w:hideMark/>
          </w:tcPr>
          <w:p w:rsidR="00C13D55" w:rsidRPr="00CF3673" w:rsidRDefault="00C13D55" w:rsidP="0001488E">
            <w:pPr>
              <w:jc w:val="center"/>
              <w:rPr>
                <w:rFonts w:ascii="Calibri" w:eastAsia="Times New Roman" w:hAnsi="Calibri" w:cs="Times New Roman"/>
                <w:lang w:eastAsia="zh-CN"/>
              </w:rPr>
            </w:pPr>
            <w:r w:rsidRPr="00CF3673">
              <w:rPr>
                <w:rFonts w:ascii="Calibri" w:eastAsia="Times New Roman" w:hAnsi="Calibri" w:cs="Times New Roman"/>
                <w:lang w:eastAsia="zh-CN"/>
              </w:rPr>
              <w:t>23.</w:t>
            </w:r>
            <w:r w:rsidR="00021FF4" w:rsidRPr="00CF3673">
              <w:rPr>
                <w:rFonts w:ascii="Calibri" w:eastAsia="Times New Roman" w:hAnsi="Calibri" w:cs="Times New Roman"/>
                <w:lang w:eastAsia="zh-CN"/>
              </w:rPr>
              <w:t>4</w:t>
            </w:r>
          </w:p>
        </w:tc>
        <w:tc>
          <w:tcPr>
            <w:tcW w:w="903" w:type="dxa"/>
            <w:noWrap/>
            <w:hideMark/>
          </w:tcPr>
          <w:p w:rsidR="00C13D55" w:rsidRPr="00CF3673" w:rsidRDefault="00C13D55" w:rsidP="0001488E">
            <w:pPr>
              <w:jc w:val="center"/>
              <w:rPr>
                <w:rFonts w:ascii="Calibri" w:eastAsia="Times New Roman" w:hAnsi="Calibri" w:cs="Times New Roman"/>
                <w:lang w:eastAsia="zh-CN"/>
              </w:rPr>
            </w:pPr>
            <w:r w:rsidRPr="00CF3673">
              <w:rPr>
                <w:rFonts w:ascii="Calibri" w:eastAsia="Times New Roman" w:hAnsi="Calibri" w:cs="Times New Roman"/>
                <w:lang w:eastAsia="zh-CN"/>
              </w:rPr>
              <w:t>8</w:t>
            </w:r>
            <w:r w:rsidR="00021FF4" w:rsidRPr="00CF3673">
              <w:rPr>
                <w:rFonts w:ascii="Calibri" w:eastAsia="Times New Roman" w:hAnsi="Calibri" w:cs="Times New Roman"/>
                <w:lang w:eastAsia="zh-CN"/>
              </w:rPr>
              <w:t>.7</w:t>
            </w:r>
          </w:p>
        </w:tc>
        <w:tc>
          <w:tcPr>
            <w:tcW w:w="660" w:type="dxa"/>
          </w:tcPr>
          <w:p w:rsidR="00C13D55" w:rsidRPr="00CF3673" w:rsidRDefault="00C13D5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w:t>
            </w:r>
          </w:p>
        </w:tc>
        <w:tc>
          <w:tcPr>
            <w:tcW w:w="1556" w:type="dxa"/>
            <w:noWrap/>
            <w:hideMark/>
          </w:tcPr>
          <w:p w:rsidR="00C13D55" w:rsidRPr="00CF3673" w:rsidRDefault="00C13D55" w:rsidP="0001488E">
            <w:pPr>
              <w:jc w:val="center"/>
              <w:rPr>
                <w:rFonts w:ascii="Calibri" w:eastAsia="Times New Roman" w:hAnsi="Calibri" w:cs="Times New Roman"/>
                <w:lang w:eastAsia="zh-CN"/>
              </w:rPr>
            </w:pPr>
            <w:r w:rsidRPr="00CF3673">
              <w:rPr>
                <w:rFonts w:ascii="Calibri" w:eastAsia="Times New Roman" w:hAnsi="Calibri" w:cs="Times New Roman"/>
                <w:lang w:eastAsia="zh-CN"/>
              </w:rPr>
              <w:t>7</w:t>
            </w:r>
            <w:r w:rsidR="00021FF4" w:rsidRPr="00CF3673">
              <w:rPr>
                <w:rFonts w:ascii="Calibri" w:eastAsia="Times New Roman" w:hAnsi="Calibri" w:cs="Times New Roman"/>
                <w:lang w:eastAsia="zh-CN"/>
              </w:rPr>
              <w:t>61</w:t>
            </w:r>
          </w:p>
        </w:tc>
      </w:tr>
      <w:tr w:rsidR="00C13D55" w:rsidRPr="00CF3673" w:rsidTr="00021FF4">
        <w:trPr>
          <w:trHeight w:val="300"/>
          <w:jc w:val="center"/>
        </w:trPr>
        <w:tc>
          <w:tcPr>
            <w:tcW w:w="1831" w:type="dxa"/>
            <w:tcBorders>
              <w:bottom w:val="double" w:sz="4" w:space="0" w:color="auto"/>
            </w:tcBorders>
            <w:noWrap/>
            <w:hideMark/>
          </w:tcPr>
          <w:p w:rsidR="00C13D55" w:rsidRPr="00CF3673" w:rsidRDefault="0025111E" w:rsidP="00737B2E">
            <w:pPr>
              <w:rPr>
                <w:rFonts w:ascii="Calibri" w:eastAsia="Times New Roman" w:hAnsi="Calibri" w:cs="Times New Roman"/>
                <w:lang w:eastAsia="zh-CN"/>
              </w:rPr>
            </w:pPr>
            <w:r w:rsidRPr="00CF3673">
              <w:rPr>
                <w:rFonts w:ascii="Calibri" w:eastAsia="Times New Roman" w:hAnsi="Calibri" w:cs="Times New Roman"/>
                <w:lang w:eastAsia="zh-CN"/>
              </w:rPr>
              <w:t xml:space="preserve">População </w:t>
            </w:r>
            <w:r w:rsidR="00A71447" w:rsidRPr="00CF3673">
              <w:rPr>
                <w:rFonts w:ascii="Calibri" w:eastAsia="Times New Roman" w:hAnsi="Calibri" w:cs="Times New Roman"/>
                <w:lang w:eastAsia="zh-CN"/>
              </w:rPr>
              <w:t>CEMPRE</w:t>
            </w:r>
            <w:r w:rsidRPr="00CF3673">
              <w:rPr>
                <w:rFonts w:ascii="Calibri" w:eastAsia="Times New Roman" w:hAnsi="Calibri" w:cs="Times New Roman"/>
                <w:lang w:eastAsia="zh-CN"/>
              </w:rPr>
              <w:t xml:space="preserve"> </w:t>
            </w:r>
          </w:p>
        </w:tc>
        <w:tc>
          <w:tcPr>
            <w:tcW w:w="693" w:type="dxa"/>
            <w:tcBorders>
              <w:bottom w:val="double" w:sz="4" w:space="0" w:color="auto"/>
            </w:tcBorders>
            <w:noWrap/>
            <w:hideMark/>
          </w:tcPr>
          <w:p w:rsidR="00C13D55" w:rsidRPr="00CF3673" w:rsidRDefault="00C13D5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77.4</w:t>
            </w:r>
          </w:p>
        </w:tc>
        <w:tc>
          <w:tcPr>
            <w:tcW w:w="656" w:type="dxa"/>
            <w:tcBorders>
              <w:bottom w:val="double" w:sz="4" w:space="0" w:color="auto"/>
            </w:tcBorders>
            <w:noWrap/>
            <w:hideMark/>
          </w:tcPr>
          <w:p w:rsidR="00C13D55" w:rsidRPr="00CF3673" w:rsidRDefault="00C13D5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16.5</w:t>
            </w:r>
          </w:p>
        </w:tc>
        <w:tc>
          <w:tcPr>
            <w:tcW w:w="903" w:type="dxa"/>
            <w:tcBorders>
              <w:bottom w:val="double" w:sz="4" w:space="0" w:color="auto"/>
            </w:tcBorders>
            <w:noWrap/>
            <w:hideMark/>
          </w:tcPr>
          <w:p w:rsidR="00C13D55" w:rsidRPr="00CF3673" w:rsidRDefault="00C13D5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5.1</w:t>
            </w:r>
          </w:p>
        </w:tc>
        <w:tc>
          <w:tcPr>
            <w:tcW w:w="660" w:type="dxa"/>
            <w:tcBorders>
              <w:bottom w:val="double" w:sz="4" w:space="0" w:color="auto"/>
            </w:tcBorders>
          </w:tcPr>
          <w:p w:rsidR="00C13D55" w:rsidRPr="00CF3673" w:rsidRDefault="00C13D5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0.9</w:t>
            </w:r>
          </w:p>
        </w:tc>
        <w:tc>
          <w:tcPr>
            <w:tcW w:w="1556" w:type="dxa"/>
            <w:tcBorders>
              <w:bottom w:val="double" w:sz="4" w:space="0" w:color="auto"/>
            </w:tcBorders>
            <w:noWrap/>
            <w:hideMark/>
          </w:tcPr>
          <w:p w:rsidR="00C13D55" w:rsidRPr="00CF3673" w:rsidRDefault="00C13D55" w:rsidP="00737B2E">
            <w:pPr>
              <w:jc w:val="center"/>
              <w:rPr>
                <w:rFonts w:ascii="Calibri" w:eastAsia="Times New Roman" w:hAnsi="Calibri" w:cs="Times New Roman"/>
                <w:lang w:eastAsia="zh-CN"/>
              </w:rPr>
            </w:pPr>
            <w:r w:rsidRPr="00CF3673">
              <w:rPr>
                <w:rFonts w:ascii="Calibri" w:eastAsia="Times New Roman" w:hAnsi="Calibri" w:cs="Times New Roman"/>
                <w:lang w:eastAsia="zh-CN"/>
              </w:rPr>
              <w:t>3,245</w:t>
            </w:r>
          </w:p>
        </w:tc>
      </w:tr>
      <w:tr w:rsidR="00021FF4" w:rsidRPr="00CF3673" w:rsidTr="00021FF4">
        <w:trPr>
          <w:trHeight w:val="300"/>
          <w:jc w:val="center"/>
        </w:trPr>
        <w:tc>
          <w:tcPr>
            <w:tcW w:w="6299" w:type="dxa"/>
            <w:gridSpan w:val="6"/>
            <w:tcBorders>
              <w:top w:val="double" w:sz="4" w:space="0" w:color="auto"/>
              <w:bottom w:val="nil"/>
            </w:tcBorders>
            <w:noWrap/>
          </w:tcPr>
          <w:p w:rsidR="00021FF4" w:rsidRPr="00CF3673" w:rsidRDefault="00021FF4" w:rsidP="003E0785">
            <w:pPr>
              <w:pStyle w:val="Tablenote"/>
              <w:rPr>
                <w:rFonts w:ascii="Calibri" w:eastAsia="Times New Roman" w:hAnsi="Calibri" w:cs="Times New Roman"/>
                <w:lang w:val="pt-PT" w:eastAsia="zh-CN"/>
              </w:rPr>
            </w:pPr>
            <w:r w:rsidRPr="00CF3673">
              <w:rPr>
                <w:b/>
                <w:lang w:val="pt-PT"/>
              </w:rPr>
              <w:t>Not</w:t>
            </w:r>
            <w:r w:rsidR="004215A7" w:rsidRPr="00CF3673">
              <w:rPr>
                <w:b/>
                <w:lang w:val="pt-PT"/>
              </w:rPr>
              <w:t>a</w:t>
            </w:r>
            <w:r w:rsidRPr="00CF3673">
              <w:rPr>
                <w:lang w:val="pt-PT"/>
              </w:rPr>
              <w:t xml:space="preserve">: </w:t>
            </w:r>
            <w:r w:rsidR="0025111E" w:rsidRPr="00CF3673">
              <w:rPr>
                <w:lang w:val="pt-PT"/>
              </w:rPr>
              <w:t>O total de empresas aqui no CEMPRE é baixo</w:t>
            </w:r>
            <w:r w:rsidRPr="00CF3673">
              <w:rPr>
                <w:lang w:val="pt-PT"/>
              </w:rPr>
              <w:t>,</w:t>
            </w:r>
            <w:r w:rsidR="0025111E" w:rsidRPr="00CF3673">
              <w:rPr>
                <w:lang w:val="pt-PT"/>
              </w:rPr>
              <w:t xml:space="preserve"> dado que 44 </w:t>
            </w:r>
            <w:r w:rsidRPr="00CF3673">
              <w:rPr>
                <w:lang w:val="pt-PT"/>
              </w:rPr>
              <w:t>observa</w:t>
            </w:r>
            <w:r w:rsidR="004215A7" w:rsidRPr="00CF3673">
              <w:rPr>
                <w:lang w:val="pt-PT"/>
              </w:rPr>
              <w:t>ções não tê</w:t>
            </w:r>
            <w:r w:rsidR="00463D2E" w:rsidRPr="00CF3673">
              <w:rPr>
                <w:lang w:val="pt-PT"/>
              </w:rPr>
              <w:t>m informações sobre o tamanho das empresas</w:t>
            </w:r>
            <w:r w:rsidRPr="00CF3673">
              <w:rPr>
                <w:lang w:val="pt-PT"/>
              </w:rPr>
              <w:t>.</w:t>
            </w:r>
          </w:p>
        </w:tc>
      </w:tr>
      <w:tr w:rsidR="00021FF4" w:rsidRPr="00CF3673" w:rsidTr="00021FF4">
        <w:trPr>
          <w:trHeight w:val="300"/>
          <w:jc w:val="center"/>
        </w:trPr>
        <w:tc>
          <w:tcPr>
            <w:tcW w:w="6299" w:type="dxa"/>
            <w:gridSpan w:val="6"/>
            <w:tcBorders>
              <w:top w:val="nil"/>
              <w:bottom w:val="nil"/>
            </w:tcBorders>
            <w:noWrap/>
          </w:tcPr>
          <w:p w:rsidR="00021FF4" w:rsidRPr="00CF3673" w:rsidRDefault="004215A7" w:rsidP="004215A7">
            <w:pPr>
              <w:pStyle w:val="Tablenote"/>
              <w:rPr>
                <w:rFonts w:ascii="Calibri" w:eastAsia="Times New Roman" w:hAnsi="Calibri" w:cs="Times New Roman"/>
                <w:lang w:val="pt-PT" w:eastAsia="zh-CN"/>
              </w:rPr>
            </w:pPr>
            <w:r w:rsidRPr="00CF3673">
              <w:rPr>
                <w:b/>
                <w:lang w:val="pt-PT"/>
              </w:rPr>
              <w:t>Fontes</w:t>
            </w:r>
            <w:r w:rsidR="00021FF4" w:rsidRPr="00CF3673">
              <w:rPr>
                <w:lang w:val="pt-PT"/>
              </w:rPr>
              <w:t xml:space="preserve">: </w:t>
            </w:r>
            <w:r w:rsidRPr="00CF3673">
              <w:rPr>
                <w:lang w:val="pt-PT"/>
              </w:rPr>
              <w:t xml:space="preserve">Calculo dos autores com base nos dados do </w:t>
            </w:r>
            <w:r w:rsidR="00021FF4" w:rsidRPr="00CF3673">
              <w:rPr>
                <w:lang w:val="pt-PT"/>
              </w:rPr>
              <w:t xml:space="preserve">IIM 2012, DNEAP (2006), ICA (2009) </w:t>
            </w:r>
            <w:r w:rsidRPr="00CF3673">
              <w:rPr>
                <w:lang w:val="pt-PT"/>
              </w:rPr>
              <w:t>e</w:t>
            </w:r>
            <w:r w:rsidR="00021FF4" w:rsidRPr="00CF3673">
              <w:rPr>
                <w:lang w:val="pt-PT"/>
              </w:rPr>
              <w:t xml:space="preserve"> CEMPRE.</w:t>
            </w:r>
          </w:p>
        </w:tc>
      </w:tr>
    </w:tbl>
    <w:p w:rsidR="00806529" w:rsidRPr="00CF3673" w:rsidRDefault="00806529"/>
    <w:p w:rsidR="00FF6779" w:rsidRPr="00CF3673" w:rsidRDefault="00FF6779" w:rsidP="001E664B">
      <w:pPr>
        <w:pStyle w:val="MainText"/>
        <w:rPr>
          <w:lang w:val="pt-PT"/>
        </w:rPr>
      </w:pPr>
      <w:r w:rsidRPr="00CF3673">
        <w:rPr>
          <w:lang w:val="pt-PT"/>
        </w:rPr>
        <w:t xml:space="preserve">As </w:t>
      </w:r>
      <w:r w:rsidR="00B20E4D" w:rsidRPr="00CF3673">
        <w:rPr>
          <w:lang w:val="pt-PT"/>
        </w:rPr>
        <w:t>diferenças</w:t>
      </w:r>
      <w:r w:rsidRPr="00CF3673">
        <w:rPr>
          <w:lang w:val="pt-PT"/>
        </w:rPr>
        <w:t xml:space="preserve"> na composição do inquérito são investigadas ainda mais na tabela 2.16 que mostra a media e mediana do tamanho das empresas para diferentes categorias </w:t>
      </w:r>
      <w:r w:rsidR="00DD7E33" w:rsidRPr="00CF3673">
        <w:rPr>
          <w:lang w:val="pt-PT"/>
        </w:rPr>
        <w:t>n</w:t>
      </w:r>
      <w:r w:rsidRPr="00CF3673">
        <w:rPr>
          <w:lang w:val="pt-PT"/>
        </w:rPr>
        <w:t xml:space="preserve">os </w:t>
      </w:r>
      <w:r w:rsidR="00B20E4D" w:rsidRPr="00CF3673">
        <w:rPr>
          <w:lang w:val="pt-PT"/>
        </w:rPr>
        <w:t>inquéritos</w:t>
      </w:r>
      <w:r w:rsidRPr="00CF3673">
        <w:rPr>
          <w:lang w:val="pt-PT"/>
        </w:rPr>
        <w:t xml:space="preserve"> DNEAP06, ICA09 e o presente IIM2012.  </w:t>
      </w:r>
    </w:p>
    <w:p w:rsidR="00A06AD8" w:rsidRPr="00CF3673" w:rsidRDefault="00E333A2" w:rsidP="00B06D3F">
      <w:pPr>
        <w:pStyle w:val="TableTitle"/>
        <w:rPr>
          <w:lang w:val="pt-PT"/>
        </w:rPr>
      </w:pPr>
      <w:bookmarkStart w:id="32" w:name="_Toc360720448"/>
      <w:r w:rsidRPr="00CF3673">
        <w:rPr>
          <w:lang w:val="pt-PT"/>
        </w:rPr>
        <w:t>Tab</w:t>
      </w:r>
      <w:r w:rsidR="007D50D5" w:rsidRPr="00CF3673">
        <w:rPr>
          <w:lang w:val="pt-PT"/>
        </w:rPr>
        <w:t>ela</w:t>
      </w:r>
      <w:r w:rsidR="00A06AD8" w:rsidRPr="00CF3673">
        <w:rPr>
          <w:lang w:val="pt-PT"/>
        </w:rPr>
        <w:t xml:space="preserve"> </w:t>
      </w:r>
      <w:r w:rsidR="00ED0A75" w:rsidRPr="00CF3673">
        <w:rPr>
          <w:lang w:val="pt-PT"/>
        </w:rPr>
        <w:t>2.16</w:t>
      </w:r>
      <w:r w:rsidR="00A06AD8" w:rsidRPr="00CF3673">
        <w:rPr>
          <w:lang w:val="pt-PT"/>
        </w:rPr>
        <w:t xml:space="preserve">: </w:t>
      </w:r>
      <w:r w:rsidR="00D47997" w:rsidRPr="00CF3673">
        <w:rPr>
          <w:lang w:val="pt-PT"/>
        </w:rPr>
        <w:t xml:space="preserve">Média e </w:t>
      </w:r>
      <w:r w:rsidR="00096A78" w:rsidRPr="00CF3673">
        <w:rPr>
          <w:lang w:val="pt-PT"/>
        </w:rPr>
        <w:t>m</w:t>
      </w:r>
      <w:r w:rsidR="00D47997" w:rsidRPr="00CF3673">
        <w:rPr>
          <w:lang w:val="pt-PT"/>
        </w:rPr>
        <w:t xml:space="preserve">ediana do número de trabalhadores por tamanho de empresas em três </w:t>
      </w:r>
      <w:r w:rsidR="00096A78" w:rsidRPr="00CF3673">
        <w:rPr>
          <w:lang w:val="pt-PT"/>
        </w:rPr>
        <w:t>inquéritos</w:t>
      </w:r>
      <w:bookmarkEnd w:id="32"/>
      <w:r w:rsidR="00096A78" w:rsidRPr="00CF3673">
        <w:rPr>
          <w:lang w:val="pt-PT"/>
        </w:rPr>
        <w:t>.</w:t>
      </w:r>
    </w:p>
    <w:tbl>
      <w:tblPr>
        <w:tblStyle w:val="StandardTable"/>
        <w:tblW w:w="0" w:type="auto"/>
        <w:jc w:val="center"/>
        <w:tblLayout w:type="fixed"/>
        <w:tblLook w:val="04A0" w:firstRow="1" w:lastRow="0" w:firstColumn="1" w:lastColumn="0" w:noHBand="0" w:noVBand="1"/>
      </w:tblPr>
      <w:tblGrid>
        <w:gridCol w:w="903"/>
        <w:gridCol w:w="688"/>
        <w:gridCol w:w="839"/>
        <w:gridCol w:w="583"/>
        <w:gridCol w:w="688"/>
        <w:gridCol w:w="839"/>
        <w:gridCol w:w="583"/>
        <w:gridCol w:w="688"/>
        <w:gridCol w:w="839"/>
        <w:gridCol w:w="583"/>
      </w:tblGrid>
      <w:tr w:rsidR="00A06AD8" w:rsidRPr="00CF3673" w:rsidTr="00B36CE7">
        <w:trPr>
          <w:cnfStyle w:val="100000000000" w:firstRow="1" w:lastRow="0" w:firstColumn="0" w:lastColumn="0" w:oddVBand="0" w:evenVBand="0" w:oddHBand="0" w:evenHBand="0" w:firstRowFirstColumn="0" w:firstRowLastColumn="0" w:lastRowFirstColumn="0" w:lastRowLastColumn="0"/>
          <w:trHeight w:val="300"/>
          <w:jc w:val="center"/>
        </w:trPr>
        <w:tc>
          <w:tcPr>
            <w:tcW w:w="903" w:type="dxa"/>
            <w:tcBorders>
              <w:bottom w:val="nil"/>
            </w:tcBorders>
            <w:noWrap/>
          </w:tcPr>
          <w:p w:rsidR="00A06AD8" w:rsidRPr="00CF3673" w:rsidRDefault="00A06AD8" w:rsidP="004706AB">
            <w:pPr>
              <w:rPr>
                <w:rFonts w:ascii="Calibri" w:eastAsia="Times New Roman" w:hAnsi="Calibri" w:cs="Times New Roman"/>
                <w:lang w:eastAsia="zh-CN"/>
              </w:rPr>
            </w:pPr>
          </w:p>
        </w:tc>
        <w:tc>
          <w:tcPr>
            <w:tcW w:w="2110" w:type="dxa"/>
            <w:gridSpan w:val="3"/>
            <w:tcBorders>
              <w:bottom w:val="nil"/>
            </w:tcBorders>
            <w:noWrap/>
          </w:tcPr>
          <w:p w:rsidR="00A06AD8" w:rsidRPr="00CF3673" w:rsidRDefault="00A06AD8" w:rsidP="004706AB">
            <w:pPr>
              <w:jc w:val="center"/>
              <w:rPr>
                <w:rFonts w:ascii="Calibri" w:eastAsia="Times New Roman" w:hAnsi="Calibri" w:cs="Times New Roman"/>
                <w:lang w:eastAsia="zh-CN"/>
              </w:rPr>
            </w:pPr>
            <w:r w:rsidRPr="00CF3673">
              <w:rPr>
                <w:rFonts w:ascii="Calibri" w:eastAsia="Times New Roman" w:hAnsi="Calibri" w:cs="Times New Roman"/>
                <w:lang w:eastAsia="zh-CN"/>
              </w:rPr>
              <w:t>DNEAP06 (2005)</w:t>
            </w:r>
          </w:p>
        </w:tc>
        <w:tc>
          <w:tcPr>
            <w:tcW w:w="2110" w:type="dxa"/>
            <w:gridSpan w:val="3"/>
            <w:tcBorders>
              <w:bottom w:val="nil"/>
            </w:tcBorders>
            <w:noWrap/>
          </w:tcPr>
          <w:p w:rsidR="00A06AD8" w:rsidRPr="00CF3673" w:rsidRDefault="00CA5E60" w:rsidP="004706AB">
            <w:pPr>
              <w:jc w:val="center"/>
              <w:rPr>
                <w:rFonts w:ascii="Calibri" w:eastAsia="Times New Roman" w:hAnsi="Calibri" w:cs="Times New Roman"/>
                <w:lang w:eastAsia="zh-CN"/>
              </w:rPr>
            </w:pPr>
            <w:r w:rsidRPr="00CF3673">
              <w:rPr>
                <w:rFonts w:ascii="Calibri" w:eastAsia="Times New Roman" w:hAnsi="Calibri" w:cs="Times New Roman"/>
                <w:lang w:eastAsia="zh-CN"/>
              </w:rPr>
              <w:t>ICA09</w:t>
            </w:r>
            <w:r w:rsidR="00A06AD8" w:rsidRPr="00CF3673">
              <w:rPr>
                <w:rFonts w:ascii="Calibri" w:eastAsia="Times New Roman" w:hAnsi="Calibri" w:cs="Times New Roman"/>
                <w:lang w:eastAsia="zh-CN"/>
              </w:rPr>
              <w:t xml:space="preserve"> (2006)</w:t>
            </w:r>
          </w:p>
        </w:tc>
        <w:tc>
          <w:tcPr>
            <w:tcW w:w="2110" w:type="dxa"/>
            <w:gridSpan w:val="3"/>
            <w:tcBorders>
              <w:bottom w:val="nil"/>
            </w:tcBorders>
            <w:noWrap/>
          </w:tcPr>
          <w:p w:rsidR="00A06AD8" w:rsidRPr="00CF3673" w:rsidRDefault="00A06AD8" w:rsidP="004706AB">
            <w:pPr>
              <w:jc w:val="center"/>
              <w:rPr>
                <w:rFonts w:ascii="Calibri" w:eastAsia="Times New Roman" w:hAnsi="Calibri" w:cs="Times New Roman"/>
                <w:lang w:eastAsia="zh-CN"/>
              </w:rPr>
            </w:pPr>
            <w:r w:rsidRPr="00CF3673">
              <w:rPr>
                <w:rFonts w:ascii="Calibri" w:eastAsia="Times New Roman" w:hAnsi="Calibri" w:cs="Times New Roman"/>
                <w:lang w:eastAsia="zh-CN"/>
              </w:rPr>
              <w:t>IIM2012 (2011)</w:t>
            </w:r>
          </w:p>
        </w:tc>
      </w:tr>
      <w:tr w:rsidR="00A06AD8" w:rsidRPr="00CF3673" w:rsidTr="00B36CE7">
        <w:trPr>
          <w:trHeight w:val="300"/>
          <w:jc w:val="center"/>
        </w:trPr>
        <w:tc>
          <w:tcPr>
            <w:tcW w:w="903" w:type="dxa"/>
            <w:tcBorders>
              <w:top w:val="nil"/>
              <w:bottom w:val="single" w:sz="4" w:space="0" w:color="auto"/>
            </w:tcBorders>
            <w:noWrap/>
          </w:tcPr>
          <w:p w:rsidR="00A06AD8" w:rsidRPr="00CF3673" w:rsidRDefault="00A06AD8" w:rsidP="004706AB">
            <w:pPr>
              <w:rPr>
                <w:rFonts w:ascii="Calibri" w:eastAsia="Times New Roman" w:hAnsi="Calibri" w:cs="Times New Roman"/>
                <w:lang w:eastAsia="zh-CN"/>
              </w:rPr>
            </w:pPr>
          </w:p>
        </w:tc>
        <w:tc>
          <w:tcPr>
            <w:tcW w:w="688" w:type="dxa"/>
            <w:tcBorders>
              <w:top w:val="nil"/>
              <w:bottom w:val="single" w:sz="4" w:space="0" w:color="auto"/>
            </w:tcBorders>
            <w:noWrap/>
            <w:hideMark/>
          </w:tcPr>
          <w:p w:rsidR="00A06AD8" w:rsidRPr="00CF3673" w:rsidRDefault="00A06AD8" w:rsidP="00067D85">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Me</w:t>
            </w:r>
            <w:r w:rsidR="00067D85" w:rsidRPr="00CF3673">
              <w:rPr>
                <w:rFonts w:ascii="Calibri" w:eastAsia="Times New Roman" w:hAnsi="Calibri" w:cs="Calibri"/>
                <w:color w:val="000000"/>
                <w:lang w:eastAsia="zh-CN"/>
              </w:rPr>
              <w:t>dia</w:t>
            </w:r>
          </w:p>
        </w:tc>
        <w:tc>
          <w:tcPr>
            <w:tcW w:w="839" w:type="dxa"/>
            <w:tcBorders>
              <w:top w:val="nil"/>
              <w:bottom w:val="single" w:sz="4" w:space="0" w:color="auto"/>
            </w:tcBorders>
            <w:noWrap/>
            <w:hideMark/>
          </w:tcPr>
          <w:p w:rsidR="00A06AD8" w:rsidRPr="00CF3673" w:rsidRDefault="00A06AD8" w:rsidP="00067D85">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Media</w:t>
            </w:r>
          </w:p>
        </w:tc>
        <w:tc>
          <w:tcPr>
            <w:tcW w:w="583" w:type="dxa"/>
            <w:tcBorders>
              <w:top w:val="nil"/>
              <w:bottom w:val="single" w:sz="4" w:space="0" w:color="auto"/>
            </w:tcBorders>
            <w:noWrap/>
            <w:hideMark/>
          </w:tcPr>
          <w:p w:rsidR="00A06AD8" w:rsidRPr="00CF3673" w:rsidRDefault="00A06AD8" w:rsidP="004706AB">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Obs.</w:t>
            </w:r>
          </w:p>
        </w:tc>
        <w:tc>
          <w:tcPr>
            <w:tcW w:w="688" w:type="dxa"/>
            <w:tcBorders>
              <w:top w:val="nil"/>
              <w:bottom w:val="single" w:sz="4" w:space="0" w:color="auto"/>
            </w:tcBorders>
            <w:noWrap/>
            <w:hideMark/>
          </w:tcPr>
          <w:p w:rsidR="00A06AD8" w:rsidRPr="00CF3673" w:rsidRDefault="00A06AD8" w:rsidP="00067D85">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Me</w:t>
            </w:r>
            <w:r w:rsidR="00067D85" w:rsidRPr="00CF3673">
              <w:rPr>
                <w:rFonts w:ascii="Calibri" w:eastAsia="Times New Roman" w:hAnsi="Calibri" w:cs="Calibri"/>
                <w:color w:val="000000"/>
                <w:lang w:eastAsia="zh-CN"/>
              </w:rPr>
              <w:t>dia</w:t>
            </w:r>
          </w:p>
        </w:tc>
        <w:tc>
          <w:tcPr>
            <w:tcW w:w="839" w:type="dxa"/>
            <w:tcBorders>
              <w:top w:val="nil"/>
              <w:bottom w:val="single" w:sz="4" w:space="0" w:color="auto"/>
            </w:tcBorders>
            <w:noWrap/>
            <w:hideMark/>
          </w:tcPr>
          <w:p w:rsidR="00A06AD8" w:rsidRPr="00CF3673" w:rsidRDefault="00A06AD8" w:rsidP="004706AB">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Median</w:t>
            </w:r>
            <w:r w:rsidR="00067D85" w:rsidRPr="00CF3673">
              <w:rPr>
                <w:rFonts w:ascii="Calibri" w:eastAsia="Times New Roman" w:hAnsi="Calibri" w:cs="Calibri"/>
                <w:color w:val="000000"/>
                <w:lang w:eastAsia="zh-CN"/>
              </w:rPr>
              <w:t>a</w:t>
            </w:r>
          </w:p>
        </w:tc>
        <w:tc>
          <w:tcPr>
            <w:tcW w:w="583" w:type="dxa"/>
            <w:tcBorders>
              <w:top w:val="nil"/>
              <w:bottom w:val="single" w:sz="4" w:space="0" w:color="auto"/>
            </w:tcBorders>
            <w:noWrap/>
            <w:hideMark/>
          </w:tcPr>
          <w:p w:rsidR="00A06AD8" w:rsidRPr="00CF3673" w:rsidRDefault="00A06AD8" w:rsidP="004706AB">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Obs.</w:t>
            </w:r>
          </w:p>
        </w:tc>
        <w:tc>
          <w:tcPr>
            <w:tcW w:w="688" w:type="dxa"/>
            <w:tcBorders>
              <w:top w:val="nil"/>
              <w:bottom w:val="single" w:sz="4" w:space="0" w:color="auto"/>
            </w:tcBorders>
            <w:noWrap/>
            <w:hideMark/>
          </w:tcPr>
          <w:p w:rsidR="00A06AD8" w:rsidRPr="00CF3673" w:rsidRDefault="00A06AD8" w:rsidP="00067D85">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Me</w:t>
            </w:r>
            <w:r w:rsidR="00067D85" w:rsidRPr="00CF3673">
              <w:rPr>
                <w:rFonts w:ascii="Calibri" w:eastAsia="Times New Roman" w:hAnsi="Calibri" w:cs="Calibri"/>
                <w:color w:val="000000"/>
                <w:lang w:eastAsia="zh-CN"/>
              </w:rPr>
              <w:t>dia</w:t>
            </w:r>
          </w:p>
        </w:tc>
        <w:tc>
          <w:tcPr>
            <w:tcW w:w="839" w:type="dxa"/>
            <w:tcBorders>
              <w:top w:val="nil"/>
              <w:bottom w:val="single" w:sz="4" w:space="0" w:color="auto"/>
            </w:tcBorders>
            <w:noWrap/>
            <w:hideMark/>
          </w:tcPr>
          <w:p w:rsidR="00A06AD8" w:rsidRPr="00CF3673" w:rsidRDefault="00067D85" w:rsidP="004706AB">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Media</w:t>
            </w:r>
            <w:r w:rsidR="00A06AD8" w:rsidRPr="00CF3673">
              <w:rPr>
                <w:rFonts w:ascii="Calibri" w:eastAsia="Times New Roman" w:hAnsi="Calibri" w:cs="Calibri"/>
                <w:color w:val="000000"/>
                <w:lang w:eastAsia="zh-CN"/>
              </w:rPr>
              <w:t>n</w:t>
            </w:r>
            <w:r w:rsidRPr="00CF3673">
              <w:rPr>
                <w:rFonts w:ascii="Calibri" w:eastAsia="Times New Roman" w:hAnsi="Calibri" w:cs="Calibri"/>
                <w:color w:val="000000"/>
                <w:lang w:eastAsia="zh-CN"/>
              </w:rPr>
              <w:t>a</w:t>
            </w:r>
          </w:p>
        </w:tc>
        <w:tc>
          <w:tcPr>
            <w:tcW w:w="583" w:type="dxa"/>
            <w:tcBorders>
              <w:top w:val="nil"/>
              <w:bottom w:val="single" w:sz="4" w:space="0" w:color="auto"/>
            </w:tcBorders>
            <w:noWrap/>
            <w:hideMark/>
          </w:tcPr>
          <w:p w:rsidR="00A06AD8" w:rsidRPr="00CF3673" w:rsidRDefault="00A06AD8" w:rsidP="004706AB">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Obs.</w:t>
            </w:r>
          </w:p>
        </w:tc>
      </w:tr>
      <w:tr w:rsidR="00B36CE7" w:rsidRPr="00CF3673" w:rsidTr="00B36CE7">
        <w:trPr>
          <w:trHeight w:val="300"/>
          <w:jc w:val="center"/>
        </w:trPr>
        <w:tc>
          <w:tcPr>
            <w:tcW w:w="903" w:type="dxa"/>
            <w:tcBorders>
              <w:top w:val="single" w:sz="4" w:space="0" w:color="auto"/>
            </w:tcBorders>
            <w:noWrap/>
            <w:hideMark/>
          </w:tcPr>
          <w:p w:rsidR="00B36CE7" w:rsidRPr="00CF3673" w:rsidRDefault="00067D85" w:rsidP="004706AB">
            <w:pPr>
              <w:rPr>
                <w:rFonts w:ascii="Calibri" w:eastAsia="Times New Roman" w:hAnsi="Calibri" w:cs="Calibri"/>
                <w:color w:val="000000"/>
                <w:lang w:eastAsia="zh-CN"/>
              </w:rPr>
            </w:pPr>
            <w:r w:rsidRPr="00CF3673">
              <w:rPr>
                <w:rFonts w:ascii="Calibri" w:eastAsia="Times New Roman" w:hAnsi="Calibri" w:cs="Calibri"/>
                <w:color w:val="000000"/>
                <w:lang w:eastAsia="zh-CN"/>
              </w:rPr>
              <w:t>Todos</w:t>
            </w:r>
          </w:p>
        </w:tc>
        <w:tc>
          <w:tcPr>
            <w:tcW w:w="688" w:type="dxa"/>
            <w:tcBorders>
              <w:top w:val="single" w:sz="4" w:space="0" w:color="auto"/>
            </w:tcBorders>
            <w:noWrap/>
            <w:hideMark/>
          </w:tcPr>
          <w:p w:rsidR="00B36CE7" w:rsidRPr="00CF3673" w:rsidRDefault="00B36CE7" w:rsidP="00B36CE7">
            <w:pPr>
              <w:jc w:val="center"/>
            </w:pPr>
            <w:r w:rsidRPr="00CF3673">
              <w:t>49.7</w:t>
            </w:r>
          </w:p>
        </w:tc>
        <w:tc>
          <w:tcPr>
            <w:tcW w:w="839" w:type="dxa"/>
            <w:tcBorders>
              <w:top w:val="single" w:sz="4" w:space="0" w:color="auto"/>
            </w:tcBorders>
            <w:noWrap/>
            <w:hideMark/>
          </w:tcPr>
          <w:p w:rsidR="00B36CE7" w:rsidRPr="00CF3673" w:rsidRDefault="00B36CE7" w:rsidP="00B36CE7">
            <w:pPr>
              <w:jc w:val="center"/>
            </w:pPr>
            <w:r w:rsidRPr="00CF3673">
              <w:t>30</w:t>
            </w:r>
          </w:p>
        </w:tc>
        <w:tc>
          <w:tcPr>
            <w:tcW w:w="583" w:type="dxa"/>
            <w:tcBorders>
              <w:top w:val="single" w:sz="4" w:space="0" w:color="auto"/>
            </w:tcBorders>
            <w:noWrap/>
            <w:hideMark/>
          </w:tcPr>
          <w:p w:rsidR="00B36CE7" w:rsidRPr="00CF3673" w:rsidRDefault="00B36CE7" w:rsidP="00B36CE7">
            <w:pPr>
              <w:jc w:val="center"/>
            </w:pPr>
            <w:r w:rsidRPr="00CF3673">
              <w:t>141</w:t>
            </w:r>
          </w:p>
        </w:tc>
        <w:tc>
          <w:tcPr>
            <w:tcW w:w="688" w:type="dxa"/>
            <w:tcBorders>
              <w:top w:val="single" w:sz="4" w:space="0" w:color="auto"/>
            </w:tcBorders>
            <w:noWrap/>
            <w:hideMark/>
          </w:tcPr>
          <w:p w:rsidR="00B36CE7" w:rsidRPr="00CF3673" w:rsidRDefault="00B36CE7" w:rsidP="00B36CE7">
            <w:pPr>
              <w:jc w:val="center"/>
            </w:pPr>
            <w:r w:rsidRPr="00CF3673">
              <w:t>24.2</w:t>
            </w:r>
          </w:p>
        </w:tc>
        <w:tc>
          <w:tcPr>
            <w:tcW w:w="839" w:type="dxa"/>
            <w:tcBorders>
              <w:top w:val="single" w:sz="4" w:space="0" w:color="auto"/>
            </w:tcBorders>
            <w:noWrap/>
            <w:hideMark/>
          </w:tcPr>
          <w:p w:rsidR="00B36CE7" w:rsidRPr="00CF3673" w:rsidRDefault="00B36CE7" w:rsidP="00B36CE7">
            <w:pPr>
              <w:jc w:val="center"/>
            </w:pPr>
            <w:r w:rsidRPr="00CF3673">
              <w:t>10</w:t>
            </w:r>
          </w:p>
        </w:tc>
        <w:tc>
          <w:tcPr>
            <w:tcW w:w="583" w:type="dxa"/>
            <w:tcBorders>
              <w:top w:val="single" w:sz="4" w:space="0" w:color="auto"/>
            </w:tcBorders>
            <w:noWrap/>
            <w:hideMark/>
          </w:tcPr>
          <w:p w:rsidR="00B36CE7" w:rsidRPr="00CF3673" w:rsidRDefault="00B36CE7" w:rsidP="00B36CE7">
            <w:pPr>
              <w:jc w:val="center"/>
            </w:pPr>
            <w:r w:rsidRPr="00CF3673">
              <w:t>305</w:t>
            </w:r>
          </w:p>
        </w:tc>
        <w:tc>
          <w:tcPr>
            <w:tcW w:w="688" w:type="dxa"/>
            <w:tcBorders>
              <w:top w:val="single" w:sz="4" w:space="0" w:color="auto"/>
            </w:tcBorders>
            <w:noWrap/>
            <w:hideMark/>
          </w:tcPr>
          <w:p w:rsidR="00B36CE7" w:rsidRPr="00CF3673" w:rsidRDefault="00B36CE7" w:rsidP="00B36CE7">
            <w:pPr>
              <w:jc w:val="center"/>
            </w:pPr>
            <w:r w:rsidRPr="00CF3673">
              <w:t>16.7</w:t>
            </w:r>
          </w:p>
        </w:tc>
        <w:tc>
          <w:tcPr>
            <w:tcW w:w="839" w:type="dxa"/>
            <w:tcBorders>
              <w:top w:val="single" w:sz="4" w:space="0" w:color="auto"/>
            </w:tcBorders>
            <w:noWrap/>
            <w:hideMark/>
          </w:tcPr>
          <w:p w:rsidR="00B36CE7" w:rsidRPr="00CF3673" w:rsidRDefault="00B36CE7" w:rsidP="00B36CE7">
            <w:pPr>
              <w:jc w:val="center"/>
            </w:pPr>
            <w:r w:rsidRPr="00CF3673">
              <w:t>6</w:t>
            </w:r>
          </w:p>
        </w:tc>
        <w:tc>
          <w:tcPr>
            <w:tcW w:w="583" w:type="dxa"/>
            <w:tcBorders>
              <w:top w:val="single" w:sz="4" w:space="0" w:color="auto"/>
            </w:tcBorders>
            <w:noWrap/>
            <w:hideMark/>
          </w:tcPr>
          <w:p w:rsidR="00B36CE7" w:rsidRPr="00CF3673" w:rsidRDefault="00B36CE7" w:rsidP="00B36CE7">
            <w:pPr>
              <w:jc w:val="center"/>
            </w:pPr>
            <w:r w:rsidRPr="00CF3673">
              <w:t>761</w:t>
            </w:r>
          </w:p>
        </w:tc>
      </w:tr>
      <w:tr w:rsidR="00B36CE7" w:rsidRPr="00CF3673" w:rsidTr="00B36CE7">
        <w:trPr>
          <w:trHeight w:val="300"/>
          <w:jc w:val="center"/>
        </w:trPr>
        <w:tc>
          <w:tcPr>
            <w:tcW w:w="903" w:type="dxa"/>
            <w:noWrap/>
            <w:hideMark/>
          </w:tcPr>
          <w:p w:rsidR="00B36CE7" w:rsidRPr="00CF3673" w:rsidRDefault="00B36CE7" w:rsidP="004706AB">
            <w:pP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688" w:type="dxa"/>
            <w:noWrap/>
            <w:hideMark/>
          </w:tcPr>
          <w:p w:rsidR="00B36CE7" w:rsidRPr="00CF3673" w:rsidRDefault="00B36CE7" w:rsidP="00B36CE7">
            <w:pPr>
              <w:jc w:val="center"/>
            </w:pPr>
            <w:r w:rsidRPr="00CF3673">
              <w:t>5.5</w:t>
            </w:r>
          </w:p>
        </w:tc>
        <w:tc>
          <w:tcPr>
            <w:tcW w:w="839" w:type="dxa"/>
            <w:noWrap/>
            <w:hideMark/>
          </w:tcPr>
          <w:p w:rsidR="00B36CE7" w:rsidRPr="00CF3673" w:rsidRDefault="00B36CE7" w:rsidP="00B36CE7">
            <w:pPr>
              <w:jc w:val="center"/>
            </w:pPr>
            <w:r w:rsidRPr="00CF3673">
              <w:t>5</w:t>
            </w:r>
          </w:p>
        </w:tc>
        <w:tc>
          <w:tcPr>
            <w:tcW w:w="583" w:type="dxa"/>
            <w:noWrap/>
            <w:hideMark/>
          </w:tcPr>
          <w:p w:rsidR="00B36CE7" w:rsidRPr="00CF3673" w:rsidRDefault="00B36CE7" w:rsidP="00B36CE7">
            <w:pPr>
              <w:jc w:val="center"/>
            </w:pPr>
            <w:r w:rsidRPr="00CF3673">
              <w:t>33</w:t>
            </w:r>
          </w:p>
        </w:tc>
        <w:tc>
          <w:tcPr>
            <w:tcW w:w="688" w:type="dxa"/>
            <w:noWrap/>
            <w:hideMark/>
          </w:tcPr>
          <w:p w:rsidR="00B36CE7" w:rsidRPr="00CF3673" w:rsidRDefault="00B36CE7" w:rsidP="00B36CE7">
            <w:pPr>
              <w:jc w:val="center"/>
            </w:pPr>
            <w:r w:rsidRPr="00CF3673">
              <w:t>5.9</w:t>
            </w:r>
          </w:p>
        </w:tc>
        <w:tc>
          <w:tcPr>
            <w:tcW w:w="839" w:type="dxa"/>
            <w:noWrap/>
            <w:hideMark/>
          </w:tcPr>
          <w:p w:rsidR="00B36CE7" w:rsidRPr="00CF3673" w:rsidRDefault="00B36CE7" w:rsidP="00B36CE7">
            <w:pPr>
              <w:jc w:val="center"/>
            </w:pPr>
            <w:r w:rsidRPr="00CF3673">
              <w:t>5</w:t>
            </w:r>
          </w:p>
        </w:tc>
        <w:tc>
          <w:tcPr>
            <w:tcW w:w="583" w:type="dxa"/>
            <w:noWrap/>
            <w:hideMark/>
          </w:tcPr>
          <w:p w:rsidR="00B36CE7" w:rsidRPr="00CF3673" w:rsidRDefault="00B36CE7" w:rsidP="00B36CE7">
            <w:pPr>
              <w:jc w:val="center"/>
            </w:pPr>
            <w:r w:rsidRPr="00CF3673">
              <w:t>150</w:t>
            </w:r>
          </w:p>
        </w:tc>
        <w:tc>
          <w:tcPr>
            <w:tcW w:w="688" w:type="dxa"/>
            <w:noWrap/>
            <w:hideMark/>
          </w:tcPr>
          <w:p w:rsidR="00B36CE7" w:rsidRPr="00CF3673" w:rsidRDefault="00B36CE7" w:rsidP="00B36CE7">
            <w:pPr>
              <w:jc w:val="center"/>
            </w:pPr>
            <w:r w:rsidRPr="00CF3673">
              <w:t>4.4</w:t>
            </w:r>
          </w:p>
        </w:tc>
        <w:tc>
          <w:tcPr>
            <w:tcW w:w="839" w:type="dxa"/>
            <w:noWrap/>
            <w:hideMark/>
          </w:tcPr>
          <w:p w:rsidR="00B36CE7" w:rsidRPr="00CF3673" w:rsidRDefault="00B36CE7" w:rsidP="00B36CE7">
            <w:pPr>
              <w:jc w:val="center"/>
            </w:pPr>
            <w:r w:rsidRPr="00CF3673">
              <w:t>4</w:t>
            </w:r>
          </w:p>
        </w:tc>
        <w:tc>
          <w:tcPr>
            <w:tcW w:w="583" w:type="dxa"/>
            <w:noWrap/>
            <w:hideMark/>
          </w:tcPr>
          <w:p w:rsidR="00B36CE7" w:rsidRPr="00CF3673" w:rsidRDefault="00B36CE7" w:rsidP="00B36CE7">
            <w:pPr>
              <w:jc w:val="center"/>
            </w:pPr>
            <w:r w:rsidRPr="00CF3673">
              <w:t>517</w:t>
            </w:r>
          </w:p>
        </w:tc>
      </w:tr>
      <w:tr w:rsidR="00B36CE7" w:rsidRPr="00CF3673" w:rsidTr="00B36CE7">
        <w:trPr>
          <w:trHeight w:val="300"/>
          <w:jc w:val="center"/>
        </w:trPr>
        <w:tc>
          <w:tcPr>
            <w:tcW w:w="903" w:type="dxa"/>
            <w:noWrap/>
            <w:hideMark/>
          </w:tcPr>
          <w:p w:rsidR="00B36CE7" w:rsidRPr="00CF3673" w:rsidRDefault="00067D85" w:rsidP="00067D85">
            <w:pPr>
              <w:rPr>
                <w:rFonts w:ascii="Calibri" w:eastAsia="Times New Roman" w:hAnsi="Calibri" w:cs="Calibri"/>
                <w:color w:val="000000"/>
                <w:lang w:eastAsia="zh-CN"/>
              </w:rPr>
            </w:pPr>
            <w:r w:rsidRPr="00CF3673">
              <w:rPr>
                <w:rFonts w:ascii="Calibri" w:eastAsia="Times New Roman" w:hAnsi="Calibri" w:cs="Calibri"/>
                <w:color w:val="000000"/>
                <w:lang w:eastAsia="zh-CN"/>
              </w:rPr>
              <w:t>Pequena</w:t>
            </w:r>
          </w:p>
        </w:tc>
        <w:tc>
          <w:tcPr>
            <w:tcW w:w="688" w:type="dxa"/>
            <w:noWrap/>
            <w:hideMark/>
          </w:tcPr>
          <w:p w:rsidR="00B36CE7" w:rsidRPr="00CF3673" w:rsidRDefault="00B36CE7" w:rsidP="00B36CE7">
            <w:pPr>
              <w:jc w:val="center"/>
            </w:pPr>
            <w:r w:rsidRPr="00CF3673">
              <w:t>26.6</w:t>
            </w:r>
          </w:p>
        </w:tc>
        <w:tc>
          <w:tcPr>
            <w:tcW w:w="839" w:type="dxa"/>
            <w:noWrap/>
            <w:hideMark/>
          </w:tcPr>
          <w:p w:rsidR="00B36CE7" w:rsidRPr="00CF3673" w:rsidRDefault="00B36CE7" w:rsidP="00B36CE7">
            <w:pPr>
              <w:jc w:val="center"/>
            </w:pPr>
            <w:r w:rsidRPr="00CF3673">
              <w:t>26</w:t>
            </w:r>
          </w:p>
        </w:tc>
        <w:tc>
          <w:tcPr>
            <w:tcW w:w="583" w:type="dxa"/>
            <w:noWrap/>
            <w:hideMark/>
          </w:tcPr>
          <w:p w:rsidR="00B36CE7" w:rsidRPr="00CF3673" w:rsidRDefault="00B36CE7" w:rsidP="00B36CE7">
            <w:pPr>
              <w:jc w:val="center"/>
            </w:pPr>
            <w:r w:rsidRPr="00CF3673">
              <w:t>64</w:t>
            </w:r>
          </w:p>
        </w:tc>
        <w:tc>
          <w:tcPr>
            <w:tcW w:w="688" w:type="dxa"/>
            <w:noWrap/>
            <w:hideMark/>
          </w:tcPr>
          <w:p w:rsidR="00B36CE7" w:rsidRPr="00CF3673" w:rsidRDefault="00B36CE7" w:rsidP="00B36CE7">
            <w:pPr>
              <w:jc w:val="center"/>
            </w:pPr>
            <w:r w:rsidRPr="00CF3673">
              <w:t>22.2</w:t>
            </w:r>
          </w:p>
        </w:tc>
        <w:tc>
          <w:tcPr>
            <w:tcW w:w="839" w:type="dxa"/>
            <w:noWrap/>
            <w:hideMark/>
          </w:tcPr>
          <w:p w:rsidR="00B36CE7" w:rsidRPr="00CF3673" w:rsidRDefault="00B36CE7" w:rsidP="00B36CE7">
            <w:pPr>
              <w:jc w:val="center"/>
            </w:pPr>
            <w:r w:rsidRPr="00CF3673">
              <w:t>20</w:t>
            </w:r>
          </w:p>
        </w:tc>
        <w:tc>
          <w:tcPr>
            <w:tcW w:w="583" w:type="dxa"/>
            <w:noWrap/>
            <w:hideMark/>
          </w:tcPr>
          <w:p w:rsidR="00B36CE7" w:rsidRPr="00CF3673" w:rsidRDefault="00B36CE7" w:rsidP="00B36CE7">
            <w:pPr>
              <w:jc w:val="center"/>
            </w:pPr>
            <w:r w:rsidRPr="00CF3673">
              <w:t>121</w:t>
            </w:r>
          </w:p>
        </w:tc>
        <w:tc>
          <w:tcPr>
            <w:tcW w:w="688" w:type="dxa"/>
            <w:noWrap/>
            <w:hideMark/>
          </w:tcPr>
          <w:p w:rsidR="00B36CE7" w:rsidRPr="00CF3673" w:rsidRDefault="00B36CE7" w:rsidP="00B36CE7">
            <w:pPr>
              <w:jc w:val="center"/>
            </w:pPr>
            <w:r w:rsidRPr="00CF3673">
              <w:t>22.0</w:t>
            </w:r>
          </w:p>
        </w:tc>
        <w:tc>
          <w:tcPr>
            <w:tcW w:w="839" w:type="dxa"/>
            <w:noWrap/>
            <w:hideMark/>
          </w:tcPr>
          <w:p w:rsidR="00B36CE7" w:rsidRPr="00CF3673" w:rsidRDefault="00B36CE7" w:rsidP="00B36CE7">
            <w:pPr>
              <w:jc w:val="center"/>
            </w:pPr>
            <w:r w:rsidRPr="00CF3673">
              <w:t>18</w:t>
            </w:r>
          </w:p>
        </w:tc>
        <w:tc>
          <w:tcPr>
            <w:tcW w:w="583" w:type="dxa"/>
            <w:noWrap/>
            <w:hideMark/>
          </w:tcPr>
          <w:p w:rsidR="00B36CE7" w:rsidRPr="00CF3673" w:rsidRDefault="00B36CE7" w:rsidP="00B36CE7">
            <w:pPr>
              <w:jc w:val="center"/>
            </w:pPr>
            <w:r w:rsidRPr="00CF3673">
              <w:t>178</w:t>
            </w:r>
          </w:p>
        </w:tc>
      </w:tr>
      <w:tr w:rsidR="00B36CE7" w:rsidRPr="00CF3673" w:rsidTr="00B36CE7">
        <w:trPr>
          <w:trHeight w:val="300"/>
          <w:jc w:val="center"/>
        </w:trPr>
        <w:tc>
          <w:tcPr>
            <w:tcW w:w="903" w:type="dxa"/>
            <w:noWrap/>
            <w:hideMark/>
          </w:tcPr>
          <w:p w:rsidR="00B36CE7" w:rsidRPr="00CF3673" w:rsidRDefault="00B36CE7" w:rsidP="00067D85">
            <w:pPr>
              <w:rPr>
                <w:rFonts w:ascii="Calibri" w:eastAsia="Times New Roman" w:hAnsi="Calibri" w:cs="Calibri"/>
                <w:color w:val="000000"/>
                <w:lang w:eastAsia="zh-CN"/>
              </w:rPr>
            </w:pPr>
            <w:r w:rsidRPr="00CF3673">
              <w:rPr>
                <w:rFonts w:ascii="Calibri" w:eastAsia="Times New Roman" w:hAnsi="Calibri" w:cs="Calibri"/>
                <w:color w:val="000000"/>
                <w:lang w:eastAsia="zh-CN"/>
              </w:rPr>
              <w:t>Medi</w:t>
            </w:r>
            <w:r w:rsidR="00067D85" w:rsidRPr="00CF3673">
              <w:rPr>
                <w:rFonts w:ascii="Calibri" w:eastAsia="Times New Roman" w:hAnsi="Calibri" w:cs="Calibri"/>
                <w:color w:val="000000"/>
                <w:lang w:eastAsia="zh-CN"/>
              </w:rPr>
              <w:t>a</w:t>
            </w:r>
          </w:p>
        </w:tc>
        <w:tc>
          <w:tcPr>
            <w:tcW w:w="688" w:type="dxa"/>
            <w:noWrap/>
            <w:hideMark/>
          </w:tcPr>
          <w:p w:rsidR="00B36CE7" w:rsidRPr="00CF3673" w:rsidRDefault="00B36CE7" w:rsidP="00B36CE7">
            <w:pPr>
              <w:jc w:val="center"/>
            </w:pPr>
            <w:r w:rsidRPr="00CF3673">
              <w:t>97.4</w:t>
            </w:r>
          </w:p>
        </w:tc>
        <w:tc>
          <w:tcPr>
            <w:tcW w:w="839" w:type="dxa"/>
            <w:noWrap/>
            <w:hideMark/>
          </w:tcPr>
          <w:p w:rsidR="00B36CE7" w:rsidRPr="00CF3673" w:rsidRDefault="00B36CE7" w:rsidP="00B36CE7">
            <w:pPr>
              <w:jc w:val="center"/>
            </w:pPr>
            <w:r w:rsidRPr="00CF3673">
              <w:t>83</w:t>
            </w:r>
          </w:p>
        </w:tc>
        <w:tc>
          <w:tcPr>
            <w:tcW w:w="583" w:type="dxa"/>
            <w:noWrap/>
            <w:hideMark/>
          </w:tcPr>
          <w:p w:rsidR="00B36CE7" w:rsidRPr="00CF3673" w:rsidRDefault="00B36CE7" w:rsidP="00B36CE7">
            <w:pPr>
              <w:jc w:val="center"/>
            </w:pPr>
            <w:r w:rsidRPr="00CF3673">
              <w:t>42</w:t>
            </w:r>
          </w:p>
        </w:tc>
        <w:tc>
          <w:tcPr>
            <w:tcW w:w="688" w:type="dxa"/>
            <w:noWrap/>
            <w:hideMark/>
          </w:tcPr>
          <w:p w:rsidR="00B36CE7" w:rsidRPr="00CF3673" w:rsidRDefault="00B36CE7" w:rsidP="00B36CE7">
            <w:pPr>
              <w:jc w:val="center"/>
            </w:pPr>
            <w:r w:rsidRPr="00CF3673">
              <w:t>98.0</w:t>
            </w:r>
          </w:p>
        </w:tc>
        <w:tc>
          <w:tcPr>
            <w:tcW w:w="839" w:type="dxa"/>
            <w:noWrap/>
            <w:hideMark/>
          </w:tcPr>
          <w:p w:rsidR="00B36CE7" w:rsidRPr="00CF3673" w:rsidRDefault="00B36CE7" w:rsidP="00B36CE7">
            <w:pPr>
              <w:jc w:val="center"/>
            </w:pPr>
            <w:r w:rsidRPr="00CF3673">
              <w:t>80</w:t>
            </w:r>
          </w:p>
        </w:tc>
        <w:tc>
          <w:tcPr>
            <w:tcW w:w="583" w:type="dxa"/>
            <w:noWrap/>
            <w:hideMark/>
          </w:tcPr>
          <w:p w:rsidR="00B36CE7" w:rsidRPr="00CF3673" w:rsidRDefault="00B36CE7" w:rsidP="00B36CE7">
            <w:pPr>
              <w:jc w:val="center"/>
            </w:pPr>
            <w:r w:rsidRPr="00CF3673">
              <w:t>32</w:t>
            </w:r>
          </w:p>
        </w:tc>
        <w:tc>
          <w:tcPr>
            <w:tcW w:w="688" w:type="dxa"/>
            <w:noWrap/>
            <w:hideMark/>
          </w:tcPr>
          <w:p w:rsidR="00B36CE7" w:rsidRPr="00CF3673" w:rsidRDefault="00B36CE7" w:rsidP="00B36CE7">
            <w:pPr>
              <w:jc w:val="center"/>
            </w:pPr>
            <w:r w:rsidRPr="00CF3673">
              <w:t>99.0</w:t>
            </w:r>
          </w:p>
        </w:tc>
        <w:tc>
          <w:tcPr>
            <w:tcW w:w="839" w:type="dxa"/>
            <w:noWrap/>
            <w:hideMark/>
          </w:tcPr>
          <w:p w:rsidR="00B36CE7" w:rsidRPr="00CF3673" w:rsidRDefault="00B36CE7" w:rsidP="00B36CE7">
            <w:pPr>
              <w:jc w:val="center"/>
            </w:pPr>
            <w:r w:rsidRPr="00CF3673">
              <w:t>86</w:t>
            </w:r>
          </w:p>
        </w:tc>
        <w:tc>
          <w:tcPr>
            <w:tcW w:w="583" w:type="dxa"/>
            <w:noWrap/>
            <w:hideMark/>
          </w:tcPr>
          <w:p w:rsidR="00B36CE7" w:rsidRPr="00CF3673" w:rsidRDefault="00B36CE7" w:rsidP="00B36CE7">
            <w:pPr>
              <w:jc w:val="center"/>
            </w:pPr>
            <w:r w:rsidRPr="00CF3673">
              <w:t>66</w:t>
            </w:r>
          </w:p>
        </w:tc>
      </w:tr>
      <w:tr w:rsidR="00B36CE7" w:rsidRPr="00CF3673" w:rsidTr="00B36CE7">
        <w:trPr>
          <w:trHeight w:val="300"/>
          <w:jc w:val="center"/>
        </w:trPr>
        <w:tc>
          <w:tcPr>
            <w:tcW w:w="903" w:type="dxa"/>
            <w:tcBorders>
              <w:bottom w:val="double" w:sz="4" w:space="0" w:color="auto"/>
            </w:tcBorders>
            <w:noWrap/>
          </w:tcPr>
          <w:p w:rsidR="00B36CE7" w:rsidRPr="00CF3673" w:rsidRDefault="00067D85" w:rsidP="00067D85">
            <w:pPr>
              <w:rPr>
                <w:rFonts w:ascii="Calibri" w:eastAsia="Times New Roman" w:hAnsi="Calibri" w:cs="Calibri"/>
                <w:color w:val="000000"/>
                <w:lang w:eastAsia="zh-CN"/>
              </w:rPr>
            </w:pPr>
            <w:r w:rsidRPr="00CF3673">
              <w:rPr>
                <w:rFonts w:ascii="Calibri" w:eastAsia="Times New Roman" w:hAnsi="Calibri" w:cs="Times New Roman"/>
                <w:lang w:eastAsia="zh-CN"/>
              </w:rPr>
              <w:t>Grande</w:t>
            </w:r>
          </w:p>
        </w:tc>
        <w:tc>
          <w:tcPr>
            <w:tcW w:w="688" w:type="dxa"/>
            <w:tcBorders>
              <w:bottom w:val="double" w:sz="4" w:space="0" w:color="auto"/>
            </w:tcBorders>
            <w:noWrap/>
            <w:hideMark/>
          </w:tcPr>
          <w:p w:rsidR="00B36CE7" w:rsidRPr="00CF3673" w:rsidRDefault="00B36CE7" w:rsidP="00B36CE7">
            <w:pPr>
              <w:jc w:val="center"/>
            </w:pPr>
            <w:r w:rsidRPr="00CF3673">
              <w:t>516.5</w:t>
            </w:r>
          </w:p>
        </w:tc>
        <w:tc>
          <w:tcPr>
            <w:tcW w:w="839" w:type="dxa"/>
            <w:tcBorders>
              <w:bottom w:val="double" w:sz="4" w:space="0" w:color="auto"/>
            </w:tcBorders>
            <w:noWrap/>
            <w:hideMark/>
          </w:tcPr>
          <w:p w:rsidR="00B36CE7" w:rsidRPr="00CF3673" w:rsidRDefault="00B36CE7" w:rsidP="00B36CE7">
            <w:pPr>
              <w:jc w:val="center"/>
            </w:pPr>
            <w:r w:rsidRPr="00CF3673">
              <w:t>517</w:t>
            </w:r>
          </w:p>
        </w:tc>
        <w:tc>
          <w:tcPr>
            <w:tcW w:w="583" w:type="dxa"/>
            <w:tcBorders>
              <w:bottom w:val="double" w:sz="4" w:space="0" w:color="auto"/>
            </w:tcBorders>
            <w:noWrap/>
            <w:hideMark/>
          </w:tcPr>
          <w:p w:rsidR="00B36CE7" w:rsidRPr="00CF3673" w:rsidRDefault="00B36CE7" w:rsidP="00B36CE7">
            <w:pPr>
              <w:jc w:val="center"/>
            </w:pPr>
            <w:r w:rsidRPr="00CF3673">
              <w:t>2</w:t>
            </w:r>
          </w:p>
        </w:tc>
        <w:tc>
          <w:tcPr>
            <w:tcW w:w="688" w:type="dxa"/>
            <w:tcBorders>
              <w:bottom w:val="double" w:sz="4" w:space="0" w:color="auto"/>
            </w:tcBorders>
            <w:noWrap/>
            <w:hideMark/>
          </w:tcPr>
          <w:p w:rsidR="00B36CE7" w:rsidRPr="00CF3673" w:rsidRDefault="00B36CE7" w:rsidP="00B36CE7">
            <w:pPr>
              <w:jc w:val="center"/>
            </w:pPr>
            <w:r w:rsidRPr="00CF3673">
              <w:t>343.5</w:t>
            </w:r>
          </w:p>
        </w:tc>
        <w:tc>
          <w:tcPr>
            <w:tcW w:w="839" w:type="dxa"/>
            <w:tcBorders>
              <w:bottom w:val="double" w:sz="4" w:space="0" w:color="auto"/>
            </w:tcBorders>
            <w:noWrap/>
            <w:hideMark/>
          </w:tcPr>
          <w:p w:rsidR="00B36CE7" w:rsidRPr="00CF3673" w:rsidRDefault="00B36CE7" w:rsidP="00B36CE7">
            <w:pPr>
              <w:jc w:val="center"/>
            </w:pPr>
            <w:r w:rsidRPr="00CF3673">
              <w:t>344</w:t>
            </w:r>
          </w:p>
        </w:tc>
        <w:tc>
          <w:tcPr>
            <w:tcW w:w="583" w:type="dxa"/>
            <w:tcBorders>
              <w:bottom w:val="double" w:sz="4" w:space="0" w:color="auto"/>
            </w:tcBorders>
            <w:noWrap/>
            <w:hideMark/>
          </w:tcPr>
          <w:p w:rsidR="00B36CE7" w:rsidRPr="00CF3673" w:rsidRDefault="00B36CE7" w:rsidP="00B36CE7">
            <w:pPr>
              <w:jc w:val="center"/>
            </w:pPr>
            <w:r w:rsidRPr="00CF3673">
              <w:t>2</w:t>
            </w:r>
          </w:p>
        </w:tc>
        <w:tc>
          <w:tcPr>
            <w:tcW w:w="688" w:type="dxa"/>
            <w:tcBorders>
              <w:bottom w:val="double" w:sz="4" w:space="0" w:color="auto"/>
            </w:tcBorders>
            <w:noWrap/>
            <w:hideMark/>
          </w:tcPr>
          <w:p w:rsidR="00B36CE7" w:rsidRPr="00CF3673" w:rsidRDefault="00B36CE7" w:rsidP="00B36CE7">
            <w:pPr>
              <w:jc w:val="center"/>
            </w:pPr>
          </w:p>
        </w:tc>
        <w:tc>
          <w:tcPr>
            <w:tcW w:w="839" w:type="dxa"/>
            <w:tcBorders>
              <w:bottom w:val="double" w:sz="4" w:space="0" w:color="auto"/>
            </w:tcBorders>
            <w:noWrap/>
            <w:hideMark/>
          </w:tcPr>
          <w:p w:rsidR="00B36CE7" w:rsidRPr="00CF3673" w:rsidRDefault="00B36CE7" w:rsidP="00B36CE7">
            <w:pPr>
              <w:jc w:val="center"/>
            </w:pPr>
          </w:p>
        </w:tc>
        <w:tc>
          <w:tcPr>
            <w:tcW w:w="583" w:type="dxa"/>
            <w:tcBorders>
              <w:bottom w:val="double" w:sz="4" w:space="0" w:color="auto"/>
            </w:tcBorders>
            <w:noWrap/>
            <w:hideMark/>
          </w:tcPr>
          <w:p w:rsidR="00B36CE7" w:rsidRPr="00CF3673" w:rsidRDefault="00B36CE7" w:rsidP="00B36CE7">
            <w:pPr>
              <w:jc w:val="center"/>
            </w:pPr>
          </w:p>
        </w:tc>
      </w:tr>
      <w:tr w:rsidR="00B36CE7" w:rsidRPr="00CF3673" w:rsidTr="00B36CE7">
        <w:trPr>
          <w:trHeight w:val="300"/>
          <w:jc w:val="center"/>
        </w:trPr>
        <w:tc>
          <w:tcPr>
            <w:tcW w:w="7233" w:type="dxa"/>
            <w:gridSpan w:val="10"/>
            <w:tcBorders>
              <w:top w:val="double" w:sz="4" w:space="0" w:color="auto"/>
              <w:bottom w:val="nil"/>
            </w:tcBorders>
            <w:noWrap/>
          </w:tcPr>
          <w:p w:rsidR="00B36CE7" w:rsidRPr="00CF3673" w:rsidRDefault="00D47997" w:rsidP="00D47997">
            <w:pPr>
              <w:pStyle w:val="Tablenote"/>
              <w:rPr>
                <w:rFonts w:ascii="Calibri" w:eastAsia="Times New Roman" w:hAnsi="Calibri" w:cs="Times New Roman"/>
                <w:lang w:val="pt-PT" w:eastAsia="zh-CN"/>
              </w:rPr>
            </w:pPr>
            <w:r w:rsidRPr="00CF3673">
              <w:rPr>
                <w:b/>
                <w:lang w:val="pt-PT"/>
              </w:rPr>
              <w:t>Nota</w:t>
            </w:r>
            <w:r w:rsidR="00B36CE7" w:rsidRPr="00CF3673">
              <w:rPr>
                <w:lang w:val="pt-PT"/>
              </w:rPr>
              <w:t xml:space="preserve">: </w:t>
            </w:r>
            <w:r w:rsidRPr="00CF3673">
              <w:rPr>
                <w:lang w:val="pt-PT"/>
              </w:rPr>
              <w:t xml:space="preserve">Números em </w:t>
            </w:r>
            <w:r w:rsidR="00B20E4D" w:rsidRPr="00CF3673">
              <w:rPr>
                <w:lang w:val="pt-PT"/>
              </w:rPr>
              <w:t>parêntesis</w:t>
            </w:r>
            <w:r w:rsidRPr="00CF3673">
              <w:rPr>
                <w:lang w:val="pt-PT"/>
              </w:rPr>
              <w:t xml:space="preserve"> indicam os anos a que os dados se referem. Espaços em Branco </w:t>
            </w:r>
            <w:r w:rsidR="00B20E4D" w:rsidRPr="00CF3673">
              <w:rPr>
                <w:lang w:val="pt-PT"/>
              </w:rPr>
              <w:t>indicam</w:t>
            </w:r>
            <w:r w:rsidRPr="00CF3673">
              <w:rPr>
                <w:lang w:val="pt-PT"/>
              </w:rPr>
              <w:t xml:space="preserve"> a inexistência de empresas nesta categoria</w:t>
            </w:r>
            <w:r w:rsidR="00B36CE7" w:rsidRPr="00CF3673">
              <w:rPr>
                <w:lang w:val="pt-PT"/>
              </w:rPr>
              <w:t>.</w:t>
            </w:r>
          </w:p>
        </w:tc>
      </w:tr>
      <w:tr w:rsidR="00B36CE7" w:rsidRPr="00CF3673" w:rsidTr="00B36CE7">
        <w:trPr>
          <w:trHeight w:val="300"/>
          <w:jc w:val="center"/>
        </w:trPr>
        <w:tc>
          <w:tcPr>
            <w:tcW w:w="7233" w:type="dxa"/>
            <w:gridSpan w:val="10"/>
            <w:tcBorders>
              <w:top w:val="nil"/>
              <w:bottom w:val="nil"/>
            </w:tcBorders>
            <w:noWrap/>
          </w:tcPr>
          <w:p w:rsidR="00B36CE7" w:rsidRPr="00CF3673" w:rsidRDefault="00B20E4D" w:rsidP="00D47997">
            <w:pPr>
              <w:pStyle w:val="Tablenote"/>
              <w:rPr>
                <w:rFonts w:ascii="Calibri" w:eastAsia="Times New Roman" w:hAnsi="Calibri" w:cs="Times New Roman"/>
                <w:lang w:val="pt-PT" w:eastAsia="zh-CN"/>
              </w:rPr>
            </w:pPr>
            <w:r w:rsidRPr="00CF3673">
              <w:rPr>
                <w:b/>
                <w:lang w:val="pt-PT"/>
              </w:rPr>
              <w:lastRenderedPageBreak/>
              <w:t>Fonte:</w:t>
            </w:r>
            <w:r w:rsidR="00B36CE7" w:rsidRPr="00CF3673">
              <w:rPr>
                <w:lang w:val="pt-PT"/>
              </w:rPr>
              <w:t xml:space="preserve"> </w:t>
            </w:r>
            <w:r w:rsidRPr="00CF3673">
              <w:rPr>
                <w:lang w:val="pt-PT"/>
              </w:rPr>
              <w:t>Cálculos</w:t>
            </w:r>
            <w:r w:rsidR="00D47997" w:rsidRPr="00CF3673">
              <w:rPr>
                <w:lang w:val="pt-PT"/>
              </w:rPr>
              <w:t xml:space="preserve"> dos autores com base no</w:t>
            </w:r>
            <w:r w:rsidR="00B36CE7" w:rsidRPr="00CF3673">
              <w:rPr>
                <w:lang w:val="pt-PT"/>
              </w:rPr>
              <w:t xml:space="preserve"> IIM 2012, DNEAP (2006) </w:t>
            </w:r>
            <w:r w:rsidR="00D47997" w:rsidRPr="00CF3673">
              <w:rPr>
                <w:lang w:val="pt-PT"/>
              </w:rPr>
              <w:t>e</w:t>
            </w:r>
            <w:r w:rsidR="00B36CE7" w:rsidRPr="00CF3673">
              <w:rPr>
                <w:lang w:val="pt-PT"/>
              </w:rPr>
              <w:t xml:space="preserve"> ICA (2009).</w:t>
            </w:r>
          </w:p>
        </w:tc>
      </w:tr>
    </w:tbl>
    <w:p w:rsidR="00A06AD8" w:rsidRPr="00CF3673" w:rsidRDefault="00A06AD8" w:rsidP="001E664B">
      <w:pPr>
        <w:pStyle w:val="MainText"/>
        <w:rPr>
          <w:lang w:val="pt-PT"/>
        </w:rPr>
      </w:pPr>
    </w:p>
    <w:p w:rsidR="00D47997" w:rsidRPr="00CF3673" w:rsidRDefault="00D47997" w:rsidP="001E664B">
      <w:pPr>
        <w:pStyle w:val="MainText"/>
        <w:rPr>
          <w:lang w:val="pt-PT"/>
        </w:rPr>
      </w:pPr>
      <w:r w:rsidRPr="00CF3673">
        <w:rPr>
          <w:lang w:val="pt-PT"/>
        </w:rPr>
        <w:t xml:space="preserve">A </w:t>
      </w:r>
      <w:r w:rsidR="00B20E4D" w:rsidRPr="00CF3673">
        <w:rPr>
          <w:lang w:val="pt-PT"/>
        </w:rPr>
        <w:t>média</w:t>
      </w:r>
      <w:r w:rsidRPr="00CF3673">
        <w:rPr>
          <w:lang w:val="pt-PT"/>
        </w:rPr>
        <w:t xml:space="preserve"> e mediana do tamanho das empresas não </w:t>
      </w:r>
      <w:r w:rsidR="00B20E4D" w:rsidRPr="00CF3673">
        <w:rPr>
          <w:lang w:val="pt-PT"/>
        </w:rPr>
        <w:t>é muito diferente</w:t>
      </w:r>
      <w:r w:rsidRPr="00CF3673">
        <w:rPr>
          <w:lang w:val="pt-PT"/>
        </w:rPr>
        <w:t xml:space="preserve"> entre os vários inquéritos; com a excepção das </w:t>
      </w:r>
      <w:r w:rsidR="00B20E4D" w:rsidRPr="00CF3673">
        <w:rPr>
          <w:lang w:val="pt-PT"/>
        </w:rPr>
        <w:t>microempresas</w:t>
      </w:r>
      <w:r w:rsidRPr="00CF3673">
        <w:rPr>
          <w:lang w:val="pt-PT"/>
        </w:rPr>
        <w:t xml:space="preserve"> ser ligeiramente pequena no IIM2012 (os inquéritos anteriores contem poucas empresas com menos de 5 trabalhadores). Contudo, a distribuição do tamanho das empresas </w:t>
      </w:r>
      <w:r w:rsidR="00B20E4D" w:rsidRPr="00CF3673">
        <w:rPr>
          <w:lang w:val="pt-PT"/>
        </w:rPr>
        <w:t>vária</w:t>
      </w:r>
      <w:r w:rsidRPr="00CF3673">
        <w:rPr>
          <w:lang w:val="pt-PT"/>
        </w:rPr>
        <w:t xml:space="preserve"> consideravelmente, </w:t>
      </w:r>
      <w:r w:rsidR="00CE50B5" w:rsidRPr="00CF3673">
        <w:rPr>
          <w:lang w:val="pt-PT"/>
        </w:rPr>
        <w:t xml:space="preserve">concluindo que os primeiros dois inquéritos estavam focalizados nas grandes empresas. Isto significa que os </w:t>
      </w:r>
      <w:r w:rsidR="00B20E4D" w:rsidRPr="00CF3673">
        <w:rPr>
          <w:lang w:val="pt-PT"/>
        </w:rPr>
        <w:t>inquéritos</w:t>
      </w:r>
      <w:r w:rsidR="00CE50B5" w:rsidRPr="00CF3673">
        <w:rPr>
          <w:lang w:val="pt-PT"/>
        </w:rPr>
        <w:t xml:space="preserve"> ICA09 e DNEAP06 t</w:t>
      </w:r>
      <w:r w:rsidR="00096A78" w:rsidRPr="00CF3673">
        <w:rPr>
          <w:lang w:val="pt-PT"/>
        </w:rPr>
        <w:t>ê</w:t>
      </w:r>
      <w:r w:rsidR="00CE50B5" w:rsidRPr="00CF3673">
        <w:rPr>
          <w:lang w:val="pt-PT"/>
        </w:rPr>
        <w:t>m elevadas medias e medianas no tamanho das empresas do que no inquérito IIM2012.</w:t>
      </w:r>
    </w:p>
    <w:p w:rsidR="003E0785" w:rsidRPr="00CF3673" w:rsidRDefault="00CE50B5" w:rsidP="001E664B">
      <w:pPr>
        <w:pStyle w:val="MainText"/>
        <w:rPr>
          <w:lang w:val="pt-PT"/>
        </w:rPr>
      </w:pPr>
      <w:r w:rsidRPr="00CF3673">
        <w:rPr>
          <w:lang w:val="pt-PT"/>
        </w:rPr>
        <w:t xml:space="preserve">O ponto é que grandes empresas têm a amostra nivelada por cima nos casos dos </w:t>
      </w:r>
      <w:r w:rsidR="00B20E4D" w:rsidRPr="00CF3673">
        <w:rPr>
          <w:lang w:val="pt-PT"/>
        </w:rPr>
        <w:t>inquéritos</w:t>
      </w:r>
      <w:r w:rsidRPr="00CF3673">
        <w:rPr>
          <w:lang w:val="pt-PT"/>
        </w:rPr>
        <w:t xml:space="preserve"> DNEAP06 e ICA09. Além disso, o foco geográfico era bastante confinado nas amostra anteriores com a distinção do facto de para </w:t>
      </w:r>
      <w:r w:rsidR="00096A78" w:rsidRPr="00CF3673">
        <w:rPr>
          <w:lang w:val="pt-PT"/>
        </w:rPr>
        <w:t xml:space="preserve">a </w:t>
      </w:r>
      <w:r w:rsidRPr="00CF3673">
        <w:rPr>
          <w:lang w:val="pt-PT"/>
        </w:rPr>
        <w:t>cidade Maputo ter havido maior repre</w:t>
      </w:r>
      <w:r w:rsidR="00096A78" w:rsidRPr="00CF3673">
        <w:rPr>
          <w:lang w:val="pt-PT"/>
        </w:rPr>
        <w:t>se</w:t>
      </w:r>
      <w:r w:rsidRPr="00CF3673">
        <w:rPr>
          <w:lang w:val="pt-PT"/>
        </w:rPr>
        <w:t>ntação da amostra. As empresas na cidade de Maputo constituem 66% das empresas sobreviventes dos inquéritos anteriores, mas segundo o CEMPRE, apenas 28% da população das empresas manufactureiras está localizada em Maputo. Enquanto o presente inquérito não reclama maior representatividade, é um facto que a questão da repres</w:t>
      </w:r>
      <w:r w:rsidR="00096A78" w:rsidRPr="00CF3673">
        <w:rPr>
          <w:lang w:val="pt-PT"/>
        </w:rPr>
        <w:t xml:space="preserve">entação </w:t>
      </w:r>
      <w:r w:rsidR="003E0785" w:rsidRPr="00CF3673">
        <w:rPr>
          <w:lang w:val="pt-PT"/>
        </w:rPr>
        <w:t>geográfica, que era um dos propósitos do IIM2012.</w:t>
      </w:r>
    </w:p>
    <w:p w:rsidR="003E0785" w:rsidRPr="00CF3673" w:rsidRDefault="003E0785" w:rsidP="001E664B">
      <w:pPr>
        <w:pStyle w:val="MainText"/>
        <w:rPr>
          <w:lang w:val="pt-PT"/>
        </w:rPr>
      </w:pPr>
      <w:r w:rsidRPr="00CF3673">
        <w:rPr>
          <w:lang w:val="pt-PT"/>
        </w:rPr>
        <w:t>Dado que não temos acesso a dados fiáveis, não podemos concluir de forma decisiva sobre a representatividade da amostra, e não fizemos</w:t>
      </w:r>
      <w:r w:rsidR="00096A78" w:rsidRPr="00CF3673">
        <w:rPr>
          <w:lang w:val="pt-PT"/>
        </w:rPr>
        <w:t xml:space="preserve"> nenhuma tentativa de corrigir o preconceito</w:t>
      </w:r>
      <w:r w:rsidRPr="00CF3673">
        <w:rPr>
          <w:lang w:val="pt-PT"/>
        </w:rPr>
        <w:t xml:space="preserve"> da amostra. Pelas mesmas razões não recorremos ao peso neste inqu</w:t>
      </w:r>
      <w:r w:rsidR="00096A78" w:rsidRPr="00CF3673">
        <w:rPr>
          <w:lang w:val="pt-PT"/>
        </w:rPr>
        <w:t>é</w:t>
      </w:r>
      <w:r w:rsidRPr="00CF3673">
        <w:rPr>
          <w:lang w:val="pt-PT"/>
        </w:rPr>
        <w:t>rito. Com isto, a base de dados do IIM2012 é a grande m</w:t>
      </w:r>
      <w:r w:rsidR="00340A70" w:rsidRPr="00CF3673">
        <w:rPr>
          <w:lang w:val="pt-PT"/>
        </w:rPr>
        <w:t xml:space="preserve">elhoria relativamente aos </w:t>
      </w:r>
      <w:r w:rsidR="00B20E4D" w:rsidRPr="00CF3673">
        <w:rPr>
          <w:lang w:val="pt-PT"/>
        </w:rPr>
        <w:t>inquéritos</w:t>
      </w:r>
      <w:r w:rsidRPr="00CF3673">
        <w:rPr>
          <w:lang w:val="pt-PT"/>
        </w:rPr>
        <w:t xml:space="preserve"> anterior</w:t>
      </w:r>
      <w:r w:rsidR="00340A70" w:rsidRPr="00CF3673">
        <w:rPr>
          <w:lang w:val="pt-PT"/>
        </w:rPr>
        <w:t>e</w:t>
      </w:r>
      <w:r w:rsidRPr="00CF3673">
        <w:rPr>
          <w:lang w:val="pt-PT"/>
        </w:rPr>
        <w:t>s das empresas manufactureiras em Moçambique, e acredita-se que esta providencia uma image</w:t>
      </w:r>
      <w:r w:rsidR="00340A70" w:rsidRPr="00CF3673">
        <w:rPr>
          <w:lang w:val="pt-PT"/>
        </w:rPr>
        <w:t>m</w:t>
      </w:r>
      <w:r w:rsidRPr="00CF3673">
        <w:rPr>
          <w:lang w:val="pt-PT"/>
        </w:rPr>
        <w:t xml:space="preserve"> </w:t>
      </w:r>
      <w:r w:rsidR="00B20E4D" w:rsidRPr="00CF3673">
        <w:rPr>
          <w:lang w:val="pt-PT"/>
        </w:rPr>
        <w:t>razoável</w:t>
      </w:r>
      <w:r w:rsidRPr="00CF3673">
        <w:rPr>
          <w:lang w:val="pt-PT"/>
        </w:rPr>
        <w:t xml:space="preserve"> das PME no sector da </w:t>
      </w:r>
      <w:r w:rsidR="00340A70" w:rsidRPr="00CF3673">
        <w:rPr>
          <w:lang w:val="pt-PT"/>
        </w:rPr>
        <w:t>indústria</w:t>
      </w:r>
      <w:r w:rsidRPr="00CF3673">
        <w:rPr>
          <w:lang w:val="pt-PT"/>
        </w:rPr>
        <w:t xml:space="preserve"> manufactureira no sector urbano em Moçambique.</w:t>
      </w:r>
    </w:p>
    <w:p w:rsidR="00895303" w:rsidRPr="00CF3673" w:rsidRDefault="00895303">
      <w:r w:rsidRPr="00CF3673">
        <w:rPr>
          <w:b/>
        </w:rPr>
        <w:br w:type="page"/>
      </w:r>
    </w:p>
    <w:p w:rsidR="00682A88" w:rsidRPr="00CF3673" w:rsidRDefault="00682A88" w:rsidP="00682A88">
      <w:pPr>
        <w:jc w:val="both"/>
        <w:rPr>
          <w:b/>
          <w:sz w:val="28"/>
        </w:rPr>
      </w:pPr>
      <w:bookmarkStart w:id="33" w:name="_Toc360720385"/>
      <w:r w:rsidRPr="00CF3673">
        <w:rPr>
          <w:b/>
          <w:sz w:val="28"/>
        </w:rPr>
        <w:lastRenderedPageBreak/>
        <w:t>3. Dinâmica e restrições das Empresas</w:t>
      </w:r>
    </w:p>
    <w:p w:rsidR="00682A88" w:rsidRPr="00CF3673" w:rsidRDefault="00682A88" w:rsidP="00682A88">
      <w:pPr>
        <w:spacing w:line="360" w:lineRule="auto"/>
        <w:jc w:val="both"/>
      </w:pPr>
      <w:r w:rsidRPr="00CF3673">
        <w:t>O desenvolvimento e evolução do sector privado são movidos pela dinâmica das empresas, que é o tema deste capítulo. No nível mais básico, a dinâmica das empresas tem dois componentes fundamentais: o de crescimento e declínio das empresas existentes e a entrada de novas empresas e saída de empresas antigas. Relacionado à questão da dinâmica das empresas são vários os constrangimentos, ao funcionamento e crescimento, enfrentados pelas empresas.</w:t>
      </w:r>
    </w:p>
    <w:p w:rsidR="00682A88" w:rsidRPr="00CF3673" w:rsidRDefault="00682A88" w:rsidP="00682A88">
      <w:pPr>
        <w:spacing w:line="360" w:lineRule="auto"/>
        <w:jc w:val="both"/>
      </w:pPr>
      <w:r w:rsidRPr="00CF3673">
        <w:t>O capítulo começa por analisar o crescimento do emprego na empresa na Secção 3.</w:t>
      </w:r>
      <w:r w:rsidR="00B20E4D" w:rsidRPr="00CF3673">
        <w:t>1,</w:t>
      </w:r>
      <w:r w:rsidRPr="00CF3673">
        <w:t xml:space="preserve"> usando o painel de dimensão dos dados. Na Secção 3.2, é analisada a questão da saída da empresa. A Secção 3.3 apresenta e discute </w:t>
      </w:r>
      <w:r w:rsidRPr="00CF3673">
        <w:rPr>
          <w:i/>
        </w:rPr>
        <w:t>rankings</w:t>
      </w:r>
      <w:r w:rsidRPr="00CF3673">
        <w:t xml:space="preserve"> de restrições percebidas por diferentes características da empresa.</w:t>
      </w:r>
    </w:p>
    <w:p w:rsidR="00682A88" w:rsidRPr="00CF3673" w:rsidRDefault="00682A88" w:rsidP="00682A88">
      <w:pPr>
        <w:jc w:val="both"/>
        <w:rPr>
          <w:b/>
          <w:u w:val="single"/>
        </w:rPr>
      </w:pPr>
      <w:r w:rsidRPr="00CF3673">
        <w:rPr>
          <w:b/>
          <w:u w:val="single"/>
        </w:rPr>
        <w:t>3.1. Crescimento das empresas</w:t>
      </w:r>
    </w:p>
    <w:p w:rsidR="00682A88" w:rsidRPr="00CF3673" w:rsidRDefault="00682A88" w:rsidP="00682A88">
      <w:pPr>
        <w:spacing w:line="360" w:lineRule="auto"/>
        <w:jc w:val="both"/>
      </w:pPr>
      <w:r w:rsidRPr="00CF3673">
        <w:t xml:space="preserve">A Tabela 3.1 documenta a média e a mediana de </w:t>
      </w:r>
      <w:r w:rsidR="002E7766" w:rsidRPr="00CF3673">
        <w:t xml:space="preserve">trabalhadores </w:t>
      </w:r>
      <w:r w:rsidRPr="00CF3673">
        <w:t>permanentes em 2006 e 2011, usando um painel equilibrado, ou seja, seguindo as mesmas empresas ao longo do tempo. Tem havido uma tendência geral para o número médio de trabalhadores cair ligeiramente entre 2006-2011, o que vale para todas as categorias, excepto para as empresas de capital estrangeiro. Por outro lado, a média aumentou para as micro e pequenas empresas, mas diminuiu para as empresas médias. A média da amostra como um todo é quase inalterada em 28 trabalhadores. A mediana da empresa de propriedade estrangeira foi um pouco maior em 2011 do que em 2006.</w:t>
      </w:r>
    </w:p>
    <w:p w:rsidR="00682A88" w:rsidRPr="00CF3673" w:rsidRDefault="00682A88" w:rsidP="00682A88">
      <w:pPr>
        <w:spacing w:line="360" w:lineRule="auto"/>
        <w:jc w:val="both"/>
        <w:rPr>
          <w:b/>
        </w:rPr>
      </w:pPr>
      <w:r w:rsidRPr="00CF3673">
        <w:rPr>
          <w:b/>
        </w:rPr>
        <w:t>Tabela 3.1: Média e mediana do número de trabalhadores por categoria e ano</w:t>
      </w:r>
    </w:p>
    <w:tbl>
      <w:tblPr>
        <w:tblStyle w:val="StandardTable"/>
        <w:tblW w:w="0" w:type="auto"/>
        <w:jc w:val="center"/>
        <w:tblLook w:val="04A0" w:firstRow="1" w:lastRow="0" w:firstColumn="1" w:lastColumn="0" w:noHBand="0" w:noVBand="1"/>
      </w:tblPr>
      <w:tblGrid>
        <w:gridCol w:w="1001"/>
        <w:gridCol w:w="917"/>
        <w:gridCol w:w="1006"/>
        <w:gridCol w:w="1149"/>
        <w:gridCol w:w="786"/>
        <w:gridCol w:w="1006"/>
        <w:gridCol w:w="1149"/>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tcBorders>
              <w:bottom w:val="nil"/>
            </w:tcBorders>
            <w:noWrap/>
            <w:hideMark/>
          </w:tcPr>
          <w:p w:rsidR="00682A88" w:rsidRPr="00CF3673" w:rsidRDefault="00682A88" w:rsidP="00682A88">
            <w:pPr>
              <w:rPr>
                <w:rFonts w:ascii="Calibri" w:eastAsia="Times New Roman" w:hAnsi="Calibri" w:cs="Calibri"/>
                <w:color w:val="000000"/>
                <w:sz w:val="22"/>
                <w:lang w:eastAsia="zh-CN"/>
              </w:rPr>
            </w:pPr>
          </w:p>
        </w:tc>
        <w:tc>
          <w:tcPr>
            <w:tcW w:w="0" w:type="auto"/>
            <w:gridSpan w:val="3"/>
            <w:tcBorders>
              <w:bottom w:val="nil"/>
            </w:tcBorders>
            <w:noWrap/>
            <w:hideMark/>
          </w:tcPr>
          <w:p w:rsidR="00682A88" w:rsidRPr="00CF3673" w:rsidRDefault="00682A88" w:rsidP="00682A88">
            <w:pPr>
              <w:jc w:val="cente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2006</w:t>
            </w:r>
          </w:p>
        </w:tc>
        <w:tc>
          <w:tcPr>
            <w:tcW w:w="0" w:type="auto"/>
            <w:gridSpan w:val="3"/>
            <w:tcBorders>
              <w:bottom w:val="nil"/>
            </w:tcBorders>
            <w:noWrap/>
            <w:hideMark/>
          </w:tcPr>
          <w:p w:rsidR="00682A88" w:rsidRPr="00CF3673" w:rsidRDefault="00682A88" w:rsidP="00682A88">
            <w:pPr>
              <w:jc w:val="cente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2011</w:t>
            </w:r>
          </w:p>
        </w:tc>
      </w:tr>
      <w:tr w:rsidR="00682A88" w:rsidRPr="00CF3673" w:rsidTr="00682A88">
        <w:trPr>
          <w:trHeight w:val="300"/>
          <w:jc w:val="center"/>
        </w:trPr>
        <w:tc>
          <w:tcPr>
            <w:tcW w:w="0" w:type="auto"/>
            <w:tcBorders>
              <w:top w:val="nil"/>
              <w:bottom w:val="single" w:sz="4" w:space="0" w:color="auto"/>
            </w:tcBorders>
            <w:noWrap/>
            <w:hideMark/>
          </w:tcPr>
          <w:p w:rsidR="00682A88" w:rsidRPr="00CF3673" w:rsidRDefault="00682A88" w:rsidP="00682A88">
            <w:pPr>
              <w:rPr>
                <w:rFonts w:ascii="Calibri" w:eastAsia="Times New Roman" w:hAnsi="Calibri" w:cs="Calibri"/>
                <w:color w:val="000000"/>
                <w:sz w:val="22"/>
                <w:lang w:eastAsia="zh-CN"/>
              </w:rPr>
            </w:pP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Média</w:t>
            </w:r>
          </w:p>
        </w:tc>
        <w:tc>
          <w:tcPr>
            <w:tcW w:w="0" w:type="auto"/>
            <w:tcBorders>
              <w:top w:val="nil"/>
              <w:bottom w:val="single" w:sz="4" w:space="0" w:color="auto"/>
            </w:tcBorders>
            <w:noWrap/>
          </w:tcPr>
          <w:p w:rsidR="00682A88" w:rsidRPr="00CF3673" w:rsidRDefault="00682A88" w:rsidP="00682A88">
            <w:pPr>
              <w:jc w:val="cente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Mediana</w:t>
            </w: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Nº de obs.</w:t>
            </w: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Média</w:t>
            </w: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Mediana</w:t>
            </w: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Nº de obs.</w:t>
            </w:r>
          </w:p>
        </w:tc>
      </w:tr>
      <w:tr w:rsidR="00682A88" w:rsidRPr="00CF3673" w:rsidTr="00682A88">
        <w:trPr>
          <w:trHeight w:val="300"/>
          <w:jc w:val="center"/>
        </w:trPr>
        <w:tc>
          <w:tcPr>
            <w:tcW w:w="0" w:type="auto"/>
            <w:tcBorders>
              <w:top w:val="single" w:sz="4" w:space="0" w:color="auto"/>
            </w:tcBorders>
            <w:noWrap/>
            <w:hideMark/>
          </w:tcPr>
          <w:p w:rsidR="00682A88" w:rsidRPr="00CF3673" w:rsidRDefault="00682A88" w:rsidP="00682A88">
            <w:pP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Todas</w:t>
            </w:r>
          </w:p>
        </w:tc>
        <w:tc>
          <w:tcPr>
            <w:tcW w:w="0" w:type="auto"/>
            <w:tcBorders>
              <w:top w:val="single" w:sz="4" w:space="0" w:color="auto"/>
            </w:tcBorders>
            <w:noWrap/>
            <w:hideMark/>
          </w:tcPr>
          <w:p w:rsidR="00682A88" w:rsidRPr="00CF3673" w:rsidRDefault="00682A88" w:rsidP="00682A88">
            <w:pPr>
              <w:jc w:val="center"/>
              <w:rPr>
                <w:sz w:val="22"/>
              </w:rPr>
            </w:pPr>
            <w:r w:rsidRPr="00CF3673">
              <w:rPr>
                <w:sz w:val="22"/>
              </w:rPr>
              <w:t>28.4</w:t>
            </w:r>
          </w:p>
        </w:tc>
        <w:tc>
          <w:tcPr>
            <w:tcW w:w="0" w:type="auto"/>
            <w:tcBorders>
              <w:top w:val="single" w:sz="4" w:space="0" w:color="auto"/>
            </w:tcBorders>
            <w:noWrap/>
            <w:hideMark/>
          </w:tcPr>
          <w:p w:rsidR="00682A88" w:rsidRPr="00CF3673" w:rsidRDefault="00682A88" w:rsidP="00682A88">
            <w:pPr>
              <w:jc w:val="center"/>
              <w:rPr>
                <w:sz w:val="22"/>
              </w:rPr>
            </w:pPr>
            <w:r w:rsidRPr="00CF3673">
              <w:rPr>
                <w:sz w:val="22"/>
              </w:rPr>
              <w:t>12</w:t>
            </w:r>
          </w:p>
        </w:tc>
        <w:tc>
          <w:tcPr>
            <w:tcW w:w="0" w:type="auto"/>
            <w:tcBorders>
              <w:top w:val="single" w:sz="4" w:space="0" w:color="auto"/>
            </w:tcBorders>
            <w:noWrap/>
            <w:hideMark/>
          </w:tcPr>
          <w:p w:rsidR="00682A88" w:rsidRPr="00CF3673" w:rsidRDefault="00682A88" w:rsidP="00682A88">
            <w:pPr>
              <w:jc w:val="center"/>
              <w:rPr>
                <w:sz w:val="22"/>
              </w:rPr>
            </w:pPr>
            <w:r w:rsidRPr="00CF3673">
              <w:rPr>
                <w:sz w:val="22"/>
              </w:rPr>
              <w:t>216</w:t>
            </w:r>
          </w:p>
        </w:tc>
        <w:tc>
          <w:tcPr>
            <w:tcW w:w="0" w:type="auto"/>
            <w:tcBorders>
              <w:top w:val="single" w:sz="4" w:space="0" w:color="auto"/>
            </w:tcBorders>
            <w:noWrap/>
            <w:hideMark/>
          </w:tcPr>
          <w:p w:rsidR="00682A88" w:rsidRPr="00CF3673" w:rsidRDefault="00682A88" w:rsidP="00682A88">
            <w:pPr>
              <w:jc w:val="center"/>
              <w:rPr>
                <w:sz w:val="22"/>
              </w:rPr>
            </w:pPr>
            <w:r w:rsidRPr="00CF3673">
              <w:rPr>
                <w:sz w:val="22"/>
              </w:rPr>
              <w:t>28.0</w:t>
            </w:r>
          </w:p>
        </w:tc>
        <w:tc>
          <w:tcPr>
            <w:tcW w:w="0" w:type="auto"/>
            <w:tcBorders>
              <w:top w:val="single" w:sz="4" w:space="0" w:color="auto"/>
            </w:tcBorders>
            <w:noWrap/>
            <w:hideMark/>
          </w:tcPr>
          <w:p w:rsidR="00682A88" w:rsidRPr="00CF3673" w:rsidRDefault="00682A88" w:rsidP="00682A88">
            <w:pPr>
              <w:jc w:val="center"/>
              <w:rPr>
                <w:sz w:val="22"/>
              </w:rPr>
            </w:pPr>
            <w:r w:rsidRPr="00CF3673">
              <w:rPr>
                <w:sz w:val="22"/>
              </w:rPr>
              <w:t>10</w:t>
            </w:r>
          </w:p>
        </w:tc>
        <w:tc>
          <w:tcPr>
            <w:tcW w:w="0" w:type="auto"/>
            <w:tcBorders>
              <w:top w:val="single" w:sz="4" w:space="0" w:color="auto"/>
            </w:tcBorders>
            <w:noWrap/>
            <w:hideMark/>
          </w:tcPr>
          <w:p w:rsidR="00682A88" w:rsidRPr="00CF3673" w:rsidRDefault="00682A88" w:rsidP="00682A88">
            <w:pPr>
              <w:jc w:val="center"/>
              <w:rPr>
                <w:sz w:val="22"/>
              </w:rPr>
            </w:pPr>
            <w:r w:rsidRPr="00CF3673">
              <w:rPr>
                <w:sz w:val="22"/>
              </w:rPr>
              <w:t>216</w:t>
            </w:r>
          </w:p>
        </w:tc>
      </w:tr>
      <w:tr w:rsidR="00682A88" w:rsidRPr="00CF3673" w:rsidTr="00682A88">
        <w:trPr>
          <w:trHeight w:val="300"/>
          <w:jc w:val="center"/>
        </w:trPr>
        <w:tc>
          <w:tcPr>
            <w:tcW w:w="0" w:type="auto"/>
            <w:noWrap/>
            <w:hideMark/>
          </w:tcPr>
          <w:p w:rsidR="00682A88" w:rsidRPr="00CF3673" w:rsidRDefault="00682A88" w:rsidP="00682A88">
            <w:pP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Micro</w:t>
            </w:r>
          </w:p>
        </w:tc>
        <w:tc>
          <w:tcPr>
            <w:tcW w:w="0" w:type="auto"/>
            <w:noWrap/>
            <w:hideMark/>
          </w:tcPr>
          <w:p w:rsidR="00682A88" w:rsidRPr="00CF3673" w:rsidRDefault="00682A88" w:rsidP="00682A88">
            <w:pPr>
              <w:rPr>
                <w:sz w:val="22"/>
              </w:rPr>
            </w:pPr>
            <w:r w:rsidRPr="00CF3673">
              <w:rPr>
                <w:sz w:val="22"/>
              </w:rPr>
              <w:t xml:space="preserve">     5.7</w:t>
            </w:r>
          </w:p>
        </w:tc>
        <w:tc>
          <w:tcPr>
            <w:tcW w:w="0" w:type="auto"/>
            <w:noWrap/>
            <w:hideMark/>
          </w:tcPr>
          <w:p w:rsidR="00682A88" w:rsidRPr="00CF3673" w:rsidRDefault="00682A88" w:rsidP="00682A88">
            <w:pPr>
              <w:jc w:val="center"/>
              <w:rPr>
                <w:sz w:val="22"/>
              </w:rPr>
            </w:pPr>
            <w:r w:rsidRPr="00CF3673">
              <w:rPr>
                <w:sz w:val="22"/>
              </w:rPr>
              <w:t>5</w:t>
            </w:r>
          </w:p>
        </w:tc>
        <w:tc>
          <w:tcPr>
            <w:tcW w:w="0" w:type="auto"/>
            <w:noWrap/>
            <w:hideMark/>
          </w:tcPr>
          <w:p w:rsidR="00682A88" w:rsidRPr="00CF3673" w:rsidRDefault="00682A88" w:rsidP="00682A88">
            <w:pPr>
              <w:jc w:val="center"/>
              <w:rPr>
                <w:sz w:val="22"/>
              </w:rPr>
            </w:pPr>
            <w:r w:rsidRPr="00CF3673">
              <w:rPr>
                <w:sz w:val="22"/>
              </w:rPr>
              <w:t>90</w:t>
            </w:r>
          </w:p>
        </w:tc>
        <w:tc>
          <w:tcPr>
            <w:tcW w:w="0" w:type="auto"/>
            <w:noWrap/>
            <w:hideMark/>
          </w:tcPr>
          <w:p w:rsidR="00682A88" w:rsidRPr="00CF3673" w:rsidRDefault="00682A88" w:rsidP="00682A88">
            <w:pPr>
              <w:jc w:val="center"/>
              <w:rPr>
                <w:sz w:val="22"/>
              </w:rPr>
            </w:pPr>
            <w:r w:rsidRPr="00CF3673">
              <w:rPr>
                <w:sz w:val="22"/>
              </w:rPr>
              <w:t>5.8</w:t>
            </w:r>
          </w:p>
        </w:tc>
        <w:tc>
          <w:tcPr>
            <w:tcW w:w="0" w:type="auto"/>
            <w:noWrap/>
            <w:hideMark/>
          </w:tcPr>
          <w:p w:rsidR="00682A88" w:rsidRPr="00CF3673" w:rsidRDefault="00682A88" w:rsidP="00682A88">
            <w:pPr>
              <w:jc w:val="center"/>
              <w:rPr>
                <w:sz w:val="22"/>
              </w:rPr>
            </w:pPr>
            <w:r w:rsidRPr="00CF3673">
              <w:rPr>
                <w:sz w:val="22"/>
              </w:rPr>
              <w:t>4</w:t>
            </w:r>
          </w:p>
        </w:tc>
        <w:tc>
          <w:tcPr>
            <w:tcW w:w="0" w:type="auto"/>
            <w:noWrap/>
            <w:hideMark/>
          </w:tcPr>
          <w:p w:rsidR="00682A88" w:rsidRPr="00CF3673" w:rsidRDefault="00682A88" w:rsidP="00682A88">
            <w:pPr>
              <w:jc w:val="center"/>
              <w:rPr>
                <w:sz w:val="22"/>
              </w:rPr>
            </w:pPr>
            <w:r w:rsidRPr="00CF3673">
              <w:rPr>
                <w:sz w:val="22"/>
              </w:rPr>
              <w:t>90</w:t>
            </w:r>
          </w:p>
        </w:tc>
      </w:tr>
      <w:tr w:rsidR="00682A88" w:rsidRPr="00CF3673" w:rsidTr="00682A88">
        <w:trPr>
          <w:trHeight w:val="300"/>
          <w:jc w:val="center"/>
        </w:trPr>
        <w:tc>
          <w:tcPr>
            <w:tcW w:w="0" w:type="auto"/>
            <w:tcBorders>
              <w:bottom w:val="nil"/>
            </w:tcBorders>
            <w:noWrap/>
            <w:hideMark/>
          </w:tcPr>
          <w:p w:rsidR="00682A88" w:rsidRPr="00CF3673" w:rsidRDefault="00682A88" w:rsidP="00682A88">
            <w:pP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Pequena</w:t>
            </w:r>
          </w:p>
        </w:tc>
        <w:tc>
          <w:tcPr>
            <w:tcW w:w="0" w:type="auto"/>
            <w:tcBorders>
              <w:bottom w:val="nil"/>
            </w:tcBorders>
            <w:noWrap/>
            <w:hideMark/>
          </w:tcPr>
          <w:p w:rsidR="00682A88" w:rsidRPr="00CF3673" w:rsidRDefault="00682A88" w:rsidP="00682A88">
            <w:pPr>
              <w:rPr>
                <w:sz w:val="22"/>
              </w:rPr>
            </w:pPr>
            <w:r w:rsidRPr="00CF3673">
              <w:rPr>
                <w:sz w:val="22"/>
              </w:rPr>
              <w:t xml:space="preserve">    23.8</w:t>
            </w:r>
          </w:p>
        </w:tc>
        <w:tc>
          <w:tcPr>
            <w:tcW w:w="0" w:type="auto"/>
            <w:tcBorders>
              <w:bottom w:val="nil"/>
            </w:tcBorders>
            <w:noWrap/>
            <w:hideMark/>
          </w:tcPr>
          <w:p w:rsidR="00682A88" w:rsidRPr="00CF3673" w:rsidRDefault="00682A88" w:rsidP="00682A88">
            <w:pPr>
              <w:jc w:val="center"/>
              <w:rPr>
                <w:sz w:val="22"/>
              </w:rPr>
            </w:pPr>
            <w:r w:rsidRPr="00CF3673">
              <w:rPr>
                <w:sz w:val="22"/>
              </w:rPr>
              <w:t>21</w:t>
            </w:r>
          </w:p>
        </w:tc>
        <w:tc>
          <w:tcPr>
            <w:tcW w:w="0" w:type="auto"/>
            <w:tcBorders>
              <w:bottom w:val="nil"/>
            </w:tcBorders>
            <w:noWrap/>
            <w:hideMark/>
          </w:tcPr>
          <w:p w:rsidR="00682A88" w:rsidRPr="00CF3673" w:rsidRDefault="00682A88" w:rsidP="00682A88">
            <w:pPr>
              <w:jc w:val="center"/>
              <w:rPr>
                <w:sz w:val="22"/>
              </w:rPr>
            </w:pPr>
            <w:r w:rsidRPr="00CF3673">
              <w:rPr>
                <w:sz w:val="22"/>
              </w:rPr>
              <w:t>92</w:t>
            </w:r>
          </w:p>
        </w:tc>
        <w:tc>
          <w:tcPr>
            <w:tcW w:w="0" w:type="auto"/>
            <w:tcBorders>
              <w:bottom w:val="nil"/>
            </w:tcBorders>
            <w:noWrap/>
            <w:hideMark/>
          </w:tcPr>
          <w:p w:rsidR="00682A88" w:rsidRPr="00CF3673" w:rsidRDefault="00682A88" w:rsidP="00682A88">
            <w:pPr>
              <w:jc w:val="center"/>
              <w:rPr>
                <w:sz w:val="22"/>
              </w:rPr>
            </w:pPr>
            <w:r w:rsidRPr="00CF3673">
              <w:rPr>
                <w:sz w:val="22"/>
              </w:rPr>
              <w:t>25.2</w:t>
            </w:r>
          </w:p>
        </w:tc>
        <w:tc>
          <w:tcPr>
            <w:tcW w:w="0" w:type="auto"/>
            <w:tcBorders>
              <w:bottom w:val="nil"/>
            </w:tcBorders>
            <w:noWrap/>
            <w:hideMark/>
          </w:tcPr>
          <w:p w:rsidR="00682A88" w:rsidRPr="00CF3673" w:rsidRDefault="00682A88" w:rsidP="00682A88">
            <w:pPr>
              <w:jc w:val="center"/>
              <w:rPr>
                <w:sz w:val="22"/>
              </w:rPr>
            </w:pPr>
            <w:r w:rsidRPr="00CF3673">
              <w:rPr>
                <w:sz w:val="22"/>
              </w:rPr>
              <w:t>17</w:t>
            </w:r>
          </w:p>
        </w:tc>
        <w:tc>
          <w:tcPr>
            <w:tcW w:w="0" w:type="auto"/>
            <w:tcBorders>
              <w:bottom w:val="nil"/>
            </w:tcBorders>
            <w:noWrap/>
            <w:hideMark/>
          </w:tcPr>
          <w:p w:rsidR="00682A88" w:rsidRPr="00CF3673" w:rsidRDefault="00682A88" w:rsidP="00682A88">
            <w:pPr>
              <w:jc w:val="center"/>
              <w:rPr>
                <w:sz w:val="22"/>
              </w:rPr>
            </w:pPr>
            <w:r w:rsidRPr="00CF3673">
              <w:rPr>
                <w:sz w:val="22"/>
              </w:rPr>
              <w:t>92</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pP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Média</w:t>
            </w:r>
          </w:p>
        </w:tc>
        <w:tc>
          <w:tcPr>
            <w:tcW w:w="0" w:type="auto"/>
            <w:tcBorders>
              <w:top w:val="nil"/>
              <w:bottom w:val="nil"/>
            </w:tcBorders>
            <w:noWrap/>
            <w:hideMark/>
          </w:tcPr>
          <w:p w:rsidR="00682A88" w:rsidRPr="00CF3673" w:rsidRDefault="00682A88" w:rsidP="00682A88">
            <w:pPr>
              <w:rPr>
                <w:sz w:val="22"/>
              </w:rPr>
            </w:pPr>
            <w:r w:rsidRPr="00CF3673">
              <w:rPr>
                <w:sz w:val="22"/>
              </w:rPr>
              <w:t xml:space="preserve">    100.7</w:t>
            </w:r>
          </w:p>
        </w:tc>
        <w:tc>
          <w:tcPr>
            <w:tcW w:w="0" w:type="auto"/>
            <w:tcBorders>
              <w:top w:val="nil"/>
              <w:bottom w:val="nil"/>
            </w:tcBorders>
            <w:noWrap/>
            <w:hideMark/>
          </w:tcPr>
          <w:p w:rsidR="00682A88" w:rsidRPr="00CF3673" w:rsidRDefault="00682A88" w:rsidP="00682A88">
            <w:pPr>
              <w:jc w:val="center"/>
              <w:rPr>
                <w:sz w:val="22"/>
              </w:rPr>
            </w:pPr>
            <w:r w:rsidRPr="00CF3673">
              <w:rPr>
                <w:sz w:val="22"/>
              </w:rPr>
              <w:t>91</w:t>
            </w:r>
          </w:p>
        </w:tc>
        <w:tc>
          <w:tcPr>
            <w:tcW w:w="0" w:type="auto"/>
            <w:tcBorders>
              <w:top w:val="nil"/>
              <w:bottom w:val="nil"/>
            </w:tcBorders>
            <w:noWrap/>
            <w:hideMark/>
          </w:tcPr>
          <w:p w:rsidR="00682A88" w:rsidRPr="00CF3673" w:rsidRDefault="00682A88" w:rsidP="00682A88">
            <w:pPr>
              <w:jc w:val="center"/>
              <w:rPr>
                <w:sz w:val="22"/>
              </w:rPr>
            </w:pPr>
            <w:r w:rsidRPr="00CF3673">
              <w:rPr>
                <w:sz w:val="22"/>
              </w:rPr>
              <w:t>34</w:t>
            </w:r>
          </w:p>
        </w:tc>
        <w:tc>
          <w:tcPr>
            <w:tcW w:w="0" w:type="auto"/>
            <w:tcBorders>
              <w:top w:val="nil"/>
              <w:bottom w:val="nil"/>
            </w:tcBorders>
            <w:noWrap/>
            <w:hideMark/>
          </w:tcPr>
          <w:p w:rsidR="00682A88" w:rsidRPr="00CF3673" w:rsidRDefault="00682A88" w:rsidP="00682A88">
            <w:pPr>
              <w:jc w:val="center"/>
              <w:rPr>
                <w:sz w:val="22"/>
              </w:rPr>
            </w:pPr>
            <w:r w:rsidRPr="00CF3673">
              <w:rPr>
                <w:sz w:val="22"/>
              </w:rPr>
              <w:t>94.2</w:t>
            </w:r>
          </w:p>
        </w:tc>
        <w:tc>
          <w:tcPr>
            <w:tcW w:w="0" w:type="auto"/>
            <w:tcBorders>
              <w:top w:val="nil"/>
              <w:bottom w:val="nil"/>
            </w:tcBorders>
            <w:noWrap/>
            <w:hideMark/>
          </w:tcPr>
          <w:p w:rsidR="00682A88" w:rsidRPr="00CF3673" w:rsidRDefault="00682A88" w:rsidP="00682A88">
            <w:pPr>
              <w:jc w:val="center"/>
              <w:rPr>
                <w:sz w:val="22"/>
              </w:rPr>
            </w:pPr>
            <w:r w:rsidRPr="00CF3673">
              <w:rPr>
                <w:sz w:val="22"/>
              </w:rPr>
              <w:t>86</w:t>
            </w:r>
          </w:p>
        </w:tc>
        <w:tc>
          <w:tcPr>
            <w:tcW w:w="0" w:type="auto"/>
            <w:tcBorders>
              <w:top w:val="nil"/>
              <w:bottom w:val="nil"/>
            </w:tcBorders>
            <w:noWrap/>
            <w:hideMark/>
          </w:tcPr>
          <w:p w:rsidR="00682A88" w:rsidRPr="00CF3673" w:rsidRDefault="00682A88" w:rsidP="00682A88">
            <w:pPr>
              <w:jc w:val="center"/>
              <w:rPr>
                <w:sz w:val="22"/>
              </w:rPr>
            </w:pPr>
            <w:r w:rsidRPr="00CF3673">
              <w:rPr>
                <w:sz w:val="22"/>
              </w:rPr>
              <w:t>34</w:t>
            </w:r>
          </w:p>
        </w:tc>
      </w:tr>
    </w:tbl>
    <w:p w:rsidR="00682A88" w:rsidRPr="00CF3673" w:rsidRDefault="00682A88" w:rsidP="00682A88">
      <w:pPr>
        <w:rPr>
          <w:rFonts w:ascii="Calibri" w:eastAsia="Times New Roman" w:hAnsi="Calibri" w:cs="Calibri"/>
          <w:color w:val="000000"/>
          <w:lang w:eastAsia="zh-CN"/>
        </w:rPr>
        <w:sectPr w:rsidR="00682A88" w:rsidRPr="00CF3673" w:rsidSect="00682A88">
          <w:pgSz w:w="12240" w:h="15840"/>
          <w:pgMar w:top="1440" w:right="1440" w:bottom="1080" w:left="1440" w:header="720" w:footer="720" w:gutter="0"/>
          <w:cols w:space="720"/>
          <w:docGrid w:linePitch="360"/>
        </w:sectPr>
      </w:pPr>
    </w:p>
    <w:tbl>
      <w:tblPr>
        <w:tblStyle w:val="StandardTable"/>
        <w:tblW w:w="0" w:type="auto"/>
        <w:jc w:val="center"/>
        <w:tblInd w:w="-1213" w:type="dxa"/>
        <w:tblLook w:val="04A0" w:firstRow="1" w:lastRow="0" w:firstColumn="1" w:lastColumn="0" w:noHBand="0" w:noVBand="1"/>
      </w:tblPr>
      <w:tblGrid>
        <w:gridCol w:w="1381"/>
        <w:gridCol w:w="720"/>
        <w:gridCol w:w="900"/>
        <w:gridCol w:w="1178"/>
        <w:gridCol w:w="753"/>
        <w:gridCol w:w="1008"/>
        <w:gridCol w:w="1120"/>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1381" w:type="dxa"/>
            <w:tcBorders>
              <w:top w:val="single" w:sz="4" w:space="0" w:color="auto"/>
              <w:bottom w:val="nil"/>
            </w:tcBorders>
            <w:noWrap/>
            <w:hideMark/>
          </w:tcPr>
          <w:p w:rsidR="00682A88" w:rsidRPr="00CF3673" w:rsidRDefault="00682A88" w:rsidP="00682A88">
            <w:pP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lastRenderedPageBreak/>
              <w:t>Informal</w:t>
            </w:r>
            <w:r w:rsidRPr="00CF3673">
              <w:rPr>
                <w:rStyle w:val="FootnoteReference"/>
                <w:rFonts w:ascii="Calibri" w:eastAsia="Times New Roman" w:hAnsi="Calibri" w:cs="Calibri"/>
                <w:color w:val="000000"/>
                <w:sz w:val="22"/>
                <w:lang w:eastAsia="zh-CN"/>
              </w:rPr>
              <w:footnoteReference w:id="15"/>
            </w:r>
          </w:p>
        </w:tc>
        <w:tc>
          <w:tcPr>
            <w:tcW w:w="720" w:type="dxa"/>
            <w:tcBorders>
              <w:top w:val="single" w:sz="4" w:space="0" w:color="auto"/>
              <w:bottom w:val="nil"/>
            </w:tcBorders>
            <w:noWrap/>
            <w:hideMark/>
          </w:tcPr>
          <w:p w:rsidR="00682A88" w:rsidRPr="00CF3673" w:rsidRDefault="00682A88" w:rsidP="00682A88">
            <w:pPr>
              <w:jc w:val="center"/>
              <w:rPr>
                <w:sz w:val="22"/>
              </w:rPr>
            </w:pPr>
            <w:r w:rsidRPr="00CF3673">
              <w:rPr>
                <w:sz w:val="22"/>
              </w:rPr>
              <w:t>11.8</w:t>
            </w:r>
          </w:p>
        </w:tc>
        <w:tc>
          <w:tcPr>
            <w:tcW w:w="900" w:type="dxa"/>
            <w:tcBorders>
              <w:top w:val="single" w:sz="4" w:space="0" w:color="auto"/>
              <w:bottom w:val="nil"/>
            </w:tcBorders>
            <w:noWrap/>
            <w:hideMark/>
          </w:tcPr>
          <w:p w:rsidR="00682A88" w:rsidRPr="00CF3673" w:rsidRDefault="00682A88" w:rsidP="00682A88">
            <w:pPr>
              <w:jc w:val="center"/>
              <w:rPr>
                <w:sz w:val="22"/>
              </w:rPr>
            </w:pPr>
            <w:r w:rsidRPr="00CF3673">
              <w:rPr>
                <w:sz w:val="22"/>
              </w:rPr>
              <w:t>6</w:t>
            </w:r>
          </w:p>
        </w:tc>
        <w:tc>
          <w:tcPr>
            <w:tcW w:w="1178" w:type="dxa"/>
            <w:tcBorders>
              <w:top w:val="single" w:sz="4" w:space="0" w:color="auto"/>
              <w:bottom w:val="nil"/>
            </w:tcBorders>
            <w:noWrap/>
            <w:hideMark/>
          </w:tcPr>
          <w:p w:rsidR="00682A88" w:rsidRPr="00CF3673" w:rsidRDefault="00682A88" w:rsidP="00682A88">
            <w:pPr>
              <w:jc w:val="center"/>
              <w:rPr>
                <w:sz w:val="22"/>
              </w:rPr>
            </w:pPr>
            <w:r w:rsidRPr="00CF3673">
              <w:rPr>
                <w:sz w:val="22"/>
              </w:rPr>
              <w:t>29</w:t>
            </w:r>
          </w:p>
        </w:tc>
        <w:tc>
          <w:tcPr>
            <w:tcW w:w="753" w:type="dxa"/>
            <w:tcBorders>
              <w:top w:val="single" w:sz="4" w:space="0" w:color="auto"/>
              <w:bottom w:val="nil"/>
            </w:tcBorders>
            <w:noWrap/>
            <w:hideMark/>
          </w:tcPr>
          <w:p w:rsidR="00682A88" w:rsidRPr="00CF3673" w:rsidRDefault="00682A88" w:rsidP="00682A88">
            <w:pPr>
              <w:jc w:val="center"/>
              <w:rPr>
                <w:sz w:val="22"/>
              </w:rPr>
            </w:pPr>
            <w:r w:rsidRPr="00CF3673">
              <w:rPr>
                <w:sz w:val="22"/>
              </w:rPr>
              <w:t>12.5</w:t>
            </w:r>
          </w:p>
        </w:tc>
        <w:tc>
          <w:tcPr>
            <w:tcW w:w="1008" w:type="dxa"/>
            <w:tcBorders>
              <w:top w:val="single" w:sz="4" w:space="0" w:color="auto"/>
              <w:bottom w:val="nil"/>
            </w:tcBorders>
            <w:noWrap/>
            <w:hideMark/>
          </w:tcPr>
          <w:p w:rsidR="00682A88" w:rsidRPr="00CF3673" w:rsidRDefault="00682A88" w:rsidP="00682A88">
            <w:pPr>
              <w:jc w:val="center"/>
              <w:rPr>
                <w:sz w:val="22"/>
              </w:rPr>
            </w:pPr>
            <w:r w:rsidRPr="00CF3673">
              <w:rPr>
                <w:sz w:val="22"/>
              </w:rPr>
              <w:t>5</w:t>
            </w:r>
          </w:p>
        </w:tc>
        <w:tc>
          <w:tcPr>
            <w:tcW w:w="1120" w:type="dxa"/>
            <w:tcBorders>
              <w:top w:val="single" w:sz="4" w:space="0" w:color="auto"/>
              <w:bottom w:val="nil"/>
            </w:tcBorders>
            <w:noWrap/>
            <w:hideMark/>
          </w:tcPr>
          <w:p w:rsidR="00682A88" w:rsidRPr="00CF3673" w:rsidRDefault="00682A88" w:rsidP="00682A88">
            <w:pPr>
              <w:jc w:val="center"/>
              <w:rPr>
                <w:sz w:val="22"/>
              </w:rPr>
            </w:pPr>
            <w:r w:rsidRPr="00CF3673">
              <w:rPr>
                <w:sz w:val="22"/>
              </w:rPr>
              <w:t>29</w:t>
            </w:r>
          </w:p>
        </w:tc>
      </w:tr>
      <w:tr w:rsidR="00682A88" w:rsidRPr="00CF3673" w:rsidTr="00682A88">
        <w:trPr>
          <w:trHeight w:val="300"/>
          <w:jc w:val="center"/>
        </w:trPr>
        <w:tc>
          <w:tcPr>
            <w:tcW w:w="1381" w:type="dxa"/>
            <w:tcBorders>
              <w:top w:val="nil"/>
              <w:bottom w:val="single" w:sz="4" w:space="0" w:color="auto"/>
            </w:tcBorders>
            <w:noWrap/>
            <w:hideMark/>
          </w:tcPr>
          <w:p w:rsidR="00682A88" w:rsidRPr="00CF3673" w:rsidRDefault="00682A88" w:rsidP="00682A88">
            <w:pPr>
              <w:rPr>
                <w:rFonts w:ascii="Calibri" w:eastAsia="Times New Roman" w:hAnsi="Calibri" w:cs="Calibri"/>
                <w:color w:val="000000"/>
                <w:sz w:val="22"/>
                <w:lang w:eastAsia="zh-CN"/>
              </w:rPr>
            </w:pPr>
            <w:r w:rsidRPr="00CF3673">
              <w:rPr>
                <w:rFonts w:ascii="Calibri" w:eastAsia="Times New Roman" w:hAnsi="Calibri" w:cs="Times New Roman"/>
                <w:sz w:val="22"/>
                <w:lang w:eastAsia="zh-CN"/>
              </w:rPr>
              <w:t>Formal</w:t>
            </w:r>
          </w:p>
        </w:tc>
        <w:tc>
          <w:tcPr>
            <w:tcW w:w="720" w:type="dxa"/>
            <w:tcBorders>
              <w:top w:val="nil"/>
              <w:bottom w:val="single" w:sz="4" w:space="0" w:color="auto"/>
            </w:tcBorders>
            <w:noWrap/>
            <w:hideMark/>
          </w:tcPr>
          <w:p w:rsidR="00682A88" w:rsidRPr="00CF3673" w:rsidRDefault="00682A88" w:rsidP="00682A88">
            <w:pPr>
              <w:jc w:val="center"/>
              <w:rPr>
                <w:sz w:val="22"/>
              </w:rPr>
            </w:pPr>
            <w:r w:rsidRPr="00CF3673">
              <w:rPr>
                <w:sz w:val="22"/>
              </w:rPr>
              <w:t>30.9</w:t>
            </w:r>
          </w:p>
        </w:tc>
        <w:tc>
          <w:tcPr>
            <w:tcW w:w="900" w:type="dxa"/>
            <w:tcBorders>
              <w:top w:val="nil"/>
              <w:bottom w:val="single" w:sz="4" w:space="0" w:color="auto"/>
            </w:tcBorders>
            <w:noWrap/>
            <w:hideMark/>
          </w:tcPr>
          <w:p w:rsidR="00682A88" w:rsidRPr="00CF3673" w:rsidRDefault="00682A88" w:rsidP="00682A88">
            <w:pPr>
              <w:jc w:val="center"/>
              <w:rPr>
                <w:sz w:val="22"/>
              </w:rPr>
            </w:pPr>
            <w:r w:rsidRPr="00CF3673">
              <w:rPr>
                <w:sz w:val="22"/>
              </w:rPr>
              <w:t>15</w:t>
            </w:r>
          </w:p>
        </w:tc>
        <w:tc>
          <w:tcPr>
            <w:tcW w:w="1178" w:type="dxa"/>
            <w:tcBorders>
              <w:top w:val="nil"/>
              <w:bottom w:val="single" w:sz="4" w:space="0" w:color="auto"/>
            </w:tcBorders>
            <w:noWrap/>
            <w:hideMark/>
          </w:tcPr>
          <w:p w:rsidR="00682A88" w:rsidRPr="00CF3673" w:rsidRDefault="00682A88" w:rsidP="00682A88">
            <w:pPr>
              <w:jc w:val="center"/>
              <w:rPr>
                <w:sz w:val="22"/>
              </w:rPr>
            </w:pPr>
            <w:r w:rsidRPr="00CF3673">
              <w:rPr>
                <w:sz w:val="22"/>
              </w:rPr>
              <w:t>187</w:t>
            </w:r>
          </w:p>
        </w:tc>
        <w:tc>
          <w:tcPr>
            <w:tcW w:w="753" w:type="dxa"/>
            <w:tcBorders>
              <w:top w:val="nil"/>
              <w:bottom w:val="single" w:sz="4" w:space="0" w:color="auto"/>
            </w:tcBorders>
            <w:noWrap/>
            <w:hideMark/>
          </w:tcPr>
          <w:p w:rsidR="00682A88" w:rsidRPr="00CF3673" w:rsidRDefault="00682A88" w:rsidP="00682A88">
            <w:pPr>
              <w:jc w:val="center"/>
              <w:rPr>
                <w:sz w:val="22"/>
              </w:rPr>
            </w:pPr>
            <w:r w:rsidRPr="00CF3673">
              <w:rPr>
                <w:sz w:val="22"/>
              </w:rPr>
              <w:t>30.3</w:t>
            </w:r>
          </w:p>
        </w:tc>
        <w:tc>
          <w:tcPr>
            <w:tcW w:w="1008" w:type="dxa"/>
            <w:tcBorders>
              <w:top w:val="nil"/>
              <w:bottom w:val="single" w:sz="4" w:space="0" w:color="auto"/>
            </w:tcBorders>
            <w:noWrap/>
            <w:hideMark/>
          </w:tcPr>
          <w:p w:rsidR="00682A88" w:rsidRPr="00CF3673" w:rsidRDefault="00682A88" w:rsidP="00682A88">
            <w:pPr>
              <w:jc w:val="center"/>
              <w:rPr>
                <w:sz w:val="22"/>
              </w:rPr>
            </w:pPr>
            <w:r w:rsidRPr="00CF3673">
              <w:rPr>
                <w:sz w:val="22"/>
              </w:rPr>
              <w:t>12</w:t>
            </w:r>
          </w:p>
        </w:tc>
        <w:tc>
          <w:tcPr>
            <w:tcW w:w="1120" w:type="dxa"/>
            <w:tcBorders>
              <w:top w:val="nil"/>
              <w:bottom w:val="single" w:sz="4" w:space="0" w:color="auto"/>
            </w:tcBorders>
            <w:noWrap/>
            <w:hideMark/>
          </w:tcPr>
          <w:p w:rsidR="00682A88" w:rsidRPr="00CF3673" w:rsidRDefault="00682A88" w:rsidP="00682A88">
            <w:pPr>
              <w:jc w:val="center"/>
              <w:rPr>
                <w:sz w:val="22"/>
              </w:rPr>
            </w:pPr>
            <w:r w:rsidRPr="00CF3673">
              <w:rPr>
                <w:sz w:val="22"/>
              </w:rPr>
              <w:t>187</w:t>
            </w:r>
          </w:p>
        </w:tc>
      </w:tr>
      <w:tr w:rsidR="00682A88" w:rsidRPr="00CF3673" w:rsidTr="00682A88">
        <w:trPr>
          <w:trHeight w:val="300"/>
          <w:jc w:val="center"/>
        </w:trPr>
        <w:tc>
          <w:tcPr>
            <w:tcW w:w="1381" w:type="dxa"/>
            <w:tcBorders>
              <w:top w:val="single" w:sz="4" w:space="0" w:color="auto"/>
            </w:tcBorders>
            <w:noWrap/>
            <w:hideMark/>
          </w:tcPr>
          <w:p w:rsidR="00682A88" w:rsidRPr="00CF3673" w:rsidRDefault="00682A88" w:rsidP="00682A88">
            <w:pP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Nacional</w:t>
            </w:r>
          </w:p>
        </w:tc>
        <w:tc>
          <w:tcPr>
            <w:tcW w:w="720" w:type="dxa"/>
            <w:tcBorders>
              <w:top w:val="single" w:sz="4" w:space="0" w:color="auto"/>
            </w:tcBorders>
            <w:noWrap/>
            <w:hideMark/>
          </w:tcPr>
          <w:p w:rsidR="00682A88" w:rsidRPr="00CF3673" w:rsidRDefault="00682A88" w:rsidP="00682A88">
            <w:pPr>
              <w:jc w:val="center"/>
              <w:rPr>
                <w:sz w:val="22"/>
              </w:rPr>
            </w:pPr>
            <w:r w:rsidRPr="00CF3673">
              <w:rPr>
                <w:sz w:val="22"/>
              </w:rPr>
              <w:t>21.4</w:t>
            </w:r>
          </w:p>
        </w:tc>
        <w:tc>
          <w:tcPr>
            <w:tcW w:w="900" w:type="dxa"/>
            <w:tcBorders>
              <w:top w:val="single" w:sz="4" w:space="0" w:color="auto"/>
            </w:tcBorders>
            <w:noWrap/>
            <w:hideMark/>
          </w:tcPr>
          <w:p w:rsidR="00682A88" w:rsidRPr="00CF3673" w:rsidRDefault="00682A88" w:rsidP="00682A88">
            <w:pPr>
              <w:jc w:val="center"/>
              <w:rPr>
                <w:sz w:val="22"/>
              </w:rPr>
            </w:pPr>
            <w:r w:rsidRPr="00CF3673">
              <w:rPr>
                <w:sz w:val="22"/>
              </w:rPr>
              <w:t>9</w:t>
            </w:r>
          </w:p>
        </w:tc>
        <w:tc>
          <w:tcPr>
            <w:tcW w:w="1178" w:type="dxa"/>
            <w:tcBorders>
              <w:top w:val="single" w:sz="4" w:space="0" w:color="auto"/>
            </w:tcBorders>
            <w:noWrap/>
            <w:hideMark/>
          </w:tcPr>
          <w:p w:rsidR="00682A88" w:rsidRPr="00CF3673" w:rsidRDefault="00682A88" w:rsidP="00682A88">
            <w:pPr>
              <w:jc w:val="center"/>
              <w:rPr>
                <w:sz w:val="22"/>
              </w:rPr>
            </w:pPr>
            <w:r w:rsidRPr="00CF3673">
              <w:rPr>
                <w:sz w:val="22"/>
              </w:rPr>
              <w:t>172</w:t>
            </w:r>
          </w:p>
        </w:tc>
        <w:tc>
          <w:tcPr>
            <w:tcW w:w="753" w:type="dxa"/>
            <w:tcBorders>
              <w:top w:val="single" w:sz="4" w:space="0" w:color="auto"/>
            </w:tcBorders>
            <w:noWrap/>
            <w:hideMark/>
          </w:tcPr>
          <w:p w:rsidR="00682A88" w:rsidRPr="00CF3673" w:rsidRDefault="00682A88" w:rsidP="00682A88">
            <w:pPr>
              <w:jc w:val="center"/>
              <w:rPr>
                <w:sz w:val="22"/>
              </w:rPr>
            </w:pPr>
            <w:r w:rsidRPr="00CF3673">
              <w:rPr>
                <w:sz w:val="22"/>
              </w:rPr>
              <w:t>19.0</w:t>
            </w:r>
          </w:p>
        </w:tc>
        <w:tc>
          <w:tcPr>
            <w:tcW w:w="1008" w:type="dxa"/>
            <w:tcBorders>
              <w:top w:val="single" w:sz="4" w:space="0" w:color="auto"/>
            </w:tcBorders>
            <w:noWrap/>
            <w:hideMark/>
          </w:tcPr>
          <w:p w:rsidR="00682A88" w:rsidRPr="00CF3673" w:rsidRDefault="00682A88" w:rsidP="00682A88">
            <w:pPr>
              <w:jc w:val="center"/>
              <w:rPr>
                <w:sz w:val="22"/>
              </w:rPr>
            </w:pPr>
            <w:r w:rsidRPr="00CF3673">
              <w:rPr>
                <w:sz w:val="22"/>
              </w:rPr>
              <w:t>7</w:t>
            </w:r>
          </w:p>
        </w:tc>
        <w:tc>
          <w:tcPr>
            <w:tcW w:w="1120" w:type="dxa"/>
            <w:tcBorders>
              <w:top w:val="single" w:sz="4" w:space="0" w:color="auto"/>
            </w:tcBorders>
            <w:noWrap/>
            <w:hideMark/>
          </w:tcPr>
          <w:p w:rsidR="00682A88" w:rsidRPr="00CF3673" w:rsidRDefault="00682A88" w:rsidP="00682A88">
            <w:pPr>
              <w:jc w:val="center"/>
              <w:rPr>
                <w:sz w:val="22"/>
              </w:rPr>
            </w:pPr>
            <w:r w:rsidRPr="00CF3673">
              <w:rPr>
                <w:sz w:val="22"/>
              </w:rPr>
              <w:t>172</w:t>
            </w:r>
          </w:p>
        </w:tc>
      </w:tr>
      <w:tr w:rsidR="00682A88" w:rsidRPr="00CF3673" w:rsidTr="00682A88">
        <w:trPr>
          <w:trHeight w:val="300"/>
          <w:jc w:val="center"/>
        </w:trPr>
        <w:tc>
          <w:tcPr>
            <w:tcW w:w="1381" w:type="dxa"/>
            <w:tcBorders>
              <w:bottom w:val="double" w:sz="4" w:space="0" w:color="auto"/>
            </w:tcBorders>
            <w:noWrap/>
            <w:hideMark/>
          </w:tcPr>
          <w:p w:rsidR="00682A88" w:rsidRPr="00CF3673" w:rsidRDefault="00682A88" w:rsidP="00682A88">
            <w:pPr>
              <w:rPr>
                <w:rFonts w:ascii="Calibri" w:eastAsia="Times New Roman" w:hAnsi="Calibri" w:cs="Calibri"/>
                <w:color w:val="000000"/>
                <w:sz w:val="22"/>
                <w:lang w:eastAsia="zh-CN"/>
              </w:rPr>
            </w:pPr>
            <w:r w:rsidRPr="00CF3673">
              <w:rPr>
                <w:rFonts w:ascii="Calibri" w:eastAsia="Times New Roman" w:hAnsi="Calibri" w:cs="Calibri"/>
                <w:color w:val="000000"/>
                <w:sz w:val="22"/>
                <w:lang w:eastAsia="zh-CN"/>
              </w:rPr>
              <w:t>Estrangeira</w:t>
            </w:r>
          </w:p>
        </w:tc>
        <w:tc>
          <w:tcPr>
            <w:tcW w:w="720" w:type="dxa"/>
            <w:tcBorders>
              <w:bottom w:val="double" w:sz="4" w:space="0" w:color="auto"/>
            </w:tcBorders>
            <w:noWrap/>
            <w:hideMark/>
          </w:tcPr>
          <w:p w:rsidR="00682A88" w:rsidRPr="00CF3673" w:rsidRDefault="00682A88" w:rsidP="00682A88">
            <w:pPr>
              <w:jc w:val="center"/>
              <w:rPr>
                <w:sz w:val="22"/>
              </w:rPr>
            </w:pPr>
            <w:r w:rsidRPr="00CF3673">
              <w:rPr>
                <w:sz w:val="22"/>
              </w:rPr>
              <w:t>55.5</w:t>
            </w:r>
          </w:p>
        </w:tc>
        <w:tc>
          <w:tcPr>
            <w:tcW w:w="900" w:type="dxa"/>
            <w:tcBorders>
              <w:bottom w:val="double" w:sz="4" w:space="0" w:color="auto"/>
            </w:tcBorders>
            <w:noWrap/>
            <w:hideMark/>
          </w:tcPr>
          <w:p w:rsidR="00682A88" w:rsidRPr="00CF3673" w:rsidRDefault="00682A88" w:rsidP="00682A88">
            <w:pPr>
              <w:jc w:val="center"/>
              <w:rPr>
                <w:sz w:val="22"/>
              </w:rPr>
            </w:pPr>
            <w:r w:rsidRPr="00CF3673">
              <w:rPr>
                <w:sz w:val="22"/>
              </w:rPr>
              <w:t>43</w:t>
            </w:r>
          </w:p>
        </w:tc>
        <w:tc>
          <w:tcPr>
            <w:tcW w:w="1178" w:type="dxa"/>
            <w:tcBorders>
              <w:bottom w:val="double" w:sz="4" w:space="0" w:color="auto"/>
            </w:tcBorders>
            <w:noWrap/>
            <w:hideMark/>
          </w:tcPr>
          <w:p w:rsidR="00682A88" w:rsidRPr="00CF3673" w:rsidRDefault="00682A88" w:rsidP="00682A88">
            <w:pPr>
              <w:jc w:val="center"/>
              <w:rPr>
                <w:sz w:val="22"/>
              </w:rPr>
            </w:pPr>
            <w:r w:rsidRPr="00CF3673">
              <w:rPr>
                <w:sz w:val="22"/>
              </w:rPr>
              <w:t>44</w:t>
            </w:r>
          </w:p>
        </w:tc>
        <w:tc>
          <w:tcPr>
            <w:tcW w:w="753" w:type="dxa"/>
            <w:tcBorders>
              <w:bottom w:val="double" w:sz="4" w:space="0" w:color="auto"/>
            </w:tcBorders>
            <w:noWrap/>
            <w:hideMark/>
          </w:tcPr>
          <w:p w:rsidR="00682A88" w:rsidRPr="00CF3673" w:rsidRDefault="00682A88" w:rsidP="00682A88">
            <w:pPr>
              <w:jc w:val="center"/>
              <w:rPr>
                <w:sz w:val="22"/>
              </w:rPr>
            </w:pPr>
            <w:r w:rsidRPr="00CF3673">
              <w:rPr>
                <w:sz w:val="22"/>
              </w:rPr>
              <w:t>63.1</w:t>
            </w:r>
          </w:p>
        </w:tc>
        <w:tc>
          <w:tcPr>
            <w:tcW w:w="1008" w:type="dxa"/>
            <w:tcBorders>
              <w:bottom w:val="double" w:sz="4" w:space="0" w:color="auto"/>
            </w:tcBorders>
            <w:noWrap/>
            <w:hideMark/>
          </w:tcPr>
          <w:p w:rsidR="00682A88" w:rsidRPr="00CF3673" w:rsidRDefault="00682A88" w:rsidP="00682A88">
            <w:pPr>
              <w:jc w:val="center"/>
              <w:rPr>
                <w:sz w:val="22"/>
              </w:rPr>
            </w:pPr>
            <w:r w:rsidRPr="00CF3673">
              <w:rPr>
                <w:sz w:val="22"/>
              </w:rPr>
              <w:t>47</w:t>
            </w:r>
          </w:p>
        </w:tc>
        <w:tc>
          <w:tcPr>
            <w:tcW w:w="1120" w:type="dxa"/>
            <w:tcBorders>
              <w:bottom w:val="double" w:sz="4" w:space="0" w:color="auto"/>
            </w:tcBorders>
            <w:noWrap/>
            <w:hideMark/>
          </w:tcPr>
          <w:p w:rsidR="00682A88" w:rsidRPr="00CF3673" w:rsidRDefault="00682A88" w:rsidP="00682A88">
            <w:pPr>
              <w:jc w:val="center"/>
              <w:rPr>
                <w:sz w:val="22"/>
              </w:rPr>
            </w:pPr>
            <w:r w:rsidRPr="00CF3673">
              <w:rPr>
                <w:sz w:val="22"/>
              </w:rPr>
              <w:t>44</w:t>
            </w:r>
          </w:p>
        </w:tc>
      </w:tr>
      <w:tr w:rsidR="00682A88" w:rsidRPr="00CF3673" w:rsidTr="00682A88">
        <w:trPr>
          <w:trHeight w:val="300"/>
          <w:jc w:val="center"/>
        </w:trPr>
        <w:tc>
          <w:tcPr>
            <w:tcW w:w="7060" w:type="dxa"/>
            <w:gridSpan w:val="7"/>
            <w:tcBorders>
              <w:top w:val="double" w:sz="4" w:space="0" w:color="auto"/>
              <w:bottom w:val="nil"/>
            </w:tcBorders>
            <w:noWrap/>
          </w:tcPr>
          <w:p w:rsidR="00682A88" w:rsidRPr="00CF3673" w:rsidRDefault="00682A88" w:rsidP="00682A88">
            <w:pPr>
              <w:pStyle w:val="Tablenote"/>
              <w:rPr>
                <w:rFonts w:ascii="Calibri" w:eastAsia="Times New Roman" w:hAnsi="Calibri" w:cs="Times New Roman"/>
                <w:sz w:val="20"/>
                <w:lang w:val="pt-PT" w:eastAsia="zh-CN"/>
              </w:rPr>
            </w:pPr>
            <w:r w:rsidRPr="00CF3673">
              <w:rPr>
                <w:b/>
                <w:sz w:val="20"/>
                <w:lang w:val="pt-PT"/>
              </w:rPr>
              <w:t>Nota</w:t>
            </w:r>
            <w:r w:rsidRPr="00CF3673">
              <w:rPr>
                <w:sz w:val="20"/>
                <w:lang w:val="pt-PT"/>
              </w:rPr>
              <w:t>: Seguindo as mesmas empresas durante o período de 2006-2011.</w:t>
            </w:r>
          </w:p>
        </w:tc>
      </w:tr>
      <w:tr w:rsidR="00682A88" w:rsidRPr="00CF3673" w:rsidTr="00682A88">
        <w:trPr>
          <w:trHeight w:val="300"/>
          <w:jc w:val="center"/>
        </w:trPr>
        <w:tc>
          <w:tcPr>
            <w:tcW w:w="7060" w:type="dxa"/>
            <w:gridSpan w:val="7"/>
            <w:tcBorders>
              <w:top w:val="nil"/>
              <w:bottom w:val="nil"/>
            </w:tcBorders>
            <w:noWrap/>
          </w:tcPr>
          <w:p w:rsidR="00682A88" w:rsidRPr="00CF3673" w:rsidRDefault="00682A88" w:rsidP="002E7766">
            <w:pPr>
              <w:pStyle w:val="Tablenote"/>
              <w:rPr>
                <w:rFonts w:ascii="Calibri" w:eastAsia="Times New Roman" w:hAnsi="Calibri" w:cs="Times New Roman"/>
                <w:sz w:val="20"/>
                <w:lang w:val="pt-PT" w:eastAsia="zh-CN"/>
              </w:rPr>
            </w:pPr>
            <w:r w:rsidRPr="00CF3673">
              <w:rPr>
                <w:b/>
                <w:sz w:val="20"/>
                <w:lang w:val="pt-PT"/>
              </w:rPr>
              <w:t>Fonte</w:t>
            </w:r>
            <w:r w:rsidRPr="00CF3673">
              <w:rPr>
                <w:sz w:val="20"/>
                <w:lang w:val="pt-PT"/>
              </w:rPr>
              <w:t>: Cálculos</w:t>
            </w:r>
            <w:r w:rsidR="002E7766" w:rsidRPr="00CF3673">
              <w:rPr>
                <w:sz w:val="20"/>
                <w:lang w:val="pt-PT"/>
              </w:rPr>
              <w:t xml:space="preserve"> dos autores com base</w:t>
            </w:r>
            <w:r w:rsidRPr="00CF3673">
              <w:rPr>
                <w:sz w:val="20"/>
                <w:lang w:val="pt-PT"/>
              </w:rPr>
              <w:t xml:space="preserve"> IIM 2012, DNEAP (2006) </w:t>
            </w:r>
            <w:r w:rsidR="00B20E4D" w:rsidRPr="00CF3673">
              <w:rPr>
                <w:sz w:val="20"/>
                <w:lang w:val="pt-PT"/>
              </w:rPr>
              <w:t>e ICA</w:t>
            </w:r>
            <w:r w:rsidRPr="00CF3673">
              <w:rPr>
                <w:sz w:val="20"/>
                <w:lang w:val="pt-PT"/>
              </w:rPr>
              <w:t xml:space="preserve"> (2009).</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As mudanças modestas na média do número de trabalhadores com mais categorias de empresas não implicam que as empresas individuais não experimentaram mudanças mais dramáticas. A Tabela 3.2 acompanha a transição de empresas a partir de uma categoria de tamanho para outra. As microempresas muito </w:t>
      </w:r>
      <w:r w:rsidR="00B20E4D" w:rsidRPr="00CF3673">
        <w:t>provavelmente</w:t>
      </w:r>
      <w:r w:rsidRPr="00CF3673">
        <w:t xml:space="preserve"> permanecem micro, mas cerca de 7% tornaram-se pequenas e mais 2 % tornaram-se médias. A maioria das pequenas empresas permaneceram pequen</w:t>
      </w:r>
      <w:r w:rsidR="005502EB" w:rsidRPr="00CF3673">
        <w:t>a</w:t>
      </w:r>
      <w:r w:rsidRPr="00CF3673">
        <w:t xml:space="preserve">s, mas </w:t>
      </w:r>
      <w:r w:rsidR="00B20E4D" w:rsidRPr="00CF3673">
        <w:t>25% tornaram-se</w:t>
      </w:r>
      <w:r w:rsidRPr="00CF3673">
        <w:t xml:space="preserve"> micro e 12% tornaram-se médias. A maioria das empresas de médio porte mantiveram-se, mas 21% tornou-se de pequeno porte. A tabela mostra a transição da categoria “pequena” em ambas as </w:t>
      </w:r>
      <w:r w:rsidR="00B20E4D" w:rsidRPr="00CF3673">
        <w:t>direcções</w:t>
      </w:r>
      <w:r w:rsidRPr="00CF3673">
        <w:t xml:space="preserve"> - mais 15 empresas do painel equilibrado eram micro em 2011 e mais 7 haviam-se tornado de tamanho médio.</w:t>
      </w:r>
    </w:p>
    <w:p w:rsidR="00682A88" w:rsidRPr="00CF3673" w:rsidRDefault="00682A88" w:rsidP="00682A88">
      <w:pPr>
        <w:spacing w:line="360" w:lineRule="auto"/>
        <w:jc w:val="both"/>
        <w:rPr>
          <w:b/>
        </w:rPr>
      </w:pPr>
      <w:r w:rsidRPr="00CF3673">
        <w:rPr>
          <w:b/>
        </w:rPr>
        <w:t>Tabela 3.2: Matriz de transição da empresa, 2006-2011</w:t>
      </w:r>
    </w:p>
    <w:tbl>
      <w:tblPr>
        <w:tblStyle w:val="StandardTable"/>
        <w:tblW w:w="0" w:type="auto"/>
        <w:jc w:val="center"/>
        <w:tblLook w:val="04A0" w:firstRow="1" w:lastRow="0" w:firstColumn="1" w:lastColumn="0" w:noHBand="0" w:noVBand="1"/>
      </w:tblPr>
      <w:tblGrid>
        <w:gridCol w:w="2781"/>
        <w:gridCol w:w="841"/>
        <w:gridCol w:w="1128"/>
        <w:gridCol w:w="890"/>
        <w:gridCol w:w="642"/>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tcBorders>
              <w:bottom w:val="nil"/>
            </w:tcBorders>
            <w:noWrap/>
            <w:hideMark/>
          </w:tcPr>
          <w:p w:rsidR="00682A88" w:rsidRPr="00CF3673" w:rsidRDefault="00682A88" w:rsidP="00682A88">
            <w:pPr>
              <w:rPr>
                <w:rFonts w:ascii="Calibri" w:eastAsia="Times New Roman" w:hAnsi="Calibri" w:cs="Calibri"/>
                <w:color w:val="000000"/>
                <w:lang w:eastAsia="zh-CN"/>
              </w:rPr>
            </w:pPr>
          </w:p>
        </w:tc>
        <w:tc>
          <w:tcPr>
            <w:tcW w:w="0" w:type="auto"/>
            <w:gridSpan w:val="3"/>
            <w:tcBorders>
              <w:bottom w:val="nil"/>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Categorias de tamanho </w:t>
            </w:r>
            <w:r w:rsidR="005502EB" w:rsidRPr="00CF3673">
              <w:rPr>
                <w:rFonts w:ascii="Calibri" w:eastAsia="Times New Roman" w:hAnsi="Calibri" w:cs="Calibri"/>
                <w:color w:val="000000"/>
                <w:lang w:eastAsia="zh-CN"/>
              </w:rPr>
              <w:t>em 2011</w:t>
            </w:r>
          </w:p>
        </w:tc>
        <w:tc>
          <w:tcPr>
            <w:tcW w:w="0" w:type="auto"/>
            <w:tcBorders>
              <w:bottom w:val="nil"/>
            </w:tcBorders>
            <w:noWrap/>
            <w:hideMark/>
          </w:tcPr>
          <w:p w:rsidR="00682A88" w:rsidRPr="00CF3673" w:rsidRDefault="00682A88" w:rsidP="00682A88">
            <w:pPr>
              <w:rPr>
                <w:rFonts w:ascii="Calibri" w:eastAsia="Times New Roman" w:hAnsi="Calibri" w:cs="Calibri"/>
                <w:color w:val="000000"/>
                <w:lang w:eastAsia="zh-CN"/>
              </w:rPr>
            </w:pPr>
          </w:p>
        </w:tc>
      </w:tr>
      <w:tr w:rsidR="00682A88" w:rsidRPr="00CF3673" w:rsidTr="00682A88">
        <w:trPr>
          <w:trHeight w:val="300"/>
          <w:jc w:val="center"/>
        </w:trPr>
        <w:tc>
          <w:tcPr>
            <w:tcW w:w="0" w:type="auto"/>
            <w:tcBorders>
              <w:top w:val="nil"/>
              <w:bottom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Categoria de tamanho em 2006</w:t>
            </w: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Pequena</w:t>
            </w: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Média</w:t>
            </w: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Total</w:t>
            </w:r>
          </w:p>
        </w:tc>
      </w:tr>
      <w:tr w:rsidR="00682A88" w:rsidRPr="00CF3673" w:rsidTr="00682A88">
        <w:trPr>
          <w:trHeight w:val="300"/>
          <w:jc w:val="center"/>
        </w:trPr>
        <w:tc>
          <w:tcPr>
            <w:tcW w:w="0" w:type="auto"/>
            <w:tcBorders>
              <w:top w:val="single" w:sz="4" w:space="0" w:color="auto"/>
              <w:bottom w:val="nil"/>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0" w:type="auto"/>
            <w:tcBorders>
              <w:top w:val="single" w:sz="4" w:space="0" w:color="auto"/>
              <w:bottom w:val="nil"/>
            </w:tcBorders>
            <w:noWrap/>
            <w:hideMark/>
          </w:tcPr>
          <w:p w:rsidR="00682A88" w:rsidRPr="00CF3673" w:rsidRDefault="00682A88" w:rsidP="00682A88">
            <w:pPr>
              <w:jc w:val="center"/>
            </w:pPr>
            <w:r w:rsidRPr="00CF3673">
              <w:t>82</w:t>
            </w:r>
          </w:p>
        </w:tc>
        <w:tc>
          <w:tcPr>
            <w:tcW w:w="0" w:type="auto"/>
            <w:tcBorders>
              <w:top w:val="single" w:sz="4" w:space="0" w:color="auto"/>
              <w:bottom w:val="nil"/>
            </w:tcBorders>
            <w:noWrap/>
            <w:hideMark/>
          </w:tcPr>
          <w:p w:rsidR="00682A88" w:rsidRPr="00CF3673" w:rsidRDefault="00682A88" w:rsidP="00682A88">
            <w:pPr>
              <w:jc w:val="center"/>
            </w:pPr>
            <w:r w:rsidRPr="00CF3673">
              <w:t>6</w:t>
            </w:r>
          </w:p>
        </w:tc>
        <w:tc>
          <w:tcPr>
            <w:tcW w:w="0" w:type="auto"/>
            <w:tcBorders>
              <w:top w:val="single" w:sz="4" w:space="0" w:color="auto"/>
              <w:bottom w:val="nil"/>
            </w:tcBorders>
            <w:noWrap/>
            <w:hideMark/>
          </w:tcPr>
          <w:p w:rsidR="00682A88" w:rsidRPr="00CF3673" w:rsidRDefault="00682A88" w:rsidP="00682A88">
            <w:pPr>
              <w:jc w:val="center"/>
            </w:pPr>
            <w:r w:rsidRPr="00CF3673">
              <w:t>2</w:t>
            </w:r>
          </w:p>
        </w:tc>
        <w:tc>
          <w:tcPr>
            <w:tcW w:w="0" w:type="auto"/>
            <w:tcBorders>
              <w:top w:val="single" w:sz="4" w:space="0" w:color="auto"/>
              <w:bottom w:val="nil"/>
            </w:tcBorders>
            <w:noWrap/>
            <w:hideMark/>
          </w:tcPr>
          <w:p w:rsidR="00682A88" w:rsidRPr="00CF3673" w:rsidRDefault="00682A88" w:rsidP="00682A88">
            <w:pPr>
              <w:jc w:val="center"/>
            </w:pPr>
            <w:r w:rsidRPr="00CF3673">
              <w:t>90</w:t>
            </w:r>
          </w:p>
        </w:tc>
      </w:tr>
      <w:tr w:rsidR="00682A88" w:rsidRPr="00CF3673" w:rsidTr="00682A88">
        <w:trPr>
          <w:trHeight w:val="300"/>
          <w:jc w:val="center"/>
        </w:trPr>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w:t>
            </w:r>
            <w:r w:rsidR="00B20E4D" w:rsidRPr="00CF3673">
              <w:rPr>
                <w:rFonts w:ascii="Calibri" w:eastAsia="Times New Roman" w:hAnsi="Calibri" w:cs="Calibri"/>
                <w:color w:val="000000"/>
                <w:lang w:eastAsia="zh-CN"/>
              </w:rPr>
              <w:t>%</w:t>
            </w:r>
            <w:r w:rsidRPr="00CF3673">
              <w:rPr>
                <w:rFonts w:ascii="Calibri" w:eastAsia="Times New Roman" w:hAnsi="Calibri" w:cs="Calibri"/>
                <w:color w:val="000000"/>
                <w:lang w:eastAsia="zh-CN"/>
              </w:rPr>
              <w:t>.)</w:t>
            </w:r>
          </w:p>
        </w:tc>
        <w:tc>
          <w:tcPr>
            <w:tcW w:w="0" w:type="auto"/>
            <w:tcBorders>
              <w:top w:val="nil"/>
              <w:bottom w:val="single" w:sz="4" w:space="0" w:color="auto"/>
            </w:tcBorders>
            <w:noWrap/>
            <w:hideMark/>
          </w:tcPr>
          <w:p w:rsidR="00682A88" w:rsidRPr="00CF3673" w:rsidRDefault="00682A88" w:rsidP="00682A88">
            <w:pPr>
              <w:jc w:val="center"/>
            </w:pPr>
            <w:r w:rsidRPr="00CF3673">
              <w:t>(91.1)</w:t>
            </w:r>
          </w:p>
        </w:tc>
        <w:tc>
          <w:tcPr>
            <w:tcW w:w="0" w:type="auto"/>
            <w:tcBorders>
              <w:top w:val="nil"/>
              <w:bottom w:val="single" w:sz="4" w:space="0" w:color="auto"/>
            </w:tcBorders>
            <w:noWrap/>
            <w:hideMark/>
          </w:tcPr>
          <w:p w:rsidR="00682A88" w:rsidRPr="00CF3673" w:rsidRDefault="00682A88" w:rsidP="00682A88">
            <w:pPr>
              <w:jc w:val="center"/>
            </w:pPr>
            <w:r w:rsidRPr="00CF3673">
              <w:t>(6.7)</w:t>
            </w:r>
          </w:p>
        </w:tc>
        <w:tc>
          <w:tcPr>
            <w:tcW w:w="0" w:type="auto"/>
            <w:tcBorders>
              <w:top w:val="nil"/>
              <w:bottom w:val="single" w:sz="4" w:space="0" w:color="auto"/>
            </w:tcBorders>
            <w:noWrap/>
            <w:hideMark/>
          </w:tcPr>
          <w:p w:rsidR="00682A88" w:rsidRPr="00CF3673" w:rsidRDefault="00682A88" w:rsidP="00682A88">
            <w:pPr>
              <w:jc w:val="center"/>
            </w:pPr>
            <w:r w:rsidRPr="00CF3673">
              <w:t>(2.2)</w:t>
            </w:r>
          </w:p>
        </w:tc>
        <w:tc>
          <w:tcPr>
            <w:tcW w:w="0" w:type="auto"/>
            <w:tcBorders>
              <w:top w:val="nil"/>
              <w:bottom w:val="single" w:sz="4" w:space="0" w:color="auto"/>
            </w:tcBorders>
            <w:noWrap/>
            <w:hideMark/>
          </w:tcPr>
          <w:p w:rsidR="00682A88" w:rsidRPr="00CF3673" w:rsidRDefault="00682A88" w:rsidP="00682A88">
            <w:pPr>
              <w:jc w:val="center"/>
            </w:pPr>
            <w:r w:rsidRPr="00CF3673">
              <w:t>(100)</w:t>
            </w:r>
          </w:p>
        </w:tc>
      </w:tr>
      <w:tr w:rsidR="00682A88" w:rsidRPr="00CF3673" w:rsidTr="00682A88">
        <w:trPr>
          <w:trHeight w:val="300"/>
          <w:jc w:val="center"/>
        </w:trPr>
        <w:tc>
          <w:tcPr>
            <w:tcW w:w="0" w:type="auto"/>
            <w:tcBorders>
              <w:top w:val="single" w:sz="4" w:space="0" w:color="auto"/>
              <w:bottom w:val="nil"/>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Pequena </w:t>
            </w:r>
          </w:p>
        </w:tc>
        <w:tc>
          <w:tcPr>
            <w:tcW w:w="0" w:type="auto"/>
            <w:tcBorders>
              <w:top w:val="single" w:sz="4" w:space="0" w:color="auto"/>
              <w:bottom w:val="nil"/>
            </w:tcBorders>
            <w:noWrap/>
            <w:hideMark/>
          </w:tcPr>
          <w:p w:rsidR="00682A88" w:rsidRPr="00CF3673" w:rsidRDefault="00682A88" w:rsidP="00682A88">
            <w:pPr>
              <w:jc w:val="center"/>
            </w:pPr>
            <w:r w:rsidRPr="00CF3673">
              <w:t>23</w:t>
            </w:r>
          </w:p>
        </w:tc>
        <w:tc>
          <w:tcPr>
            <w:tcW w:w="0" w:type="auto"/>
            <w:tcBorders>
              <w:top w:val="single" w:sz="4" w:space="0" w:color="auto"/>
              <w:bottom w:val="nil"/>
            </w:tcBorders>
            <w:noWrap/>
            <w:hideMark/>
          </w:tcPr>
          <w:p w:rsidR="00682A88" w:rsidRPr="00CF3673" w:rsidRDefault="00682A88" w:rsidP="00682A88">
            <w:pPr>
              <w:jc w:val="center"/>
            </w:pPr>
            <w:r w:rsidRPr="00CF3673">
              <w:t>58</w:t>
            </w:r>
          </w:p>
        </w:tc>
        <w:tc>
          <w:tcPr>
            <w:tcW w:w="0" w:type="auto"/>
            <w:tcBorders>
              <w:top w:val="single" w:sz="4" w:space="0" w:color="auto"/>
              <w:bottom w:val="nil"/>
            </w:tcBorders>
            <w:noWrap/>
            <w:hideMark/>
          </w:tcPr>
          <w:p w:rsidR="00682A88" w:rsidRPr="00CF3673" w:rsidRDefault="00682A88" w:rsidP="00682A88">
            <w:pPr>
              <w:jc w:val="center"/>
            </w:pPr>
            <w:r w:rsidRPr="00CF3673">
              <w:t>11</w:t>
            </w:r>
          </w:p>
        </w:tc>
        <w:tc>
          <w:tcPr>
            <w:tcW w:w="0" w:type="auto"/>
            <w:tcBorders>
              <w:top w:val="single" w:sz="4" w:space="0" w:color="auto"/>
              <w:bottom w:val="nil"/>
            </w:tcBorders>
            <w:noWrap/>
            <w:hideMark/>
          </w:tcPr>
          <w:p w:rsidR="00682A88" w:rsidRPr="00CF3673" w:rsidRDefault="00682A88" w:rsidP="00682A88">
            <w:pPr>
              <w:jc w:val="center"/>
            </w:pPr>
            <w:r w:rsidRPr="00CF3673">
              <w:t>92</w:t>
            </w:r>
          </w:p>
        </w:tc>
      </w:tr>
      <w:tr w:rsidR="00682A88" w:rsidRPr="00CF3673" w:rsidTr="00682A88">
        <w:trPr>
          <w:trHeight w:val="300"/>
          <w:jc w:val="center"/>
        </w:trPr>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w:t>
            </w:r>
            <w:r w:rsidR="00B20E4D" w:rsidRPr="00CF3673">
              <w:rPr>
                <w:rFonts w:ascii="Calibri" w:eastAsia="Times New Roman" w:hAnsi="Calibri" w:cs="Calibri"/>
                <w:color w:val="000000"/>
                <w:lang w:eastAsia="zh-CN"/>
              </w:rPr>
              <w:t>%</w:t>
            </w:r>
            <w:r w:rsidRPr="00CF3673">
              <w:rPr>
                <w:rFonts w:ascii="Calibri" w:eastAsia="Times New Roman" w:hAnsi="Calibri" w:cs="Calibri"/>
                <w:color w:val="000000"/>
                <w:lang w:eastAsia="zh-CN"/>
              </w:rPr>
              <w:t>.)</w:t>
            </w:r>
          </w:p>
        </w:tc>
        <w:tc>
          <w:tcPr>
            <w:tcW w:w="0" w:type="auto"/>
            <w:tcBorders>
              <w:top w:val="nil"/>
              <w:bottom w:val="single" w:sz="4" w:space="0" w:color="auto"/>
            </w:tcBorders>
            <w:noWrap/>
            <w:hideMark/>
          </w:tcPr>
          <w:p w:rsidR="00682A88" w:rsidRPr="00CF3673" w:rsidRDefault="00682A88" w:rsidP="00682A88">
            <w:pPr>
              <w:jc w:val="center"/>
            </w:pPr>
            <w:r w:rsidRPr="00CF3673">
              <w:t>(25.0)</w:t>
            </w:r>
          </w:p>
        </w:tc>
        <w:tc>
          <w:tcPr>
            <w:tcW w:w="0" w:type="auto"/>
            <w:tcBorders>
              <w:top w:val="nil"/>
              <w:bottom w:val="single" w:sz="4" w:space="0" w:color="auto"/>
            </w:tcBorders>
            <w:noWrap/>
            <w:hideMark/>
          </w:tcPr>
          <w:p w:rsidR="00682A88" w:rsidRPr="00CF3673" w:rsidRDefault="00682A88" w:rsidP="00682A88">
            <w:pPr>
              <w:jc w:val="center"/>
            </w:pPr>
            <w:r w:rsidRPr="00CF3673">
              <w:t>(63.0)</w:t>
            </w:r>
          </w:p>
        </w:tc>
        <w:tc>
          <w:tcPr>
            <w:tcW w:w="0" w:type="auto"/>
            <w:tcBorders>
              <w:top w:val="nil"/>
              <w:bottom w:val="single" w:sz="4" w:space="0" w:color="auto"/>
            </w:tcBorders>
            <w:noWrap/>
            <w:hideMark/>
          </w:tcPr>
          <w:p w:rsidR="00682A88" w:rsidRPr="00CF3673" w:rsidRDefault="00682A88" w:rsidP="00682A88">
            <w:pPr>
              <w:jc w:val="center"/>
            </w:pPr>
            <w:r w:rsidRPr="00CF3673">
              <w:t>(12.0)</w:t>
            </w:r>
          </w:p>
        </w:tc>
        <w:tc>
          <w:tcPr>
            <w:tcW w:w="0" w:type="auto"/>
            <w:tcBorders>
              <w:top w:val="nil"/>
              <w:bottom w:val="single" w:sz="4" w:space="0" w:color="auto"/>
            </w:tcBorders>
            <w:noWrap/>
            <w:hideMark/>
          </w:tcPr>
          <w:p w:rsidR="00682A88" w:rsidRPr="00CF3673" w:rsidRDefault="00682A88" w:rsidP="00682A88">
            <w:pPr>
              <w:jc w:val="center"/>
            </w:pPr>
            <w:r w:rsidRPr="00CF3673">
              <w:t>(100)</w:t>
            </w:r>
          </w:p>
        </w:tc>
      </w:tr>
      <w:tr w:rsidR="00682A88" w:rsidRPr="00CF3673" w:rsidTr="00682A88">
        <w:trPr>
          <w:trHeight w:val="300"/>
          <w:jc w:val="center"/>
        </w:trPr>
        <w:tc>
          <w:tcPr>
            <w:tcW w:w="0" w:type="auto"/>
            <w:tcBorders>
              <w:top w:val="single" w:sz="4" w:space="0" w:color="auto"/>
              <w:bottom w:val="nil"/>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Média</w:t>
            </w:r>
          </w:p>
        </w:tc>
        <w:tc>
          <w:tcPr>
            <w:tcW w:w="0" w:type="auto"/>
            <w:tcBorders>
              <w:top w:val="single" w:sz="4" w:space="0" w:color="auto"/>
              <w:bottom w:val="nil"/>
            </w:tcBorders>
            <w:noWrap/>
            <w:hideMark/>
          </w:tcPr>
          <w:p w:rsidR="00682A88" w:rsidRPr="00CF3673" w:rsidRDefault="00682A88" w:rsidP="00682A88">
            <w:pPr>
              <w:jc w:val="center"/>
            </w:pPr>
            <w:r w:rsidRPr="00CF3673">
              <w:t>0</w:t>
            </w:r>
          </w:p>
        </w:tc>
        <w:tc>
          <w:tcPr>
            <w:tcW w:w="0" w:type="auto"/>
            <w:tcBorders>
              <w:top w:val="single" w:sz="4" w:space="0" w:color="auto"/>
              <w:bottom w:val="nil"/>
            </w:tcBorders>
            <w:noWrap/>
            <w:hideMark/>
          </w:tcPr>
          <w:p w:rsidR="00682A88" w:rsidRPr="00CF3673" w:rsidRDefault="00682A88" w:rsidP="00682A88">
            <w:pPr>
              <w:jc w:val="center"/>
            </w:pPr>
            <w:r w:rsidRPr="00CF3673">
              <w:t>7</w:t>
            </w:r>
          </w:p>
        </w:tc>
        <w:tc>
          <w:tcPr>
            <w:tcW w:w="0" w:type="auto"/>
            <w:tcBorders>
              <w:top w:val="single" w:sz="4" w:space="0" w:color="auto"/>
              <w:bottom w:val="nil"/>
            </w:tcBorders>
            <w:noWrap/>
            <w:hideMark/>
          </w:tcPr>
          <w:p w:rsidR="00682A88" w:rsidRPr="00CF3673" w:rsidRDefault="00682A88" w:rsidP="00682A88">
            <w:pPr>
              <w:jc w:val="center"/>
            </w:pPr>
            <w:r w:rsidRPr="00CF3673">
              <w:t>27</w:t>
            </w:r>
          </w:p>
        </w:tc>
        <w:tc>
          <w:tcPr>
            <w:tcW w:w="0" w:type="auto"/>
            <w:tcBorders>
              <w:top w:val="single" w:sz="4" w:space="0" w:color="auto"/>
              <w:bottom w:val="nil"/>
            </w:tcBorders>
            <w:noWrap/>
            <w:hideMark/>
          </w:tcPr>
          <w:p w:rsidR="00682A88" w:rsidRPr="00CF3673" w:rsidRDefault="00682A88" w:rsidP="00682A88">
            <w:pPr>
              <w:jc w:val="center"/>
            </w:pPr>
            <w:r w:rsidRPr="00CF3673">
              <w:t>34</w:t>
            </w:r>
          </w:p>
        </w:tc>
      </w:tr>
      <w:tr w:rsidR="00682A88" w:rsidRPr="00CF3673" w:rsidTr="00682A88">
        <w:trPr>
          <w:trHeight w:val="300"/>
          <w:jc w:val="center"/>
        </w:trPr>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w:t>
            </w:r>
            <w:r w:rsidR="00B20E4D" w:rsidRPr="00CF3673">
              <w:rPr>
                <w:rFonts w:ascii="Calibri" w:eastAsia="Times New Roman" w:hAnsi="Calibri" w:cs="Calibri"/>
                <w:color w:val="000000"/>
                <w:lang w:eastAsia="zh-CN"/>
              </w:rPr>
              <w:t>%</w:t>
            </w:r>
            <w:r w:rsidRPr="00CF3673">
              <w:rPr>
                <w:rFonts w:ascii="Calibri" w:eastAsia="Times New Roman" w:hAnsi="Calibri" w:cs="Calibri"/>
                <w:color w:val="000000"/>
                <w:lang w:eastAsia="zh-CN"/>
              </w:rPr>
              <w:t>.)</w:t>
            </w:r>
          </w:p>
        </w:tc>
        <w:tc>
          <w:tcPr>
            <w:tcW w:w="0" w:type="auto"/>
            <w:tcBorders>
              <w:top w:val="nil"/>
              <w:bottom w:val="single" w:sz="4" w:space="0" w:color="auto"/>
            </w:tcBorders>
            <w:noWrap/>
            <w:hideMark/>
          </w:tcPr>
          <w:p w:rsidR="00682A88" w:rsidRPr="00CF3673" w:rsidRDefault="00682A88" w:rsidP="00682A88">
            <w:pPr>
              <w:jc w:val="center"/>
            </w:pPr>
            <w:r w:rsidRPr="00CF3673">
              <w:t>(0.0)</w:t>
            </w:r>
          </w:p>
        </w:tc>
        <w:tc>
          <w:tcPr>
            <w:tcW w:w="0" w:type="auto"/>
            <w:tcBorders>
              <w:top w:val="nil"/>
              <w:bottom w:val="single" w:sz="4" w:space="0" w:color="auto"/>
            </w:tcBorders>
            <w:noWrap/>
            <w:hideMark/>
          </w:tcPr>
          <w:p w:rsidR="00682A88" w:rsidRPr="00CF3673" w:rsidRDefault="00682A88" w:rsidP="00682A88">
            <w:pPr>
              <w:jc w:val="center"/>
            </w:pPr>
            <w:r w:rsidRPr="00CF3673">
              <w:t>(20.6)</w:t>
            </w:r>
          </w:p>
        </w:tc>
        <w:tc>
          <w:tcPr>
            <w:tcW w:w="0" w:type="auto"/>
            <w:tcBorders>
              <w:top w:val="nil"/>
              <w:bottom w:val="single" w:sz="4" w:space="0" w:color="auto"/>
            </w:tcBorders>
            <w:noWrap/>
            <w:hideMark/>
          </w:tcPr>
          <w:p w:rsidR="00682A88" w:rsidRPr="00CF3673" w:rsidRDefault="00682A88" w:rsidP="00682A88">
            <w:pPr>
              <w:jc w:val="center"/>
            </w:pPr>
            <w:r w:rsidRPr="00CF3673">
              <w:t>(79.4)</w:t>
            </w:r>
          </w:p>
        </w:tc>
        <w:tc>
          <w:tcPr>
            <w:tcW w:w="0" w:type="auto"/>
            <w:tcBorders>
              <w:top w:val="nil"/>
              <w:bottom w:val="single" w:sz="4" w:space="0" w:color="auto"/>
            </w:tcBorders>
            <w:noWrap/>
            <w:hideMark/>
          </w:tcPr>
          <w:p w:rsidR="00682A88" w:rsidRPr="00CF3673" w:rsidRDefault="00682A88" w:rsidP="00682A88">
            <w:pPr>
              <w:jc w:val="center"/>
            </w:pPr>
            <w:r w:rsidRPr="00CF3673">
              <w:t>(100)</w:t>
            </w:r>
          </w:p>
        </w:tc>
      </w:tr>
      <w:tr w:rsidR="00682A88" w:rsidRPr="00CF3673" w:rsidTr="00682A88">
        <w:trPr>
          <w:trHeight w:val="300"/>
          <w:jc w:val="center"/>
        </w:trPr>
        <w:tc>
          <w:tcPr>
            <w:tcW w:w="0" w:type="auto"/>
            <w:tcBorders>
              <w:top w:val="single" w:sz="4" w:space="0" w:color="auto"/>
              <w:bottom w:val="nil"/>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Total</w:t>
            </w:r>
          </w:p>
        </w:tc>
        <w:tc>
          <w:tcPr>
            <w:tcW w:w="0" w:type="auto"/>
            <w:tcBorders>
              <w:top w:val="single" w:sz="4" w:space="0" w:color="auto"/>
              <w:bottom w:val="nil"/>
            </w:tcBorders>
            <w:noWrap/>
            <w:hideMark/>
          </w:tcPr>
          <w:p w:rsidR="00682A88" w:rsidRPr="00CF3673" w:rsidRDefault="00682A88" w:rsidP="00682A88">
            <w:pPr>
              <w:jc w:val="center"/>
            </w:pPr>
            <w:r w:rsidRPr="00CF3673">
              <w:t>105</w:t>
            </w:r>
          </w:p>
        </w:tc>
        <w:tc>
          <w:tcPr>
            <w:tcW w:w="0" w:type="auto"/>
            <w:tcBorders>
              <w:top w:val="single" w:sz="4" w:space="0" w:color="auto"/>
              <w:bottom w:val="nil"/>
            </w:tcBorders>
            <w:noWrap/>
            <w:hideMark/>
          </w:tcPr>
          <w:p w:rsidR="00682A88" w:rsidRPr="00CF3673" w:rsidRDefault="00682A88" w:rsidP="00682A88">
            <w:pPr>
              <w:jc w:val="center"/>
            </w:pPr>
            <w:r w:rsidRPr="00CF3673">
              <w:t>71</w:t>
            </w:r>
          </w:p>
        </w:tc>
        <w:tc>
          <w:tcPr>
            <w:tcW w:w="0" w:type="auto"/>
            <w:tcBorders>
              <w:top w:val="single" w:sz="4" w:space="0" w:color="auto"/>
              <w:bottom w:val="nil"/>
            </w:tcBorders>
            <w:noWrap/>
            <w:hideMark/>
          </w:tcPr>
          <w:p w:rsidR="00682A88" w:rsidRPr="00CF3673" w:rsidRDefault="00682A88" w:rsidP="00682A88">
            <w:pPr>
              <w:jc w:val="center"/>
            </w:pPr>
            <w:r w:rsidRPr="00CF3673">
              <w:t>40</w:t>
            </w:r>
          </w:p>
        </w:tc>
        <w:tc>
          <w:tcPr>
            <w:tcW w:w="0" w:type="auto"/>
            <w:tcBorders>
              <w:top w:val="single" w:sz="4" w:space="0" w:color="auto"/>
              <w:bottom w:val="nil"/>
            </w:tcBorders>
            <w:noWrap/>
            <w:hideMark/>
          </w:tcPr>
          <w:p w:rsidR="00682A88" w:rsidRPr="00CF3673" w:rsidRDefault="00682A88" w:rsidP="00682A88">
            <w:pPr>
              <w:jc w:val="center"/>
            </w:pPr>
            <w:r w:rsidRPr="00CF3673">
              <w:t>216</w:t>
            </w:r>
          </w:p>
        </w:tc>
      </w:tr>
      <w:tr w:rsidR="00682A88" w:rsidRPr="00CF3673" w:rsidTr="00682A88">
        <w:trPr>
          <w:trHeight w:val="300"/>
          <w:jc w:val="center"/>
        </w:trPr>
        <w:tc>
          <w:tcPr>
            <w:tcW w:w="0" w:type="auto"/>
            <w:tcBorders>
              <w:top w:val="nil"/>
              <w:bottom w:val="double" w:sz="4" w:space="0" w:color="auto"/>
            </w:tcBorders>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w:t>
            </w:r>
            <w:r w:rsidR="00B20E4D" w:rsidRPr="00CF3673">
              <w:rPr>
                <w:rFonts w:ascii="Calibri" w:eastAsia="Times New Roman" w:hAnsi="Calibri" w:cs="Calibri"/>
                <w:color w:val="000000"/>
                <w:lang w:eastAsia="zh-CN"/>
              </w:rPr>
              <w:t>%</w:t>
            </w:r>
            <w:r w:rsidRPr="00CF3673">
              <w:rPr>
                <w:rFonts w:ascii="Calibri" w:eastAsia="Times New Roman" w:hAnsi="Calibri" w:cs="Calibri"/>
                <w:color w:val="000000"/>
                <w:lang w:eastAsia="zh-CN"/>
              </w:rPr>
              <w:t>.)</w:t>
            </w:r>
          </w:p>
        </w:tc>
        <w:tc>
          <w:tcPr>
            <w:tcW w:w="0" w:type="auto"/>
            <w:tcBorders>
              <w:top w:val="nil"/>
              <w:bottom w:val="double" w:sz="4" w:space="0" w:color="auto"/>
            </w:tcBorders>
            <w:noWrap/>
            <w:hideMark/>
          </w:tcPr>
          <w:p w:rsidR="00682A88" w:rsidRPr="00CF3673" w:rsidRDefault="00682A88" w:rsidP="00682A88">
            <w:pPr>
              <w:jc w:val="center"/>
            </w:pPr>
            <w:r w:rsidRPr="00CF3673">
              <w:t>(48.6)</w:t>
            </w:r>
          </w:p>
        </w:tc>
        <w:tc>
          <w:tcPr>
            <w:tcW w:w="0" w:type="auto"/>
            <w:tcBorders>
              <w:top w:val="nil"/>
              <w:bottom w:val="double" w:sz="4" w:space="0" w:color="auto"/>
            </w:tcBorders>
            <w:noWrap/>
            <w:hideMark/>
          </w:tcPr>
          <w:p w:rsidR="00682A88" w:rsidRPr="00CF3673" w:rsidRDefault="00682A88" w:rsidP="00682A88">
            <w:pPr>
              <w:jc w:val="center"/>
            </w:pPr>
            <w:r w:rsidRPr="00CF3673">
              <w:t>(32.9)</w:t>
            </w:r>
          </w:p>
        </w:tc>
        <w:tc>
          <w:tcPr>
            <w:tcW w:w="0" w:type="auto"/>
            <w:tcBorders>
              <w:top w:val="nil"/>
              <w:bottom w:val="double" w:sz="4" w:space="0" w:color="auto"/>
            </w:tcBorders>
            <w:noWrap/>
            <w:hideMark/>
          </w:tcPr>
          <w:p w:rsidR="00682A88" w:rsidRPr="00CF3673" w:rsidRDefault="00682A88" w:rsidP="00682A88">
            <w:pPr>
              <w:jc w:val="center"/>
            </w:pPr>
            <w:r w:rsidRPr="00CF3673">
              <w:t>(18.5)</w:t>
            </w:r>
          </w:p>
        </w:tc>
        <w:tc>
          <w:tcPr>
            <w:tcW w:w="0" w:type="auto"/>
            <w:tcBorders>
              <w:top w:val="nil"/>
              <w:bottom w:val="double" w:sz="4" w:space="0" w:color="auto"/>
            </w:tcBorders>
            <w:noWrap/>
            <w:hideMark/>
          </w:tcPr>
          <w:p w:rsidR="00682A88" w:rsidRPr="00CF3673" w:rsidRDefault="00682A88" w:rsidP="00682A88">
            <w:pPr>
              <w:jc w:val="center"/>
            </w:pPr>
            <w:r w:rsidRPr="00CF3673">
              <w:t>(100)</w:t>
            </w:r>
          </w:p>
        </w:tc>
      </w:tr>
      <w:tr w:rsidR="00682A88" w:rsidRPr="00CF3673" w:rsidTr="00682A88">
        <w:trPr>
          <w:trHeight w:val="300"/>
          <w:jc w:val="center"/>
        </w:trPr>
        <w:tc>
          <w:tcPr>
            <w:tcW w:w="0" w:type="auto"/>
            <w:gridSpan w:val="5"/>
            <w:tcBorders>
              <w:top w:val="double" w:sz="4" w:space="0" w:color="auto"/>
              <w:bottom w:val="nil"/>
            </w:tcBorders>
            <w:noWrap/>
          </w:tcPr>
          <w:p w:rsidR="00682A88" w:rsidRPr="00CF3673" w:rsidRDefault="00682A88" w:rsidP="00682A88">
            <w:pPr>
              <w:pStyle w:val="Tablenote"/>
              <w:rPr>
                <w:rFonts w:ascii="Calibri" w:eastAsia="Times New Roman" w:hAnsi="Calibri" w:cs="Times New Roman"/>
                <w:lang w:val="pt-PT" w:eastAsia="zh-CN"/>
              </w:rPr>
            </w:pPr>
            <w:r w:rsidRPr="00CF3673">
              <w:rPr>
                <w:b/>
                <w:lang w:val="pt-PT"/>
              </w:rPr>
              <w:t>Nota</w:t>
            </w:r>
            <w:r w:rsidRPr="00CF3673">
              <w:rPr>
                <w:lang w:val="pt-PT"/>
              </w:rPr>
              <w:t>: Os números entre parênteses indicam percentagens.</w:t>
            </w:r>
          </w:p>
        </w:tc>
      </w:tr>
      <w:tr w:rsidR="00682A88" w:rsidRPr="00CF3673" w:rsidTr="00682A88">
        <w:trPr>
          <w:trHeight w:val="300"/>
          <w:jc w:val="center"/>
        </w:trPr>
        <w:tc>
          <w:tcPr>
            <w:tcW w:w="0" w:type="auto"/>
            <w:gridSpan w:val="5"/>
            <w:tcBorders>
              <w:top w:val="nil"/>
              <w:bottom w:val="nil"/>
            </w:tcBorders>
            <w:noWrap/>
          </w:tcPr>
          <w:p w:rsidR="00682A88" w:rsidRPr="00CF3673" w:rsidRDefault="00682A88" w:rsidP="005502EB">
            <w:pPr>
              <w:pStyle w:val="Tablenote"/>
              <w:rPr>
                <w:rFonts w:ascii="Calibri" w:eastAsia="Times New Roman" w:hAnsi="Calibri" w:cs="Times New Roman"/>
                <w:lang w:val="pt-PT" w:eastAsia="zh-CN"/>
              </w:rPr>
            </w:pPr>
            <w:r w:rsidRPr="00CF3673">
              <w:rPr>
                <w:b/>
                <w:lang w:val="pt-PT"/>
              </w:rPr>
              <w:t>Fonte</w:t>
            </w:r>
            <w:r w:rsidRPr="00CF3673">
              <w:rPr>
                <w:lang w:val="pt-PT"/>
              </w:rPr>
              <w:t xml:space="preserve">: Cálculos </w:t>
            </w:r>
            <w:r w:rsidR="005502EB" w:rsidRPr="00CF3673">
              <w:rPr>
                <w:lang w:val="pt-PT"/>
              </w:rPr>
              <w:t xml:space="preserve">dos autores </w:t>
            </w:r>
            <w:r w:rsidRPr="00CF3673">
              <w:rPr>
                <w:lang w:val="pt-PT"/>
              </w:rPr>
              <w:t>usando IIM 2012, DNEAP (2006) e ICA (2009).</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A Tabela 3.3 mostra várias medidas de crescimento do emprego por categoria de tamanho, tipo de propriedade, estado de formalidade e província. O crescimento médio do emprego (após a remoção de </w:t>
      </w:r>
      <w:proofErr w:type="spellStart"/>
      <w:r w:rsidRPr="00CF3673">
        <w:rPr>
          <w:i/>
        </w:rPr>
        <w:t>outliers</w:t>
      </w:r>
      <w:proofErr w:type="spellEnd"/>
      <w:r w:rsidRPr="00CF3673">
        <w:t>) é menos 5%</w:t>
      </w:r>
      <w:r w:rsidRPr="00CF3673">
        <w:rPr>
          <w:rStyle w:val="FootnoteReference"/>
        </w:rPr>
        <w:footnoteReference w:id="16"/>
      </w:r>
      <w:r w:rsidRPr="00CF3673">
        <w:t xml:space="preserve"> e, o crescimento médio do emprego é de menos 19% ao longo do período. O </w:t>
      </w:r>
      <w:r w:rsidRPr="00CF3673">
        <w:lastRenderedPageBreak/>
        <w:t xml:space="preserve">número total de funcionários nas empresas do painel equilibrado permaneceu praticamente constante ao longo do período - era 6.128 em 2006 e 6.038 em 2011, o que corresponde a uma queda de 1,5%. Isto sugere que algumas empresas têm vindo a crescer muito rapidamente (uma empresa cresceu 900%), enquanto a maioria das empresas tem demitido os trabalhadores durante o período considerado. </w:t>
      </w:r>
    </w:p>
    <w:p w:rsidR="00682A88" w:rsidRPr="00CF3673" w:rsidRDefault="00682A88" w:rsidP="00682A88">
      <w:pPr>
        <w:spacing w:line="360" w:lineRule="auto"/>
        <w:jc w:val="both"/>
      </w:pPr>
      <w:r w:rsidRPr="00CF3673">
        <w:t>O Crescimento médio foi negativo para todos os tamanhos de empresas independentemente de ser formal em 2006 ou não. As empresas estrangeiras, em geral, experimentaram um crescimento do emprego maior do que as empresas moçambicanas, independentemente da medida escolhida.</w:t>
      </w:r>
    </w:p>
    <w:p w:rsidR="00682A88" w:rsidRPr="00CF3673" w:rsidRDefault="00682A88" w:rsidP="00682A88">
      <w:pPr>
        <w:spacing w:line="360" w:lineRule="auto"/>
        <w:jc w:val="both"/>
      </w:pPr>
      <w:r w:rsidRPr="00CF3673">
        <w:t xml:space="preserve">Geograficamente, o desenvolvimento em Maputo e Matola </w:t>
      </w:r>
      <w:r w:rsidR="00AD45B9" w:rsidRPr="00CF3673">
        <w:t>têm</w:t>
      </w:r>
      <w:r w:rsidRPr="00CF3673">
        <w:t xml:space="preserve"> sido particularmente desfavorável do ponto de vista do emprego, com a média e o crescimento médio negativo. Em Nacala e Chimoio, as empresas parecem ter vindo a crescer, mas o número de </w:t>
      </w:r>
      <w:r w:rsidR="00B20E4D" w:rsidRPr="00CF3673">
        <w:t>observações</w:t>
      </w:r>
      <w:r w:rsidRPr="00CF3673">
        <w:t xml:space="preserve"> é muito pequeno para concluir decisivamente.</w:t>
      </w:r>
    </w:p>
    <w:p w:rsidR="00682A88" w:rsidRPr="00CF3673" w:rsidRDefault="00682A88" w:rsidP="00682A88">
      <w:pPr>
        <w:spacing w:line="360" w:lineRule="auto"/>
        <w:jc w:val="both"/>
        <w:rPr>
          <w:b/>
        </w:rPr>
      </w:pPr>
      <w:r w:rsidRPr="00CF3673">
        <w:rPr>
          <w:b/>
        </w:rPr>
        <w:t>Tabela 3.3: Crescimento do emprego 2006-2011 por tamanho da empresa, a formalidade, a propriedade e localização, em %.</w:t>
      </w:r>
    </w:p>
    <w:tbl>
      <w:tblPr>
        <w:tblStyle w:val="StandardTable"/>
        <w:tblW w:w="0" w:type="auto"/>
        <w:jc w:val="center"/>
        <w:tblInd w:w="-56" w:type="dxa"/>
        <w:tblLayout w:type="fixed"/>
        <w:tblLook w:val="04A0" w:firstRow="1" w:lastRow="0" w:firstColumn="1" w:lastColumn="0" w:noHBand="0" w:noVBand="1"/>
      </w:tblPr>
      <w:tblGrid>
        <w:gridCol w:w="1206"/>
        <w:gridCol w:w="1249"/>
        <w:gridCol w:w="2264"/>
        <w:gridCol w:w="1468"/>
        <w:gridCol w:w="2312"/>
        <w:gridCol w:w="1112"/>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1206" w:type="dxa"/>
            <w:tcBorders>
              <w:bottom w:val="nil"/>
            </w:tcBorders>
            <w:noWrap/>
          </w:tcPr>
          <w:p w:rsidR="00682A88" w:rsidRPr="00CF3673" w:rsidRDefault="00682A88" w:rsidP="00682A88">
            <w:pPr>
              <w:rPr>
                <w:rFonts w:ascii="Calibri" w:eastAsia="Times New Roman" w:hAnsi="Calibri" w:cs="Times New Roman"/>
                <w:lang w:eastAsia="zh-CN"/>
              </w:rPr>
            </w:pPr>
          </w:p>
        </w:tc>
        <w:tc>
          <w:tcPr>
            <w:tcW w:w="1249" w:type="dxa"/>
            <w:tcBorders>
              <w:bottom w:val="nil"/>
            </w:tcBorders>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Médio</w:t>
            </w:r>
          </w:p>
        </w:tc>
        <w:tc>
          <w:tcPr>
            <w:tcW w:w="2264" w:type="dxa"/>
            <w:tcBorders>
              <w:bottom w:val="nil"/>
            </w:tcBorders>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 xml:space="preserve">Crescimento Médio, </w:t>
            </w:r>
            <w:r w:rsidRPr="00CF3673">
              <w:rPr>
                <w:rFonts w:ascii="Calibri" w:eastAsia="Times New Roman" w:hAnsi="Calibri" w:cs="Times New Roman"/>
                <w:i/>
                <w:lang w:eastAsia="zh-CN"/>
              </w:rPr>
              <w:t xml:space="preserve">no </w:t>
            </w:r>
            <w:proofErr w:type="spellStart"/>
            <w:r w:rsidRPr="00CF3673">
              <w:rPr>
                <w:rFonts w:ascii="Calibri" w:eastAsia="Times New Roman" w:hAnsi="Calibri" w:cs="Times New Roman"/>
                <w:i/>
                <w:lang w:eastAsia="zh-CN"/>
              </w:rPr>
              <w:t>outliers</w:t>
            </w:r>
            <w:proofErr w:type="spellEnd"/>
            <w:r w:rsidRPr="00CF3673">
              <w:rPr>
                <w:rFonts w:ascii="Calibri" w:eastAsia="Times New Roman" w:hAnsi="Calibri" w:cs="Times New Roman"/>
                <w:i/>
                <w:lang w:eastAsia="zh-CN"/>
              </w:rPr>
              <w:t>*</w:t>
            </w:r>
          </w:p>
        </w:tc>
        <w:tc>
          <w:tcPr>
            <w:tcW w:w="1468" w:type="dxa"/>
            <w:tcBorders>
              <w:bottom w:val="nil"/>
            </w:tcBorders>
            <w:noWrap/>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Mediano</w:t>
            </w:r>
          </w:p>
        </w:tc>
        <w:tc>
          <w:tcPr>
            <w:tcW w:w="2312" w:type="dxa"/>
            <w:tcBorders>
              <w:bottom w:val="nil"/>
            </w:tcBorders>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grupo como um todo</w:t>
            </w:r>
          </w:p>
        </w:tc>
        <w:tc>
          <w:tcPr>
            <w:tcW w:w="1112" w:type="dxa"/>
            <w:tcBorders>
              <w:bottom w:val="nil"/>
            </w:tcBorders>
            <w:noWrap/>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Nº de obs.</w:t>
            </w:r>
          </w:p>
        </w:tc>
      </w:tr>
      <w:tr w:rsidR="00682A88" w:rsidRPr="00CF3673" w:rsidTr="00682A88">
        <w:trPr>
          <w:trHeight w:val="300"/>
          <w:jc w:val="center"/>
        </w:trPr>
        <w:tc>
          <w:tcPr>
            <w:tcW w:w="1206" w:type="dxa"/>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Todas</w:t>
            </w:r>
          </w:p>
        </w:tc>
        <w:tc>
          <w:tcPr>
            <w:tcW w:w="1249" w:type="dxa"/>
            <w:tcBorders>
              <w:top w:val="single" w:sz="4" w:space="0" w:color="auto"/>
            </w:tcBorders>
            <w:noWrap/>
            <w:hideMark/>
          </w:tcPr>
          <w:p w:rsidR="00682A88" w:rsidRPr="00CF3673" w:rsidRDefault="00682A88" w:rsidP="00682A88">
            <w:pPr>
              <w:jc w:val="center"/>
            </w:pPr>
            <w:r w:rsidRPr="00CF3673">
              <w:t>1.3</w:t>
            </w:r>
          </w:p>
        </w:tc>
        <w:tc>
          <w:tcPr>
            <w:tcW w:w="2264" w:type="dxa"/>
            <w:tcBorders>
              <w:top w:val="single" w:sz="4" w:space="0" w:color="auto"/>
            </w:tcBorders>
          </w:tcPr>
          <w:p w:rsidR="00682A88" w:rsidRPr="00CF3673" w:rsidRDefault="00682A88" w:rsidP="00682A88">
            <w:pPr>
              <w:jc w:val="center"/>
            </w:pPr>
            <w:r w:rsidRPr="00CF3673">
              <w:t>-5.1</w:t>
            </w:r>
          </w:p>
        </w:tc>
        <w:tc>
          <w:tcPr>
            <w:tcW w:w="1468" w:type="dxa"/>
            <w:tcBorders>
              <w:top w:val="single" w:sz="4" w:space="0" w:color="auto"/>
            </w:tcBorders>
            <w:noWrap/>
            <w:hideMark/>
          </w:tcPr>
          <w:p w:rsidR="00682A88" w:rsidRPr="00CF3673" w:rsidRDefault="00682A88" w:rsidP="00682A88">
            <w:pPr>
              <w:jc w:val="center"/>
            </w:pPr>
            <w:r w:rsidRPr="00CF3673">
              <w:t>-18.6</w:t>
            </w:r>
          </w:p>
        </w:tc>
        <w:tc>
          <w:tcPr>
            <w:tcW w:w="2312" w:type="dxa"/>
            <w:tcBorders>
              <w:top w:val="single" w:sz="4" w:space="0" w:color="auto"/>
            </w:tcBorders>
            <w:noWrap/>
            <w:hideMark/>
          </w:tcPr>
          <w:p w:rsidR="00682A88" w:rsidRPr="00CF3673" w:rsidRDefault="00682A88" w:rsidP="00682A88">
            <w:pPr>
              <w:jc w:val="center"/>
            </w:pPr>
            <w:r w:rsidRPr="00CF3673">
              <w:t>-1.5</w:t>
            </w:r>
          </w:p>
        </w:tc>
        <w:tc>
          <w:tcPr>
            <w:tcW w:w="1112" w:type="dxa"/>
            <w:tcBorders>
              <w:top w:val="single" w:sz="4" w:space="0" w:color="auto"/>
            </w:tcBorders>
            <w:noWrap/>
            <w:hideMark/>
          </w:tcPr>
          <w:p w:rsidR="00682A88" w:rsidRPr="00CF3673" w:rsidRDefault="00682A88" w:rsidP="00682A88">
            <w:pPr>
              <w:jc w:val="center"/>
            </w:pPr>
            <w:r w:rsidRPr="00CF3673">
              <w:t>216</w:t>
            </w:r>
          </w:p>
        </w:tc>
      </w:tr>
      <w:tr w:rsidR="00682A88" w:rsidRPr="00CF3673" w:rsidTr="00682A88">
        <w:trPr>
          <w:trHeight w:val="300"/>
          <w:jc w:val="center"/>
        </w:trPr>
        <w:tc>
          <w:tcPr>
            <w:tcW w:w="1206"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1249" w:type="dxa"/>
            <w:noWrap/>
            <w:hideMark/>
          </w:tcPr>
          <w:p w:rsidR="00682A88" w:rsidRPr="00CF3673" w:rsidRDefault="00682A88" w:rsidP="00682A88">
            <w:pPr>
              <w:jc w:val="center"/>
            </w:pPr>
            <w:r w:rsidRPr="00CF3673">
              <w:t>0.2</w:t>
            </w:r>
          </w:p>
        </w:tc>
        <w:tc>
          <w:tcPr>
            <w:tcW w:w="2264" w:type="dxa"/>
          </w:tcPr>
          <w:p w:rsidR="00682A88" w:rsidRPr="00CF3673" w:rsidRDefault="00682A88" w:rsidP="00682A88">
            <w:pPr>
              <w:jc w:val="center"/>
            </w:pPr>
            <w:r w:rsidRPr="00CF3673">
              <w:t>-17.5</w:t>
            </w:r>
          </w:p>
        </w:tc>
        <w:tc>
          <w:tcPr>
            <w:tcW w:w="1468" w:type="dxa"/>
            <w:noWrap/>
            <w:hideMark/>
          </w:tcPr>
          <w:p w:rsidR="00682A88" w:rsidRPr="00CF3673" w:rsidRDefault="00682A88" w:rsidP="00682A88">
            <w:pPr>
              <w:jc w:val="center"/>
            </w:pPr>
            <w:r w:rsidRPr="00CF3673">
              <w:t>-33.3</w:t>
            </w:r>
          </w:p>
        </w:tc>
        <w:tc>
          <w:tcPr>
            <w:tcW w:w="2312" w:type="dxa"/>
            <w:noWrap/>
            <w:hideMark/>
          </w:tcPr>
          <w:p w:rsidR="00682A88" w:rsidRPr="00CF3673" w:rsidRDefault="00682A88" w:rsidP="00682A88">
            <w:pPr>
              <w:jc w:val="center"/>
            </w:pPr>
            <w:r w:rsidRPr="00CF3673">
              <w:t>0.6</w:t>
            </w:r>
          </w:p>
        </w:tc>
        <w:tc>
          <w:tcPr>
            <w:tcW w:w="1112" w:type="dxa"/>
            <w:noWrap/>
            <w:hideMark/>
          </w:tcPr>
          <w:p w:rsidR="00682A88" w:rsidRPr="00CF3673" w:rsidRDefault="00682A88" w:rsidP="00682A88">
            <w:pPr>
              <w:jc w:val="center"/>
            </w:pPr>
            <w:r w:rsidRPr="00CF3673">
              <w:t>90</w:t>
            </w:r>
          </w:p>
        </w:tc>
      </w:tr>
      <w:tr w:rsidR="00682A88" w:rsidRPr="00CF3673" w:rsidTr="00682A88">
        <w:trPr>
          <w:trHeight w:val="300"/>
          <w:jc w:val="center"/>
        </w:trPr>
        <w:tc>
          <w:tcPr>
            <w:tcW w:w="1206" w:type="dxa"/>
            <w:tcBorders>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1249" w:type="dxa"/>
            <w:tcBorders>
              <w:bottom w:val="nil"/>
            </w:tcBorders>
            <w:noWrap/>
            <w:hideMark/>
          </w:tcPr>
          <w:p w:rsidR="00682A88" w:rsidRPr="00CF3673" w:rsidRDefault="00682A88" w:rsidP="00682A88">
            <w:pPr>
              <w:jc w:val="center"/>
            </w:pPr>
            <w:r w:rsidRPr="00CF3673">
              <w:t>3.9</w:t>
            </w:r>
          </w:p>
        </w:tc>
        <w:tc>
          <w:tcPr>
            <w:tcW w:w="2264" w:type="dxa"/>
            <w:tcBorders>
              <w:bottom w:val="nil"/>
            </w:tcBorders>
          </w:tcPr>
          <w:p w:rsidR="00682A88" w:rsidRPr="00CF3673" w:rsidRDefault="00682A88" w:rsidP="00682A88">
            <w:pPr>
              <w:jc w:val="center"/>
            </w:pPr>
            <w:r w:rsidRPr="00CF3673">
              <w:t>6.1</w:t>
            </w:r>
          </w:p>
        </w:tc>
        <w:tc>
          <w:tcPr>
            <w:tcW w:w="1468" w:type="dxa"/>
            <w:tcBorders>
              <w:bottom w:val="nil"/>
            </w:tcBorders>
            <w:noWrap/>
            <w:hideMark/>
          </w:tcPr>
          <w:p w:rsidR="00682A88" w:rsidRPr="00CF3673" w:rsidRDefault="00682A88" w:rsidP="00682A88">
            <w:pPr>
              <w:jc w:val="center"/>
            </w:pPr>
            <w:r w:rsidRPr="00CF3673">
              <w:t>-13.8</w:t>
            </w:r>
          </w:p>
        </w:tc>
        <w:tc>
          <w:tcPr>
            <w:tcW w:w="2312" w:type="dxa"/>
            <w:tcBorders>
              <w:bottom w:val="nil"/>
            </w:tcBorders>
            <w:noWrap/>
            <w:hideMark/>
          </w:tcPr>
          <w:p w:rsidR="00682A88" w:rsidRPr="00CF3673" w:rsidRDefault="00682A88" w:rsidP="00682A88">
            <w:pPr>
              <w:jc w:val="center"/>
            </w:pPr>
            <w:r w:rsidRPr="00CF3673">
              <w:t>5.8</w:t>
            </w:r>
          </w:p>
        </w:tc>
        <w:tc>
          <w:tcPr>
            <w:tcW w:w="1112" w:type="dxa"/>
            <w:tcBorders>
              <w:bottom w:val="nil"/>
            </w:tcBorders>
            <w:noWrap/>
            <w:hideMark/>
          </w:tcPr>
          <w:p w:rsidR="00682A88" w:rsidRPr="00CF3673" w:rsidRDefault="00682A88" w:rsidP="00682A88">
            <w:pPr>
              <w:jc w:val="center"/>
            </w:pPr>
            <w:r w:rsidRPr="00CF3673">
              <w:t>92</w:t>
            </w:r>
          </w:p>
        </w:tc>
      </w:tr>
      <w:tr w:rsidR="00682A88" w:rsidRPr="00CF3673" w:rsidTr="00682A88">
        <w:trPr>
          <w:trHeight w:val="300"/>
          <w:jc w:val="center"/>
        </w:trPr>
        <w:tc>
          <w:tcPr>
            <w:tcW w:w="1206"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Média</w:t>
            </w:r>
          </w:p>
        </w:tc>
        <w:tc>
          <w:tcPr>
            <w:tcW w:w="1249" w:type="dxa"/>
            <w:tcBorders>
              <w:top w:val="nil"/>
              <w:bottom w:val="single" w:sz="4" w:space="0" w:color="auto"/>
            </w:tcBorders>
            <w:noWrap/>
            <w:hideMark/>
          </w:tcPr>
          <w:p w:rsidR="00682A88" w:rsidRPr="00CF3673" w:rsidRDefault="00682A88" w:rsidP="00682A88">
            <w:pPr>
              <w:jc w:val="center"/>
            </w:pPr>
            <w:r w:rsidRPr="00CF3673">
              <w:t>-2.9</w:t>
            </w:r>
          </w:p>
        </w:tc>
        <w:tc>
          <w:tcPr>
            <w:tcW w:w="2264" w:type="dxa"/>
            <w:tcBorders>
              <w:top w:val="nil"/>
              <w:bottom w:val="single" w:sz="4" w:space="0" w:color="auto"/>
            </w:tcBorders>
          </w:tcPr>
          <w:p w:rsidR="00682A88" w:rsidRPr="00CF3673" w:rsidRDefault="00682A88" w:rsidP="00682A88">
            <w:pPr>
              <w:jc w:val="center"/>
            </w:pPr>
            <w:r w:rsidRPr="00CF3673">
              <w:t>-2.9</w:t>
            </w:r>
          </w:p>
        </w:tc>
        <w:tc>
          <w:tcPr>
            <w:tcW w:w="1468" w:type="dxa"/>
            <w:tcBorders>
              <w:top w:val="nil"/>
              <w:bottom w:val="single" w:sz="4" w:space="0" w:color="auto"/>
            </w:tcBorders>
            <w:noWrap/>
            <w:hideMark/>
          </w:tcPr>
          <w:p w:rsidR="00682A88" w:rsidRPr="00CF3673" w:rsidRDefault="00682A88" w:rsidP="00682A88">
            <w:pPr>
              <w:jc w:val="center"/>
            </w:pPr>
            <w:r w:rsidRPr="00CF3673">
              <w:t>-5.4</w:t>
            </w:r>
          </w:p>
        </w:tc>
        <w:tc>
          <w:tcPr>
            <w:tcW w:w="2312" w:type="dxa"/>
            <w:tcBorders>
              <w:top w:val="nil"/>
              <w:bottom w:val="single" w:sz="4" w:space="0" w:color="auto"/>
            </w:tcBorders>
            <w:noWrap/>
            <w:hideMark/>
          </w:tcPr>
          <w:p w:rsidR="00682A88" w:rsidRPr="00CF3673" w:rsidRDefault="00682A88" w:rsidP="00682A88">
            <w:pPr>
              <w:jc w:val="center"/>
            </w:pPr>
            <w:r w:rsidRPr="00CF3673">
              <w:t>-6.4</w:t>
            </w:r>
          </w:p>
        </w:tc>
        <w:tc>
          <w:tcPr>
            <w:tcW w:w="1112" w:type="dxa"/>
            <w:tcBorders>
              <w:top w:val="nil"/>
              <w:bottom w:val="single" w:sz="4" w:space="0" w:color="auto"/>
            </w:tcBorders>
            <w:noWrap/>
            <w:hideMark/>
          </w:tcPr>
          <w:p w:rsidR="00682A88" w:rsidRPr="00CF3673" w:rsidRDefault="00682A88" w:rsidP="00682A88">
            <w:pPr>
              <w:jc w:val="center"/>
            </w:pPr>
            <w:r w:rsidRPr="00CF3673">
              <w:t>34</w:t>
            </w:r>
          </w:p>
        </w:tc>
      </w:tr>
      <w:tr w:rsidR="00682A88" w:rsidRPr="00CF3673" w:rsidTr="00682A88">
        <w:trPr>
          <w:trHeight w:val="300"/>
          <w:jc w:val="center"/>
        </w:trPr>
        <w:tc>
          <w:tcPr>
            <w:tcW w:w="1206" w:type="dxa"/>
            <w:tcBorders>
              <w:top w:val="single" w:sz="4" w:space="0" w:color="auto"/>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1249" w:type="dxa"/>
            <w:tcBorders>
              <w:top w:val="single" w:sz="4" w:space="0" w:color="auto"/>
              <w:bottom w:val="nil"/>
            </w:tcBorders>
            <w:noWrap/>
            <w:hideMark/>
          </w:tcPr>
          <w:p w:rsidR="00682A88" w:rsidRPr="00CF3673" w:rsidRDefault="00682A88" w:rsidP="00682A88">
            <w:pPr>
              <w:jc w:val="center"/>
            </w:pPr>
            <w:r w:rsidRPr="00CF3673">
              <w:t>-18.2</w:t>
            </w:r>
          </w:p>
        </w:tc>
        <w:tc>
          <w:tcPr>
            <w:tcW w:w="2264" w:type="dxa"/>
            <w:tcBorders>
              <w:top w:val="single" w:sz="4" w:space="0" w:color="auto"/>
              <w:bottom w:val="nil"/>
            </w:tcBorders>
          </w:tcPr>
          <w:p w:rsidR="00682A88" w:rsidRPr="00CF3673" w:rsidRDefault="00682A88" w:rsidP="00682A88">
            <w:pPr>
              <w:jc w:val="center"/>
            </w:pPr>
            <w:r w:rsidRPr="00CF3673">
              <w:t>-18.2</w:t>
            </w:r>
          </w:p>
        </w:tc>
        <w:tc>
          <w:tcPr>
            <w:tcW w:w="1468" w:type="dxa"/>
            <w:tcBorders>
              <w:top w:val="single" w:sz="4" w:space="0" w:color="auto"/>
              <w:bottom w:val="nil"/>
            </w:tcBorders>
            <w:noWrap/>
            <w:hideMark/>
          </w:tcPr>
          <w:p w:rsidR="00682A88" w:rsidRPr="00CF3673" w:rsidRDefault="00682A88" w:rsidP="00682A88">
            <w:pPr>
              <w:jc w:val="center"/>
            </w:pPr>
            <w:r w:rsidRPr="00CF3673">
              <w:t>-40.0</w:t>
            </w:r>
          </w:p>
        </w:tc>
        <w:tc>
          <w:tcPr>
            <w:tcW w:w="2312" w:type="dxa"/>
            <w:tcBorders>
              <w:top w:val="single" w:sz="4" w:space="0" w:color="auto"/>
              <w:bottom w:val="nil"/>
            </w:tcBorders>
            <w:noWrap/>
            <w:hideMark/>
          </w:tcPr>
          <w:p w:rsidR="00682A88" w:rsidRPr="00CF3673" w:rsidRDefault="00682A88" w:rsidP="00682A88">
            <w:pPr>
              <w:jc w:val="center"/>
            </w:pPr>
            <w:r w:rsidRPr="00CF3673">
              <w:t>6.5</w:t>
            </w:r>
          </w:p>
        </w:tc>
        <w:tc>
          <w:tcPr>
            <w:tcW w:w="1112" w:type="dxa"/>
            <w:tcBorders>
              <w:top w:val="single" w:sz="4" w:space="0" w:color="auto"/>
              <w:bottom w:val="nil"/>
            </w:tcBorders>
            <w:noWrap/>
            <w:hideMark/>
          </w:tcPr>
          <w:p w:rsidR="00682A88" w:rsidRPr="00CF3673" w:rsidRDefault="00682A88" w:rsidP="00682A88">
            <w:pPr>
              <w:jc w:val="center"/>
            </w:pPr>
            <w:r w:rsidRPr="00CF3673">
              <w:t>29</w:t>
            </w:r>
          </w:p>
        </w:tc>
      </w:tr>
      <w:tr w:rsidR="00682A88" w:rsidRPr="00CF3673" w:rsidTr="00682A88">
        <w:trPr>
          <w:trHeight w:val="300"/>
          <w:jc w:val="center"/>
        </w:trPr>
        <w:tc>
          <w:tcPr>
            <w:tcW w:w="1206"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Formal</w:t>
            </w:r>
          </w:p>
        </w:tc>
        <w:tc>
          <w:tcPr>
            <w:tcW w:w="1249" w:type="dxa"/>
            <w:tcBorders>
              <w:top w:val="nil"/>
              <w:bottom w:val="single" w:sz="4" w:space="0" w:color="auto"/>
            </w:tcBorders>
            <w:noWrap/>
            <w:hideMark/>
          </w:tcPr>
          <w:p w:rsidR="00682A88" w:rsidRPr="00CF3673" w:rsidRDefault="00682A88" w:rsidP="00682A88">
            <w:pPr>
              <w:jc w:val="center"/>
            </w:pPr>
            <w:r w:rsidRPr="00CF3673">
              <w:t>4.3</w:t>
            </w:r>
          </w:p>
        </w:tc>
        <w:tc>
          <w:tcPr>
            <w:tcW w:w="2264" w:type="dxa"/>
            <w:tcBorders>
              <w:top w:val="nil"/>
              <w:bottom w:val="single" w:sz="4" w:space="0" w:color="auto"/>
            </w:tcBorders>
          </w:tcPr>
          <w:p w:rsidR="00682A88" w:rsidRPr="00CF3673" w:rsidRDefault="00682A88" w:rsidP="00682A88">
            <w:pPr>
              <w:jc w:val="center"/>
            </w:pPr>
            <w:r w:rsidRPr="00CF3673">
              <w:t>-3.1</w:t>
            </w:r>
          </w:p>
        </w:tc>
        <w:tc>
          <w:tcPr>
            <w:tcW w:w="1468" w:type="dxa"/>
            <w:tcBorders>
              <w:top w:val="nil"/>
              <w:bottom w:val="single" w:sz="4" w:space="0" w:color="auto"/>
            </w:tcBorders>
            <w:noWrap/>
            <w:hideMark/>
          </w:tcPr>
          <w:p w:rsidR="00682A88" w:rsidRPr="00CF3673" w:rsidRDefault="00682A88" w:rsidP="00682A88">
            <w:pPr>
              <w:jc w:val="center"/>
            </w:pPr>
            <w:r w:rsidRPr="00CF3673">
              <w:t>-14.8</w:t>
            </w:r>
          </w:p>
        </w:tc>
        <w:tc>
          <w:tcPr>
            <w:tcW w:w="2312" w:type="dxa"/>
            <w:tcBorders>
              <w:top w:val="nil"/>
              <w:bottom w:val="single" w:sz="4" w:space="0" w:color="auto"/>
            </w:tcBorders>
            <w:noWrap/>
            <w:hideMark/>
          </w:tcPr>
          <w:p w:rsidR="00682A88" w:rsidRPr="00CF3673" w:rsidRDefault="00682A88" w:rsidP="00682A88">
            <w:pPr>
              <w:jc w:val="center"/>
            </w:pPr>
            <w:r w:rsidRPr="00CF3673">
              <w:t>-1.9</w:t>
            </w:r>
          </w:p>
        </w:tc>
        <w:tc>
          <w:tcPr>
            <w:tcW w:w="1112" w:type="dxa"/>
            <w:tcBorders>
              <w:top w:val="nil"/>
              <w:bottom w:val="single" w:sz="4" w:space="0" w:color="auto"/>
            </w:tcBorders>
            <w:noWrap/>
            <w:hideMark/>
          </w:tcPr>
          <w:p w:rsidR="00682A88" w:rsidRPr="00CF3673" w:rsidRDefault="00682A88" w:rsidP="00682A88">
            <w:pPr>
              <w:jc w:val="center"/>
            </w:pPr>
            <w:r w:rsidRPr="00CF3673">
              <w:t>187</w:t>
            </w:r>
          </w:p>
        </w:tc>
      </w:tr>
      <w:tr w:rsidR="00682A88" w:rsidRPr="00CF3673" w:rsidTr="00682A88">
        <w:trPr>
          <w:trHeight w:val="300"/>
          <w:jc w:val="center"/>
        </w:trPr>
        <w:tc>
          <w:tcPr>
            <w:tcW w:w="1206" w:type="dxa"/>
            <w:tcBorders>
              <w:top w:val="single" w:sz="4" w:space="0" w:color="auto"/>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Nacional</w:t>
            </w:r>
          </w:p>
        </w:tc>
        <w:tc>
          <w:tcPr>
            <w:tcW w:w="1249" w:type="dxa"/>
            <w:tcBorders>
              <w:top w:val="single" w:sz="4" w:space="0" w:color="auto"/>
              <w:bottom w:val="nil"/>
            </w:tcBorders>
            <w:noWrap/>
            <w:hideMark/>
          </w:tcPr>
          <w:p w:rsidR="00682A88" w:rsidRPr="00CF3673" w:rsidRDefault="00682A88" w:rsidP="00682A88">
            <w:pPr>
              <w:jc w:val="center"/>
            </w:pPr>
            <w:r w:rsidRPr="00CF3673">
              <w:t>-4.0</w:t>
            </w:r>
          </w:p>
        </w:tc>
        <w:tc>
          <w:tcPr>
            <w:tcW w:w="2264" w:type="dxa"/>
            <w:tcBorders>
              <w:top w:val="single" w:sz="4" w:space="0" w:color="auto"/>
              <w:bottom w:val="nil"/>
            </w:tcBorders>
          </w:tcPr>
          <w:p w:rsidR="00682A88" w:rsidRPr="00CF3673" w:rsidRDefault="00682A88" w:rsidP="00682A88">
            <w:pPr>
              <w:jc w:val="center"/>
            </w:pPr>
            <w:r w:rsidRPr="00CF3673">
              <w:t>-12.7</w:t>
            </w:r>
          </w:p>
        </w:tc>
        <w:tc>
          <w:tcPr>
            <w:tcW w:w="1468" w:type="dxa"/>
            <w:tcBorders>
              <w:top w:val="single" w:sz="4" w:space="0" w:color="auto"/>
              <w:bottom w:val="nil"/>
            </w:tcBorders>
            <w:noWrap/>
            <w:hideMark/>
          </w:tcPr>
          <w:p w:rsidR="00682A88" w:rsidRPr="00CF3673" w:rsidRDefault="00682A88" w:rsidP="00682A88">
            <w:pPr>
              <w:jc w:val="center"/>
            </w:pPr>
            <w:r w:rsidRPr="00CF3673">
              <w:t>-21.1</w:t>
            </w:r>
          </w:p>
        </w:tc>
        <w:tc>
          <w:tcPr>
            <w:tcW w:w="2312" w:type="dxa"/>
            <w:tcBorders>
              <w:top w:val="single" w:sz="4" w:space="0" w:color="auto"/>
              <w:bottom w:val="nil"/>
            </w:tcBorders>
            <w:noWrap/>
            <w:hideMark/>
          </w:tcPr>
          <w:p w:rsidR="00682A88" w:rsidRPr="00CF3673" w:rsidRDefault="00682A88" w:rsidP="00682A88">
            <w:pPr>
              <w:jc w:val="center"/>
            </w:pPr>
            <w:r w:rsidRPr="00CF3673">
              <w:t>-11.6</w:t>
            </w:r>
          </w:p>
        </w:tc>
        <w:tc>
          <w:tcPr>
            <w:tcW w:w="1112" w:type="dxa"/>
            <w:tcBorders>
              <w:top w:val="single" w:sz="4" w:space="0" w:color="auto"/>
              <w:bottom w:val="nil"/>
            </w:tcBorders>
            <w:noWrap/>
            <w:hideMark/>
          </w:tcPr>
          <w:p w:rsidR="00682A88" w:rsidRPr="00CF3673" w:rsidRDefault="00682A88" w:rsidP="00682A88">
            <w:pPr>
              <w:jc w:val="center"/>
            </w:pPr>
            <w:r w:rsidRPr="00CF3673">
              <w:t>172</w:t>
            </w:r>
          </w:p>
        </w:tc>
      </w:tr>
      <w:tr w:rsidR="00682A88" w:rsidRPr="00CF3673" w:rsidTr="00682A88">
        <w:trPr>
          <w:trHeight w:val="300"/>
          <w:jc w:val="center"/>
        </w:trPr>
        <w:tc>
          <w:tcPr>
            <w:tcW w:w="1206"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Estrangeira</w:t>
            </w:r>
          </w:p>
        </w:tc>
        <w:tc>
          <w:tcPr>
            <w:tcW w:w="1249" w:type="dxa"/>
            <w:tcBorders>
              <w:top w:val="nil"/>
              <w:bottom w:val="single" w:sz="4" w:space="0" w:color="auto"/>
            </w:tcBorders>
            <w:noWrap/>
            <w:hideMark/>
          </w:tcPr>
          <w:p w:rsidR="00682A88" w:rsidRPr="00CF3673" w:rsidRDefault="00682A88" w:rsidP="00682A88">
            <w:pPr>
              <w:jc w:val="center"/>
            </w:pPr>
            <w:r w:rsidRPr="00CF3673">
              <w:t>21.9</w:t>
            </w:r>
          </w:p>
        </w:tc>
        <w:tc>
          <w:tcPr>
            <w:tcW w:w="2264" w:type="dxa"/>
            <w:tcBorders>
              <w:top w:val="nil"/>
              <w:bottom w:val="single" w:sz="4" w:space="0" w:color="auto"/>
            </w:tcBorders>
          </w:tcPr>
          <w:p w:rsidR="00682A88" w:rsidRPr="00CF3673" w:rsidRDefault="00682A88" w:rsidP="00682A88">
            <w:pPr>
              <w:jc w:val="center"/>
            </w:pPr>
            <w:r w:rsidRPr="00CF3673">
              <w:t>24.6</w:t>
            </w:r>
          </w:p>
        </w:tc>
        <w:tc>
          <w:tcPr>
            <w:tcW w:w="1468" w:type="dxa"/>
            <w:tcBorders>
              <w:top w:val="nil"/>
              <w:bottom w:val="single" w:sz="4" w:space="0" w:color="auto"/>
            </w:tcBorders>
            <w:noWrap/>
            <w:hideMark/>
          </w:tcPr>
          <w:p w:rsidR="00682A88" w:rsidRPr="00CF3673" w:rsidRDefault="00682A88" w:rsidP="00682A88">
            <w:pPr>
              <w:jc w:val="center"/>
            </w:pPr>
            <w:r w:rsidRPr="00CF3673">
              <w:t>3.2</w:t>
            </w:r>
          </w:p>
        </w:tc>
        <w:tc>
          <w:tcPr>
            <w:tcW w:w="2312" w:type="dxa"/>
            <w:tcBorders>
              <w:top w:val="nil"/>
              <w:bottom w:val="single" w:sz="4" w:space="0" w:color="auto"/>
            </w:tcBorders>
            <w:noWrap/>
            <w:hideMark/>
          </w:tcPr>
          <w:p w:rsidR="00682A88" w:rsidRPr="00CF3673" w:rsidRDefault="00682A88" w:rsidP="00682A88">
            <w:pPr>
              <w:jc w:val="center"/>
            </w:pPr>
            <w:r w:rsidRPr="00CF3673">
              <w:t>13.8</w:t>
            </w:r>
          </w:p>
        </w:tc>
        <w:tc>
          <w:tcPr>
            <w:tcW w:w="1112" w:type="dxa"/>
            <w:tcBorders>
              <w:top w:val="nil"/>
              <w:bottom w:val="single" w:sz="4" w:space="0" w:color="auto"/>
            </w:tcBorders>
            <w:noWrap/>
            <w:hideMark/>
          </w:tcPr>
          <w:p w:rsidR="00682A88" w:rsidRPr="00CF3673" w:rsidRDefault="00682A88" w:rsidP="00682A88">
            <w:pPr>
              <w:jc w:val="center"/>
            </w:pPr>
            <w:r w:rsidRPr="00CF3673">
              <w:t>44</w:t>
            </w:r>
          </w:p>
        </w:tc>
      </w:tr>
      <w:tr w:rsidR="00682A88" w:rsidRPr="00CF3673" w:rsidTr="00682A88">
        <w:trPr>
          <w:trHeight w:val="300"/>
          <w:jc w:val="center"/>
        </w:trPr>
        <w:tc>
          <w:tcPr>
            <w:tcW w:w="1206" w:type="dxa"/>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Maputo</w:t>
            </w:r>
          </w:p>
        </w:tc>
        <w:tc>
          <w:tcPr>
            <w:tcW w:w="1249" w:type="dxa"/>
            <w:tcBorders>
              <w:top w:val="single" w:sz="4" w:space="0" w:color="auto"/>
            </w:tcBorders>
            <w:noWrap/>
            <w:hideMark/>
          </w:tcPr>
          <w:p w:rsidR="00682A88" w:rsidRPr="00CF3673" w:rsidRDefault="00682A88" w:rsidP="00682A88">
            <w:pPr>
              <w:jc w:val="center"/>
            </w:pPr>
            <w:r w:rsidRPr="00CF3673">
              <w:t>-4.5</w:t>
            </w:r>
          </w:p>
        </w:tc>
        <w:tc>
          <w:tcPr>
            <w:tcW w:w="2264" w:type="dxa"/>
            <w:tcBorders>
              <w:top w:val="single" w:sz="4" w:space="0" w:color="auto"/>
            </w:tcBorders>
          </w:tcPr>
          <w:p w:rsidR="00682A88" w:rsidRPr="00CF3673" w:rsidRDefault="00682A88" w:rsidP="00682A88">
            <w:pPr>
              <w:jc w:val="center"/>
            </w:pPr>
            <w:r w:rsidRPr="00CF3673">
              <w:t>-14.8</w:t>
            </w:r>
          </w:p>
        </w:tc>
        <w:tc>
          <w:tcPr>
            <w:tcW w:w="1468" w:type="dxa"/>
            <w:tcBorders>
              <w:top w:val="single" w:sz="4" w:space="0" w:color="auto"/>
            </w:tcBorders>
            <w:noWrap/>
            <w:hideMark/>
          </w:tcPr>
          <w:p w:rsidR="00682A88" w:rsidRPr="00CF3673" w:rsidRDefault="00682A88" w:rsidP="00682A88">
            <w:pPr>
              <w:jc w:val="center"/>
            </w:pPr>
            <w:r w:rsidRPr="00CF3673">
              <w:t>-20.0</w:t>
            </w:r>
          </w:p>
        </w:tc>
        <w:tc>
          <w:tcPr>
            <w:tcW w:w="2312" w:type="dxa"/>
            <w:tcBorders>
              <w:top w:val="single" w:sz="4" w:space="0" w:color="auto"/>
            </w:tcBorders>
            <w:noWrap/>
            <w:hideMark/>
          </w:tcPr>
          <w:p w:rsidR="00682A88" w:rsidRPr="00CF3673" w:rsidRDefault="00682A88" w:rsidP="00682A88">
            <w:pPr>
              <w:jc w:val="center"/>
            </w:pPr>
            <w:r w:rsidRPr="00CF3673">
              <w:t>-3.1</w:t>
            </w:r>
          </w:p>
        </w:tc>
        <w:tc>
          <w:tcPr>
            <w:tcW w:w="1112" w:type="dxa"/>
            <w:tcBorders>
              <w:top w:val="single" w:sz="4" w:space="0" w:color="auto"/>
            </w:tcBorders>
            <w:noWrap/>
            <w:hideMark/>
          </w:tcPr>
          <w:p w:rsidR="00682A88" w:rsidRPr="00CF3673" w:rsidRDefault="00682A88" w:rsidP="00682A88">
            <w:pPr>
              <w:jc w:val="center"/>
            </w:pPr>
            <w:r w:rsidRPr="00CF3673">
              <w:t>146</w:t>
            </w:r>
          </w:p>
        </w:tc>
      </w:tr>
      <w:tr w:rsidR="00682A88" w:rsidRPr="00CF3673" w:rsidTr="00682A88">
        <w:trPr>
          <w:trHeight w:val="300"/>
          <w:jc w:val="center"/>
        </w:trPr>
        <w:tc>
          <w:tcPr>
            <w:tcW w:w="1206"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Matola</w:t>
            </w:r>
          </w:p>
        </w:tc>
        <w:tc>
          <w:tcPr>
            <w:tcW w:w="1249" w:type="dxa"/>
            <w:noWrap/>
            <w:hideMark/>
          </w:tcPr>
          <w:p w:rsidR="00682A88" w:rsidRPr="00CF3673" w:rsidRDefault="00682A88" w:rsidP="00682A88">
            <w:pPr>
              <w:jc w:val="center"/>
            </w:pPr>
            <w:r w:rsidRPr="00CF3673">
              <w:t>-7.8</w:t>
            </w:r>
          </w:p>
        </w:tc>
        <w:tc>
          <w:tcPr>
            <w:tcW w:w="2264" w:type="dxa"/>
          </w:tcPr>
          <w:p w:rsidR="00682A88" w:rsidRPr="00CF3673" w:rsidRDefault="00682A88" w:rsidP="00682A88">
            <w:pPr>
              <w:jc w:val="center"/>
            </w:pPr>
            <w:r w:rsidRPr="00CF3673">
              <w:t>-7.8</w:t>
            </w:r>
          </w:p>
        </w:tc>
        <w:tc>
          <w:tcPr>
            <w:tcW w:w="1468" w:type="dxa"/>
            <w:noWrap/>
            <w:hideMark/>
          </w:tcPr>
          <w:p w:rsidR="00682A88" w:rsidRPr="00CF3673" w:rsidRDefault="00682A88" w:rsidP="00682A88">
            <w:pPr>
              <w:jc w:val="center"/>
            </w:pPr>
            <w:r w:rsidRPr="00CF3673">
              <w:t>-23.6</w:t>
            </w:r>
          </w:p>
        </w:tc>
        <w:tc>
          <w:tcPr>
            <w:tcW w:w="2312" w:type="dxa"/>
            <w:noWrap/>
            <w:hideMark/>
          </w:tcPr>
          <w:p w:rsidR="00682A88" w:rsidRPr="00CF3673" w:rsidRDefault="00682A88" w:rsidP="00682A88">
            <w:pPr>
              <w:jc w:val="center"/>
            </w:pPr>
            <w:r w:rsidRPr="00CF3673">
              <w:t>-22.8</w:t>
            </w:r>
          </w:p>
        </w:tc>
        <w:tc>
          <w:tcPr>
            <w:tcW w:w="1112" w:type="dxa"/>
            <w:noWrap/>
            <w:hideMark/>
          </w:tcPr>
          <w:p w:rsidR="00682A88" w:rsidRPr="00CF3673" w:rsidRDefault="00682A88" w:rsidP="00682A88">
            <w:pPr>
              <w:jc w:val="center"/>
            </w:pPr>
            <w:r w:rsidRPr="00CF3673">
              <w:t>13</w:t>
            </w:r>
          </w:p>
        </w:tc>
      </w:tr>
      <w:tr w:rsidR="00682A88" w:rsidRPr="00CF3673" w:rsidTr="00682A88">
        <w:trPr>
          <w:trHeight w:val="300"/>
          <w:jc w:val="center"/>
        </w:trPr>
        <w:tc>
          <w:tcPr>
            <w:tcW w:w="1206"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Beira</w:t>
            </w:r>
          </w:p>
        </w:tc>
        <w:tc>
          <w:tcPr>
            <w:tcW w:w="1249" w:type="dxa"/>
            <w:noWrap/>
            <w:hideMark/>
          </w:tcPr>
          <w:p w:rsidR="00682A88" w:rsidRPr="00CF3673" w:rsidRDefault="00682A88" w:rsidP="00682A88">
            <w:pPr>
              <w:jc w:val="center"/>
            </w:pPr>
            <w:r w:rsidRPr="00CF3673">
              <w:t>8.2</w:t>
            </w:r>
          </w:p>
        </w:tc>
        <w:tc>
          <w:tcPr>
            <w:tcW w:w="2264" w:type="dxa"/>
          </w:tcPr>
          <w:p w:rsidR="00682A88" w:rsidRPr="00CF3673" w:rsidRDefault="00682A88" w:rsidP="00682A88">
            <w:pPr>
              <w:jc w:val="center"/>
            </w:pPr>
            <w:r w:rsidRPr="00CF3673">
              <w:t>14.5</w:t>
            </w:r>
          </w:p>
        </w:tc>
        <w:tc>
          <w:tcPr>
            <w:tcW w:w="1468" w:type="dxa"/>
            <w:noWrap/>
            <w:hideMark/>
          </w:tcPr>
          <w:p w:rsidR="00682A88" w:rsidRPr="00CF3673" w:rsidRDefault="00682A88" w:rsidP="00682A88">
            <w:pPr>
              <w:jc w:val="center"/>
            </w:pPr>
            <w:r w:rsidRPr="00CF3673">
              <w:t>-7.7</w:t>
            </w:r>
          </w:p>
        </w:tc>
        <w:tc>
          <w:tcPr>
            <w:tcW w:w="2312" w:type="dxa"/>
            <w:noWrap/>
            <w:hideMark/>
          </w:tcPr>
          <w:p w:rsidR="00682A88" w:rsidRPr="00CF3673" w:rsidRDefault="00682A88" w:rsidP="00682A88">
            <w:pPr>
              <w:jc w:val="center"/>
            </w:pPr>
            <w:r w:rsidRPr="00CF3673">
              <w:t>7.9</w:t>
            </w:r>
          </w:p>
        </w:tc>
        <w:tc>
          <w:tcPr>
            <w:tcW w:w="1112" w:type="dxa"/>
            <w:noWrap/>
            <w:hideMark/>
          </w:tcPr>
          <w:p w:rsidR="00682A88" w:rsidRPr="00CF3673" w:rsidRDefault="00682A88" w:rsidP="00682A88">
            <w:pPr>
              <w:jc w:val="center"/>
            </w:pPr>
            <w:r w:rsidRPr="00CF3673">
              <w:t>18</w:t>
            </w:r>
          </w:p>
        </w:tc>
      </w:tr>
      <w:tr w:rsidR="00682A88" w:rsidRPr="00CF3673" w:rsidTr="00682A88">
        <w:trPr>
          <w:trHeight w:val="300"/>
          <w:jc w:val="center"/>
        </w:trPr>
        <w:tc>
          <w:tcPr>
            <w:tcW w:w="1206"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Nampula</w:t>
            </w:r>
          </w:p>
        </w:tc>
        <w:tc>
          <w:tcPr>
            <w:tcW w:w="1249" w:type="dxa"/>
            <w:noWrap/>
            <w:hideMark/>
          </w:tcPr>
          <w:p w:rsidR="00682A88" w:rsidRPr="00CF3673" w:rsidRDefault="00682A88" w:rsidP="00682A88">
            <w:pPr>
              <w:jc w:val="center"/>
            </w:pPr>
            <w:r w:rsidRPr="00CF3673">
              <w:t>8.1</w:t>
            </w:r>
          </w:p>
        </w:tc>
        <w:tc>
          <w:tcPr>
            <w:tcW w:w="2264" w:type="dxa"/>
          </w:tcPr>
          <w:p w:rsidR="00682A88" w:rsidRPr="00CF3673" w:rsidRDefault="00682A88" w:rsidP="00682A88">
            <w:pPr>
              <w:jc w:val="center"/>
            </w:pPr>
            <w:r w:rsidRPr="00CF3673">
              <w:t>8.1</w:t>
            </w:r>
          </w:p>
        </w:tc>
        <w:tc>
          <w:tcPr>
            <w:tcW w:w="1468" w:type="dxa"/>
            <w:noWrap/>
            <w:hideMark/>
          </w:tcPr>
          <w:p w:rsidR="00682A88" w:rsidRPr="00CF3673" w:rsidRDefault="00682A88" w:rsidP="00682A88">
            <w:pPr>
              <w:jc w:val="center"/>
            </w:pPr>
            <w:r w:rsidRPr="00CF3673">
              <w:t>-14.3</w:t>
            </w:r>
          </w:p>
        </w:tc>
        <w:tc>
          <w:tcPr>
            <w:tcW w:w="2312" w:type="dxa"/>
            <w:noWrap/>
            <w:hideMark/>
          </w:tcPr>
          <w:p w:rsidR="00682A88" w:rsidRPr="00CF3673" w:rsidRDefault="00682A88" w:rsidP="00682A88">
            <w:pPr>
              <w:jc w:val="center"/>
            </w:pPr>
            <w:r w:rsidRPr="00CF3673">
              <w:t>12.8</w:t>
            </w:r>
          </w:p>
        </w:tc>
        <w:tc>
          <w:tcPr>
            <w:tcW w:w="1112" w:type="dxa"/>
            <w:noWrap/>
            <w:hideMark/>
          </w:tcPr>
          <w:p w:rsidR="00682A88" w:rsidRPr="00CF3673" w:rsidRDefault="00682A88" w:rsidP="00682A88">
            <w:pPr>
              <w:jc w:val="center"/>
            </w:pPr>
            <w:r w:rsidRPr="00CF3673">
              <w:t>28</w:t>
            </w:r>
          </w:p>
        </w:tc>
      </w:tr>
      <w:tr w:rsidR="00682A88" w:rsidRPr="00CF3673" w:rsidTr="00682A88">
        <w:trPr>
          <w:trHeight w:val="300"/>
          <w:jc w:val="center"/>
        </w:trPr>
        <w:tc>
          <w:tcPr>
            <w:tcW w:w="1206"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Nacala</w:t>
            </w:r>
          </w:p>
        </w:tc>
        <w:tc>
          <w:tcPr>
            <w:tcW w:w="1249" w:type="dxa"/>
            <w:noWrap/>
            <w:hideMark/>
          </w:tcPr>
          <w:p w:rsidR="00682A88" w:rsidRPr="00CF3673" w:rsidRDefault="00682A88" w:rsidP="00682A88">
            <w:pPr>
              <w:jc w:val="center"/>
            </w:pPr>
            <w:r w:rsidRPr="00CF3673">
              <w:t>32.2</w:t>
            </w:r>
          </w:p>
        </w:tc>
        <w:tc>
          <w:tcPr>
            <w:tcW w:w="2264" w:type="dxa"/>
          </w:tcPr>
          <w:p w:rsidR="00682A88" w:rsidRPr="00CF3673" w:rsidRDefault="00682A88" w:rsidP="00682A88">
            <w:pPr>
              <w:jc w:val="center"/>
            </w:pPr>
            <w:r w:rsidRPr="00CF3673">
              <w:t>32.2</w:t>
            </w:r>
          </w:p>
        </w:tc>
        <w:tc>
          <w:tcPr>
            <w:tcW w:w="1468" w:type="dxa"/>
            <w:noWrap/>
            <w:hideMark/>
          </w:tcPr>
          <w:p w:rsidR="00682A88" w:rsidRPr="00CF3673" w:rsidRDefault="00682A88" w:rsidP="00682A88">
            <w:pPr>
              <w:jc w:val="center"/>
            </w:pPr>
            <w:r w:rsidRPr="00CF3673">
              <w:t>7.6</w:t>
            </w:r>
          </w:p>
        </w:tc>
        <w:tc>
          <w:tcPr>
            <w:tcW w:w="2312" w:type="dxa"/>
            <w:noWrap/>
            <w:hideMark/>
          </w:tcPr>
          <w:p w:rsidR="00682A88" w:rsidRPr="00CF3673" w:rsidRDefault="00682A88" w:rsidP="00682A88">
            <w:pPr>
              <w:jc w:val="center"/>
            </w:pPr>
            <w:r w:rsidRPr="00CF3673">
              <w:t>-19.1</w:t>
            </w:r>
          </w:p>
        </w:tc>
        <w:tc>
          <w:tcPr>
            <w:tcW w:w="1112" w:type="dxa"/>
            <w:noWrap/>
            <w:hideMark/>
          </w:tcPr>
          <w:p w:rsidR="00682A88" w:rsidRPr="00CF3673" w:rsidRDefault="00682A88" w:rsidP="00682A88">
            <w:pPr>
              <w:jc w:val="center"/>
            </w:pPr>
            <w:r w:rsidRPr="00CF3673">
              <w:t>4</w:t>
            </w:r>
          </w:p>
        </w:tc>
      </w:tr>
      <w:tr w:rsidR="00682A88" w:rsidRPr="00CF3673" w:rsidTr="00682A88">
        <w:trPr>
          <w:trHeight w:val="300"/>
          <w:jc w:val="center"/>
        </w:trPr>
        <w:tc>
          <w:tcPr>
            <w:tcW w:w="1206"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Chimoio</w:t>
            </w:r>
          </w:p>
        </w:tc>
        <w:tc>
          <w:tcPr>
            <w:tcW w:w="1249" w:type="dxa"/>
            <w:noWrap/>
            <w:hideMark/>
          </w:tcPr>
          <w:p w:rsidR="00682A88" w:rsidRPr="00CF3673" w:rsidRDefault="00682A88" w:rsidP="00682A88">
            <w:pPr>
              <w:jc w:val="center"/>
            </w:pPr>
            <w:r w:rsidRPr="00CF3673">
              <w:t>75.1</w:t>
            </w:r>
          </w:p>
        </w:tc>
        <w:tc>
          <w:tcPr>
            <w:tcW w:w="2264" w:type="dxa"/>
          </w:tcPr>
          <w:p w:rsidR="00682A88" w:rsidRPr="00CF3673" w:rsidRDefault="00682A88" w:rsidP="00682A88">
            <w:pPr>
              <w:jc w:val="center"/>
            </w:pPr>
            <w:r w:rsidRPr="00CF3673">
              <w:t>75.1</w:t>
            </w:r>
          </w:p>
        </w:tc>
        <w:tc>
          <w:tcPr>
            <w:tcW w:w="1468" w:type="dxa"/>
            <w:noWrap/>
            <w:hideMark/>
          </w:tcPr>
          <w:p w:rsidR="00682A88" w:rsidRPr="00CF3673" w:rsidRDefault="00682A88" w:rsidP="00682A88">
            <w:pPr>
              <w:jc w:val="center"/>
            </w:pPr>
            <w:r w:rsidRPr="00CF3673">
              <w:t>6.6</w:t>
            </w:r>
          </w:p>
        </w:tc>
        <w:tc>
          <w:tcPr>
            <w:tcW w:w="2312" w:type="dxa"/>
            <w:noWrap/>
            <w:hideMark/>
          </w:tcPr>
          <w:p w:rsidR="00682A88" w:rsidRPr="00CF3673" w:rsidRDefault="00682A88" w:rsidP="00682A88">
            <w:pPr>
              <w:jc w:val="center"/>
            </w:pPr>
            <w:r w:rsidRPr="00CF3673">
              <w:t>32.0</w:t>
            </w:r>
          </w:p>
        </w:tc>
        <w:tc>
          <w:tcPr>
            <w:tcW w:w="1112" w:type="dxa"/>
            <w:noWrap/>
            <w:hideMark/>
          </w:tcPr>
          <w:p w:rsidR="00682A88" w:rsidRPr="00CF3673" w:rsidRDefault="00682A88" w:rsidP="00682A88">
            <w:pPr>
              <w:jc w:val="center"/>
            </w:pPr>
            <w:r w:rsidRPr="00CF3673">
              <w:t>7</w:t>
            </w:r>
          </w:p>
        </w:tc>
      </w:tr>
      <w:tr w:rsidR="00682A88" w:rsidRPr="00CF3673" w:rsidTr="00682A88">
        <w:trPr>
          <w:trHeight w:val="300"/>
          <w:jc w:val="center"/>
        </w:trPr>
        <w:tc>
          <w:tcPr>
            <w:tcW w:w="9611" w:type="dxa"/>
            <w:gridSpan w:val="6"/>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A coluna "Crescimento, o grupo como um todo", indica o crescimento do emprego de todas as empresas da categoria. * Na coluna sem valores discrepantes, os percentis 1 e 100 são excluídos.</w:t>
            </w:r>
          </w:p>
        </w:tc>
      </w:tr>
      <w:tr w:rsidR="00682A88" w:rsidRPr="00CF3673" w:rsidTr="00682A88">
        <w:trPr>
          <w:trHeight w:val="300"/>
          <w:jc w:val="center"/>
        </w:trPr>
        <w:tc>
          <w:tcPr>
            <w:tcW w:w="9611" w:type="dxa"/>
            <w:gridSpan w:val="6"/>
            <w:tcBorders>
              <w:top w:val="nil"/>
              <w:bottom w:val="nil"/>
            </w:tcBorders>
            <w:noWrap/>
          </w:tcPr>
          <w:p w:rsidR="00682A88" w:rsidRPr="00CF3673" w:rsidRDefault="00682A88" w:rsidP="00AD45B9">
            <w:pPr>
              <w:pStyle w:val="Tablenote"/>
              <w:rPr>
                <w:lang w:val="pt-PT"/>
              </w:rPr>
            </w:pPr>
            <w:r w:rsidRPr="00CF3673">
              <w:rPr>
                <w:b/>
                <w:lang w:val="pt-PT"/>
              </w:rPr>
              <w:t>Fonte:</w:t>
            </w:r>
            <w:r w:rsidRPr="00CF3673">
              <w:rPr>
                <w:lang w:val="pt-PT"/>
              </w:rPr>
              <w:t xml:space="preserve"> Cálculos </w:t>
            </w:r>
            <w:r w:rsidR="00AD45B9" w:rsidRPr="00CF3673">
              <w:rPr>
                <w:lang w:val="pt-PT"/>
              </w:rPr>
              <w:t>dos autores us</w:t>
            </w:r>
            <w:r w:rsidRPr="00CF3673">
              <w:rPr>
                <w:lang w:val="pt-PT"/>
              </w:rPr>
              <w:t>ando IIM 2012, DNEAP (2006) e ICA (2009).</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A Tabela 3.4 mostra o resumo das estatísticas de crescimento do emprego por sector. Os sectores diferem substancialmente em relação ao crescimento do emprego com o metal, máquinas, móveis (e outros de fabricação) e os sectores têxtil/vestuário tendo níveis baixos de taxas de crescimento. Por outro lado, o </w:t>
      </w:r>
      <w:r w:rsidRPr="00CF3673">
        <w:lastRenderedPageBreak/>
        <w:t>sector de madeira e papel; edição e impressão, e produtos químicos parecem ter feito melhor do que a média e, os sectores de alimentos e minerais não-metálicos têm experimentado um crescimento substancial.</w:t>
      </w:r>
    </w:p>
    <w:p w:rsidR="00682A88" w:rsidRPr="00CF3673" w:rsidRDefault="00682A88" w:rsidP="00682A88">
      <w:pPr>
        <w:spacing w:line="360" w:lineRule="auto"/>
        <w:jc w:val="both"/>
      </w:pPr>
      <w:r w:rsidRPr="00CF3673">
        <w:t xml:space="preserve">A interpretação preliminar de isso poderia ser de que os sectores que não estão sujeitos à concorrência considerável das </w:t>
      </w:r>
      <w:r w:rsidR="00B20E4D" w:rsidRPr="00CF3673">
        <w:t>importações</w:t>
      </w:r>
      <w:r w:rsidRPr="00CF3673">
        <w:t xml:space="preserve"> (como padarias e moinhos), enquanto os sectores com maior concorrência das </w:t>
      </w:r>
      <w:r w:rsidR="00B20E4D" w:rsidRPr="00CF3673">
        <w:t>importações</w:t>
      </w:r>
      <w:r w:rsidRPr="00CF3673">
        <w:t xml:space="preserve"> (como vestuário, metais e máquinas) foram forçados a reduzir as suas </w:t>
      </w:r>
      <w:r w:rsidR="00B20E4D" w:rsidRPr="00CF3673">
        <w:t>operações</w:t>
      </w:r>
      <w:r w:rsidRPr="00CF3673">
        <w:t xml:space="preserve"> e / ou a produzir com mais eficiência usando métodos menos trabalhosos.</w:t>
      </w:r>
    </w:p>
    <w:p w:rsidR="00682A88" w:rsidRPr="00CF3673" w:rsidRDefault="00682A88" w:rsidP="00682A88">
      <w:pPr>
        <w:spacing w:line="360" w:lineRule="auto"/>
        <w:jc w:val="both"/>
        <w:rPr>
          <w:b/>
        </w:rPr>
      </w:pPr>
      <w:r w:rsidRPr="00CF3673">
        <w:rPr>
          <w:b/>
        </w:rPr>
        <w:t>Tabela 3.4: Crescimento do emprego 2006-2012 por sector, %.</w:t>
      </w:r>
    </w:p>
    <w:tbl>
      <w:tblPr>
        <w:tblStyle w:val="StandardTable"/>
        <w:tblW w:w="0" w:type="auto"/>
        <w:jc w:val="center"/>
        <w:tblInd w:w="-799" w:type="dxa"/>
        <w:tblLook w:val="04A0" w:firstRow="1" w:lastRow="0" w:firstColumn="1" w:lastColumn="0" w:noHBand="0" w:noVBand="1"/>
      </w:tblPr>
      <w:tblGrid>
        <w:gridCol w:w="3447"/>
        <w:gridCol w:w="1736"/>
        <w:gridCol w:w="1811"/>
        <w:gridCol w:w="2595"/>
        <w:gridCol w:w="1064"/>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noWrap/>
          </w:tcPr>
          <w:p w:rsidR="00682A88" w:rsidRPr="00CF3673" w:rsidRDefault="00682A88" w:rsidP="00682A88">
            <w:pPr>
              <w:rPr>
                <w:rFonts w:ascii="Calibri" w:eastAsia="Times New Roman" w:hAnsi="Calibri" w:cs="Times New Roman"/>
                <w:lang w:eastAsia="zh-CN"/>
              </w:rPr>
            </w:pPr>
          </w:p>
        </w:tc>
        <w:tc>
          <w:tcPr>
            <w:tcW w:w="0" w:type="auto"/>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Médio*</w:t>
            </w:r>
          </w:p>
        </w:tc>
        <w:tc>
          <w:tcPr>
            <w:tcW w:w="0" w:type="auto"/>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Mediano</w:t>
            </w:r>
          </w:p>
        </w:tc>
        <w:tc>
          <w:tcPr>
            <w:tcW w:w="0" w:type="auto"/>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grupo como um todo</w:t>
            </w:r>
          </w:p>
        </w:tc>
        <w:tc>
          <w:tcPr>
            <w:tcW w:w="0" w:type="auto"/>
            <w:noWrap/>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Nº de obs.</w:t>
            </w:r>
          </w:p>
        </w:tc>
      </w:tr>
      <w:tr w:rsidR="00682A88" w:rsidRPr="00CF3673" w:rsidTr="00682A88">
        <w:trPr>
          <w:trHeight w:val="300"/>
          <w:jc w:val="center"/>
        </w:trPr>
        <w:tc>
          <w:tcPr>
            <w:tcW w:w="0" w:type="auto"/>
            <w:tcBorders>
              <w:top w:val="single" w:sz="4" w:space="0" w:color="auto"/>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Todas</w:t>
            </w:r>
          </w:p>
        </w:tc>
        <w:tc>
          <w:tcPr>
            <w:tcW w:w="0" w:type="auto"/>
            <w:tcBorders>
              <w:top w:val="single" w:sz="4" w:space="0" w:color="auto"/>
              <w:bottom w:val="single" w:sz="4" w:space="0" w:color="auto"/>
            </w:tcBorders>
          </w:tcPr>
          <w:p w:rsidR="00682A88" w:rsidRPr="00CF3673" w:rsidRDefault="00682A88" w:rsidP="00682A88">
            <w:pPr>
              <w:jc w:val="center"/>
            </w:pPr>
            <w:r w:rsidRPr="00CF3673">
              <w:t>-5.1</w:t>
            </w:r>
          </w:p>
        </w:tc>
        <w:tc>
          <w:tcPr>
            <w:tcW w:w="0" w:type="auto"/>
            <w:tcBorders>
              <w:top w:val="single" w:sz="4" w:space="0" w:color="auto"/>
              <w:bottom w:val="single" w:sz="4" w:space="0" w:color="auto"/>
            </w:tcBorders>
            <w:noWrap/>
            <w:hideMark/>
          </w:tcPr>
          <w:p w:rsidR="00682A88" w:rsidRPr="00CF3673" w:rsidRDefault="00682A88" w:rsidP="00682A88">
            <w:pPr>
              <w:jc w:val="center"/>
            </w:pPr>
            <w:r w:rsidRPr="00CF3673">
              <w:t>-18.6</w:t>
            </w:r>
          </w:p>
        </w:tc>
        <w:tc>
          <w:tcPr>
            <w:tcW w:w="0" w:type="auto"/>
            <w:tcBorders>
              <w:top w:val="single" w:sz="4" w:space="0" w:color="auto"/>
              <w:bottom w:val="single" w:sz="4" w:space="0" w:color="auto"/>
            </w:tcBorders>
            <w:noWrap/>
            <w:hideMark/>
          </w:tcPr>
          <w:p w:rsidR="00682A88" w:rsidRPr="00CF3673" w:rsidRDefault="00682A88" w:rsidP="00682A88">
            <w:pPr>
              <w:jc w:val="center"/>
            </w:pPr>
            <w:r w:rsidRPr="00CF3673">
              <w:t>-1.5</w:t>
            </w:r>
          </w:p>
        </w:tc>
        <w:tc>
          <w:tcPr>
            <w:tcW w:w="0" w:type="auto"/>
            <w:tcBorders>
              <w:top w:val="single" w:sz="4" w:space="0" w:color="auto"/>
              <w:bottom w:val="single" w:sz="4" w:space="0" w:color="auto"/>
            </w:tcBorders>
            <w:noWrap/>
            <w:hideMark/>
          </w:tcPr>
          <w:p w:rsidR="00682A88" w:rsidRPr="00CF3673" w:rsidRDefault="00682A88" w:rsidP="00682A88">
            <w:pPr>
              <w:jc w:val="center"/>
            </w:pPr>
            <w:r w:rsidRPr="00CF3673">
              <w:t>216</w:t>
            </w:r>
          </w:p>
        </w:tc>
      </w:tr>
      <w:tr w:rsidR="00682A88" w:rsidRPr="00CF3673" w:rsidTr="00682A88">
        <w:trPr>
          <w:trHeight w:val="300"/>
          <w:jc w:val="center"/>
        </w:trPr>
        <w:tc>
          <w:tcPr>
            <w:tcW w:w="0" w:type="auto"/>
            <w:tcBorders>
              <w:top w:val="single" w:sz="4" w:space="0" w:color="auto"/>
            </w:tcBorders>
            <w:noWrap/>
            <w:hideMark/>
          </w:tcPr>
          <w:p w:rsidR="00682A88" w:rsidRPr="00CF3673" w:rsidRDefault="00682A88" w:rsidP="00682A88">
            <w:r w:rsidRPr="00CF3673">
              <w:t>Alimentos, Bebidas, Tabaco</w:t>
            </w:r>
          </w:p>
        </w:tc>
        <w:tc>
          <w:tcPr>
            <w:tcW w:w="0" w:type="auto"/>
            <w:tcBorders>
              <w:top w:val="single" w:sz="4" w:space="0" w:color="auto"/>
            </w:tcBorders>
          </w:tcPr>
          <w:p w:rsidR="00682A88" w:rsidRPr="00CF3673" w:rsidRDefault="00682A88" w:rsidP="00682A88">
            <w:pPr>
              <w:jc w:val="center"/>
            </w:pPr>
            <w:r w:rsidRPr="00CF3673">
              <w:t>23.6</w:t>
            </w:r>
          </w:p>
        </w:tc>
        <w:tc>
          <w:tcPr>
            <w:tcW w:w="0" w:type="auto"/>
            <w:tcBorders>
              <w:top w:val="single" w:sz="4" w:space="0" w:color="auto"/>
            </w:tcBorders>
            <w:noWrap/>
            <w:hideMark/>
          </w:tcPr>
          <w:p w:rsidR="00682A88" w:rsidRPr="00CF3673" w:rsidRDefault="00682A88" w:rsidP="00682A88">
            <w:pPr>
              <w:jc w:val="center"/>
            </w:pPr>
            <w:r w:rsidRPr="00CF3673">
              <w:t>11.4</w:t>
            </w:r>
          </w:p>
        </w:tc>
        <w:tc>
          <w:tcPr>
            <w:tcW w:w="0" w:type="auto"/>
            <w:tcBorders>
              <w:top w:val="single" w:sz="4" w:space="0" w:color="auto"/>
            </w:tcBorders>
            <w:noWrap/>
            <w:hideMark/>
          </w:tcPr>
          <w:p w:rsidR="00682A88" w:rsidRPr="00CF3673" w:rsidRDefault="00682A88" w:rsidP="00682A88">
            <w:pPr>
              <w:jc w:val="center"/>
            </w:pPr>
            <w:r w:rsidRPr="00CF3673">
              <w:t>1.2</w:t>
            </w:r>
          </w:p>
        </w:tc>
        <w:tc>
          <w:tcPr>
            <w:tcW w:w="0" w:type="auto"/>
            <w:tcBorders>
              <w:top w:val="single" w:sz="4" w:space="0" w:color="auto"/>
            </w:tcBorders>
            <w:noWrap/>
            <w:hideMark/>
          </w:tcPr>
          <w:p w:rsidR="00682A88" w:rsidRPr="00CF3673" w:rsidRDefault="00682A88" w:rsidP="00682A88">
            <w:pPr>
              <w:jc w:val="center"/>
            </w:pPr>
            <w:r w:rsidRPr="00CF3673">
              <w:t>41</w:t>
            </w:r>
          </w:p>
        </w:tc>
      </w:tr>
      <w:tr w:rsidR="00682A88" w:rsidRPr="00CF3673" w:rsidTr="00682A88">
        <w:trPr>
          <w:trHeight w:val="300"/>
          <w:jc w:val="center"/>
        </w:trPr>
        <w:tc>
          <w:tcPr>
            <w:tcW w:w="0" w:type="auto"/>
            <w:tcBorders>
              <w:bottom w:val="nil"/>
            </w:tcBorders>
            <w:noWrap/>
            <w:hideMark/>
          </w:tcPr>
          <w:p w:rsidR="00682A88" w:rsidRPr="00CF3673" w:rsidRDefault="00682A88" w:rsidP="00682A88">
            <w:r w:rsidRPr="00CF3673">
              <w:t>Têxteis</w:t>
            </w:r>
          </w:p>
        </w:tc>
        <w:tc>
          <w:tcPr>
            <w:tcW w:w="0" w:type="auto"/>
            <w:tcBorders>
              <w:bottom w:val="nil"/>
            </w:tcBorders>
          </w:tcPr>
          <w:p w:rsidR="00682A88" w:rsidRPr="00CF3673" w:rsidRDefault="00682A88" w:rsidP="00682A88">
            <w:pPr>
              <w:jc w:val="center"/>
            </w:pPr>
            <w:r w:rsidRPr="00CF3673">
              <w:t>-9.9</w:t>
            </w:r>
          </w:p>
        </w:tc>
        <w:tc>
          <w:tcPr>
            <w:tcW w:w="0" w:type="auto"/>
            <w:tcBorders>
              <w:bottom w:val="nil"/>
            </w:tcBorders>
            <w:noWrap/>
            <w:hideMark/>
          </w:tcPr>
          <w:p w:rsidR="00682A88" w:rsidRPr="00CF3673" w:rsidRDefault="00682A88" w:rsidP="00682A88">
            <w:pPr>
              <w:jc w:val="center"/>
            </w:pPr>
            <w:r w:rsidRPr="00CF3673">
              <w:t>-9.9</w:t>
            </w:r>
          </w:p>
        </w:tc>
        <w:tc>
          <w:tcPr>
            <w:tcW w:w="0" w:type="auto"/>
            <w:tcBorders>
              <w:bottom w:val="nil"/>
            </w:tcBorders>
            <w:noWrap/>
            <w:hideMark/>
          </w:tcPr>
          <w:p w:rsidR="00682A88" w:rsidRPr="00CF3673" w:rsidRDefault="00682A88" w:rsidP="00682A88">
            <w:pPr>
              <w:jc w:val="center"/>
            </w:pPr>
            <w:r w:rsidRPr="00CF3673">
              <w:t>-9.9</w:t>
            </w:r>
          </w:p>
        </w:tc>
        <w:tc>
          <w:tcPr>
            <w:tcW w:w="0" w:type="auto"/>
            <w:tcBorders>
              <w:bottom w:val="nil"/>
            </w:tcBorders>
            <w:noWrap/>
            <w:hideMark/>
          </w:tcPr>
          <w:p w:rsidR="00682A88" w:rsidRPr="00CF3673" w:rsidRDefault="00682A88" w:rsidP="00682A88">
            <w:pPr>
              <w:jc w:val="center"/>
            </w:pPr>
            <w:r w:rsidRPr="00CF3673">
              <w:t>1</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Vestuário e Calçados</w:t>
            </w:r>
          </w:p>
        </w:tc>
        <w:tc>
          <w:tcPr>
            <w:tcW w:w="0" w:type="auto"/>
            <w:tcBorders>
              <w:top w:val="nil"/>
              <w:bottom w:val="nil"/>
            </w:tcBorders>
          </w:tcPr>
          <w:p w:rsidR="00682A88" w:rsidRPr="00CF3673" w:rsidRDefault="00682A88" w:rsidP="00682A88">
            <w:pPr>
              <w:jc w:val="center"/>
            </w:pPr>
            <w:r w:rsidRPr="00CF3673">
              <w:t>-16.5</w:t>
            </w:r>
          </w:p>
        </w:tc>
        <w:tc>
          <w:tcPr>
            <w:tcW w:w="0" w:type="auto"/>
            <w:tcBorders>
              <w:top w:val="nil"/>
              <w:bottom w:val="nil"/>
            </w:tcBorders>
            <w:noWrap/>
            <w:hideMark/>
          </w:tcPr>
          <w:p w:rsidR="00682A88" w:rsidRPr="00CF3673" w:rsidRDefault="00682A88" w:rsidP="00682A88">
            <w:pPr>
              <w:jc w:val="center"/>
            </w:pPr>
            <w:r w:rsidRPr="00CF3673">
              <w:t>-20.0</w:t>
            </w:r>
          </w:p>
        </w:tc>
        <w:tc>
          <w:tcPr>
            <w:tcW w:w="0" w:type="auto"/>
            <w:tcBorders>
              <w:top w:val="nil"/>
              <w:bottom w:val="nil"/>
            </w:tcBorders>
            <w:noWrap/>
            <w:hideMark/>
          </w:tcPr>
          <w:p w:rsidR="00682A88" w:rsidRPr="00CF3673" w:rsidRDefault="00682A88" w:rsidP="00682A88">
            <w:pPr>
              <w:jc w:val="center"/>
            </w:pPr>
            <w:r w:rsidRPr="00CF3673">
              <w:t>-14.3</w:t>
            </w:r>
          </w:p>
        </w:tc>
        <w:tc>
          <w:tcPr>
            <w:tcW w:w="0" w:type="auto"/>
            <w:tcBorders>
              <w:top w:val="nil"/>
              <w:bottom w:val="nil"/>
            </w:tcBorders>
            <w:noWrap/>
            <w:hideMark/>
          </w:tcPr>
          <w:p w:rsidR="00682A88" w:rsidRPr="00CF3673" w:rsidRDefault="00682A88" w:rsidP="00682A88">
            <w:pPr>
              <w:jc w:val="center"/>
            </w:pPr>
            <w:r w:rsidRPr="00CF3673">
              <w:t>34</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Madeira e Papel</w:t>
            </w:r>
          </w:p>
        </w:tc>
        <w:tc>
          <w:tcPr>
            <w:tcW w:w="0" w:type="auto"/>
            <w:tcBorders>
              <w:top w:val="nil"/>
              <w:bottom w:val="nil"/>
            </w:tcBorders>
          </w:tcPr>
          <w:p w:rsidR="00682A88" w:rsidRPr="00CF3673" w:rsidRDefault="00682A88" w:rsidP="00682A88">
            <w:pPr>
              <w:jc w:val="center"/>
            </w:pPr>
            <w:r w:rsidRPr="00CF3673">
              <w:t>32.0</w:t>
            </w:r>
          </w:p>
        </w:tc>
        <w:tc>
          <w:tcPr>
            <w:tcW w:w="0" w:type="auto"/>
            <w:tcBorders>
              <w:top w:val="nil"/>
              <w:bottom w:val="nil"/>
            </w:tcBorders>
            <w:noWrap/>
            <w:hideMark/>
          </w:tcPr>
          <w:p w:rsidR="00682A88" w:rsidRPr="00CF3673" w:rsidRDefault="00682A88" w:rsidP="00682A88">
            <w:pPr>
              <w:jc w:val="center"/>
            </w:pPr>
            <w:r w:rsidRPr="00CF3673">
              <w:t>-3.3</w:t>
            </w:r>
          </w:p>
        </w:tc>
        <w:tc>
          <w:tcPr>
            <w:tcW w:w="0" w:type="auto"/>
            <w:tcBorders>
              <w:top w:val="nil"/>
              <w:bottom w:val="nil"/>
            </w:tcBorders>
            <w:noWrap/>
            <w:hideMark/>
          </w:tcPr>
          <w:p w:rsidR="00682A88" w:rsidRPr="00CF3673" w:rsidRDefault="00682A88" w:rsidP="00682A88">
            <w:pPr>
              <w:jc w:val="center"/>
            </w:pPr>
            <w:r w:rsidRPr="00CF3673">
              <w:t>6.7</w:t>
            </w:r>
          </w:p>
        </w:tc>
        <w:tc>
          <w:tcPr>
            <w:tcW w:w="0" w:type="auto"/>
            <w:tcBorders>
              <w:top w:val="nil"/>
              <w:bottom w:val="nil"/>
            </w:tcBorders>
            <w:noWrap/>
            <w:hideMark/>
          </w:tcPr>
          <w:p w:rsidR="00682A88" w:rsidRPr="00CF3673" w:rsidRDefault="00682A88" w:rsidP="00682A88">
            <w:pPr>
              <w:jc w:val="center"/>
            </w:pPr>
            <w:r w:rsidRPr="00CF3673">
              <w:t>18</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Edição e Impressão</w:t>
            </w:r>
          </w:p>
        </w:tc>
        <w:tc>
          <w:tcPr>
            <w:tcW w:w="0" w:type="auto"/>
            <w:tcBorders>
              <w:top w:val="nil"/>
              <w:bottom w:val="nil"/>
            </w:tcBorders>
          </w:tcPr>
          <w:p w:rsidR="00682A88" w:rsidRPr="00CF3673" w:rsidRDefault="00682A88" w:rsidP="00682A88">
            <w:pPr>
              <w:jc w:val="center"/>
            </w:pPr>
            <w:r w:rsidRPr="00CF3673">
              <w:t>-10.5</w:t>
            </w:r>
          </w:p>
        </w:tc>
        <w:tc>
          <w:tcPr>
            <w:tcW w:w="0" w:type="auto"/>
            <w:tcBorders>
              <w:top w:val="nil"/>
              <w:bottom w:val="nil"/>
            </w:tcBorders>
            <w:noWrap/>
            <w:hideMark/>
          </w:tcPr>
          <w:p w:rsidR="00682A88" w:rsidRPr="00CF3673" w:rsidRDefault="00682A88" w:rsidP="00682A88">
            <w:pPr>
              <w:jc w:val="center"/>
            </w:pPr>
            <w:r w:rsidRPr="00CF3673">
              <w:t>1.3</w:t>
            </w:r>
          </w:p>
        </w:tc>
        <w:tc>
          <w:tcPr>
            <w:tcW w:w="0" w:type="auto"/>
            <w:tcBorders>
              <w:top w:val="nil"/>
              <w:bottom w:val="nil"/>
            </w:tcBorders>
            <w:noWrap/>
            <w:hideMark/>
          </w:tcPr>
          <w:p w:rsidR="00682A88" w:rsidRPr="00CF3673" w:rsidRDefault="00682A88" w:rsidP="00682A88">
            <w:pPr>
              <w:jc w:val="center"/>
            </w:pPr>
            <w:r w:rsidRPr="00CF3673">
              <w:t>8.6</w:t>
            </w:r>
          </w:p>
        </w:tc>
        <w:tc>
          <w:tcPr>
            <w:tcW w:w="0" w:type="auto"/>
            <w:tcBorders>
              <w:top w:val="nil"/>
              <w:bottom w:val="nil"/>
            </w:tcBorders>
            <w:noWrap/>
            <w:hideMark/>
          </w:tcPr>
          <w:p w:rsidR="00682A88" w:rsidRPr="00CF3673" w:rsidRDefault="00682A88" w:rsidP="00682A88">
            <w:pPr>
              <w:jc w:val="center"/>
            </w:pPr>
            <w:r w:rsidRPr="00CF3673">
              <w:t>3</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Produtos Químicos, Borracha, Plástico</w:t>
            </w:r>
          </w:p>
        </w:tc>
        <w:tc>
          <w:tcPr>
            <w:tcW w:w="0" w:type="auto"/>
            <w:tcBorders>
              <w:top w:val="nil"/>
              <w:bottom w:val="nil"/>
            </w:tcBorders>
          </w:tcPr>
          <w:p w:rsidR="00682A88" w:rsidRPr="00CF3673" w:rsidRDefault="00682A88" w:rsidP="00682A88">
            <w:pPr>
              <w:jc w:val="center"/>
            </w:pPr>
            <w:r w:rsidRPr="00CF3673">
              <w:t>27.8</w:t>
            </w:r>
          </w:p>
        </w:tc>
        <w:tc>
          <w:tcPr>
            <w:tcW w:w="0" w:type="auto"/>
            <w:tcBorders>
              <w:top w:val="nil"/>
              <w:bottom w:val="nil"/>
            </w:tcBorders>
            <w:noWrap/>
            <w:hideMark/>
          </w:tcPr>
          <w:p w:rsidR="00682A88" w:rsidRPr="00CF3673" w:rsidRDefault="00682A88" w:rsidP="00682A88">
            <w:pPr>
              <w:jc w:val="center"/>
            </w:pPr>
            <w:r w:rsidRPr="00CF3673">
              <w:t>-17.0</w:t>
            </w:r>
          </w:p>
        </w:tc>
        <w:tc>
          <w:tcPr>
            <w:tcW w:w="0" w:type="auto"/>
            <w:tcBorders>
              <w:top w:val="nil"/>
              <w:bottom w:val="nil"/>
            </w:tcBorders>
            <w:noWrap/>
            <w:hideMark/>
          </w:tcPr>
          <w:p w:rsidR="00682A88" w:rsidRPr="00CF3673" w:rsidRDefault="00682A88" w:rsidP="00682A88">
            <w:pPr>
              <w:jc w:val="center"/>
            </w:pPr>
            <w:r w:rsidRPr="00CF3673">
              <w:t>4.5</w:t>
            </w:r>
          </w:p>
        </w:tc>
        <w:tc>
          <w:tcPr>
            <w:tcW w:w="0" w:type="auto"/>
            <w:tcBorders>
              <w:top w:val="nil"/>
              <w:bottom w:val="nil"/>
            </w:tcBorders>
            <w:noWrap/>
            <w:hideMark/>
          </w:tcPr>
          <w:p w:rsidR="00682A88" w:rsidRPr="00CF3673" w:rsidRDefault="00682A88" w:rsidP="00682A88">
            <w:pPr>
              <w:jc w:val="center"/>
            </w:pPr>
            <w:r w:rsidRPr="00CF3673">
              <w:t>10</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Minerais não metálicos</w:t>
            </w:r>
          </w:p>
        </w:tc>
        <w:tc>
          <w:tcPr>
            <w:tcW w:w="0" w:type="auto"/>
            <w:tcBorders>
              <w:top w:val="nil"/>
              <w:bottom w:val="nil"/>
            </w:tcBorders>
          </w:tcPr>
          <w:p w:rsidR="00682A88" w:rsidRPr="00CF3673" w:rsidRDefault="00682A88" w:rsidP="00682A88">
            <w:pPr>
              <w:jc w:val="center"/>
            </w:pPr>
            <w:r w:rsidRPr="00CF3673">
              <w:t>6.3</w:t>
            </w:r>
          </w:p>
        </w:tc>
        <w:tc>
          <w:tcPr>
            <w:tcW w:w="0" w:type="auto"/>
            <w:tcBorders>
              <w:top w:val="nil"/>
              <w:bottom w:val="nil"/>
            </w:tcBorders>
            <w:noWrap/>
            <w:hideMark/>
          </w:tcPr>
          <w:p w:rsidR="00682A88" w:rsidRPr="00CF3673" w:rsidRDefault="00682A88" w:rsidP="00682A88">
            <w:pPr>
              <w:jc w:val="center"/>
            </w:pPr>
            <w:r w:rsidRPr="00CF3673">
              <w:t>12.0</w:t>
            </w:r>
          </w:p>
        </w:tc>
        <w:tc>
          <w:tcPr>
            <w:tcW w:w="0" w:type="auto"/>
            <w:tcBorders>
              <w:top w:val="nil"/>
              <w:bottom w:val="nil"/>
            </w:tcBorders>
            <w:noWrap/>
            <w:hideMark/>
          </w:tcPr>
          <w:p w:rsidR="00682A88" w:rsidRPr="00CF3673" w:rsidRDefault="00682A88" w:rsidP="00682A88">
            <w:pPr>
              <w:jc w:val="center"/>
            </w:pPr>
            <w:r w:rsidRPr="00CF3673">
              <w:t>24.0</w:t>
            </w:r>
          </w:p>
        </w:tc>
        <w:tc>
          <w:tcPr>
            <w:tcW w:w="0" w:type="auto"/>
            <w:tcBorders>
              <w:top w:val="nil"/>
              <w:bottom w:val="nil"/>
            </w:tcBorders>
            <w:noWrap/>
            <w:hideMark/>
          </w:tcPr>
          <w:p w:rsidR="00682A88" w:rsidRPr="00CF3673" w:rsidRDefault="00682A88" w:rsidP="00682A88">
            <w:pPr>
              <w:jc w:val="center"/>
            </w:pPr>
            <w:r w:rsidRPr="00CF3673">
              <w:t>9</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Produtos Metálicos</w:t>
            </w:r>
          </w:p>
        </w:tc>
        <w:tc>
          <w:tcPr>
            <w:tcW w:w="0" w:type="auto"/>
            <w:tcBorders>
              <w:top w:val="nil"/>
              <w:bottom w:val="nil"/>
            </w:tcBorders>
          </w:tcPr>
          <w:p w:rsidR="00682A88" w:rsidRPr="00CF3673" w:rsidRDefault="00682A88" w:rsidP="00682A88">
            <w:pPr>
              <w:jc w:val="center"/>
            </w:pPr>
            <w:r w:rsidRPr="00CF3673">
              <w:t>-18.2</w:t>
            </w:r>
          </w:p>
        </w:tc>
        <w:tc>
          <w:tcPr>
            <w:tcW w:w="0" w:type="auto"/>
            <w:tcBorders>
              <w:top w:val="nil"/>
              <w:bottom w:val="nil"/>
            </w:tcBorders>
            <w:noWrap/>
            <w:hideMark/>
          </w:tcPr>
          <w:p w:rsidR="00682A88" w:rsidRPr="00CF3673" w:rsidRDefault="00682A88" w:rsidP="00682A88">
            <w:pPr>
              <w:jc w:val="center"/>
            </w:pPr>
            <w:r w:rsidRPr="00CF3673">
              <w:t>-27.5</w:t>
            </w:r>
          </w:p>
        </w:tc>
        <w:tc>
          <w:tcPr>
            <w:tcW w:w="0" w:type="auto"/>
            <w:tcBorders>
              <w:top w:val="nil"/>
              <w:bottom w:val="nil"/>
            </w:tcBorders>
            <w:noWrap/>
            <w:hideMark/>
          </w:tcPr>
          <w:p w:rsidR="00682A88" w:rsidRPr="00CF3673" w:rsidRDefault="00682A88" w:rsidP="00682A88">
            <w:pPr>
              <w:jc w:val="center"/>
            </w:pPr>
            <w:r w:rsidRPr="00CF3673">
              <w:t>4.4</w:t>
            </w:r>
          </w:p>
        </w:tc>
        <w:tc>
          <w:tcPr>
            <w:tcW w:w="0" w:type="auto"/>
            <w:tcBorders>
              <w:top w:val="nil"/>
              <w:bottom w:val="nil"/>
            </w:tcBorders>
            <w:noWrap/>
            <w:hideMark/>
          </w:tcPr>
          <w:p w:rsidR="00682A88" w:rsidRPr="00CF3673" w:rsidRDefault="00682A88" w:rsidP="00682A88">
            <w:pPr>
              <w:jc w:val="center"/>
            </w:pPr>
            <w:r w:rsidRPr="00CF3673">
              <w:t>57</w:t>
            </w:r>
          </w:p>
        </w:tc>
      </w:tr>
      <w:tr w:rsidR="00682A88" w:rsidRPr="00CF3673" w:rsidTr="00682A88">
        <w:trPr>
          <w:trHeight w:val="300"/>
          <w:jc w:val="center"/>
        </w:trPr>
        <w:tc>
          <w:tcPr>
            <w:tcW w:w="0" w:type="auto"/>
            <w:tcBorders>
              <w:top w:val="nil"/>
            </w:tcBorders>
            <w:noWrap/>
            <w:hideMark/>
          </w:tcPr>
          <w:p w:rsidR="00682A88" w:rsidRPr="00CF3673" w:rsidRDefault="00682A88" w:rsidP="00682A88">
            <w:r w:rsidRPr="00CF3673">
              <w:t>Maquinaria etc.</w:t>
            </w:r>
          </w:p>
        </w:tc>
        <w:tc>
          <w:tcPr>
            <w:tcW w:w="0" w:type="auto"/>
            <w:tcBorders>
              <w:top w:val="nil"/>
            </w:tcBorders>
          </w:tcPr>
          <w:p w:rsidR="00682A88" w:rsidRPr="00CF3673" w:rsidRDefault="00682A88" w:rsidP="00682A88">
            <w:pPr>
              <w:jc w:val="center"/>
            </w:pPr>
            <w:r w:rsidRPr="00CF3673">
              <w:t>-26.1</w:t>
            </w:r>
          </w:p>
        </w:tc>
        <w:tc>
          <w:tcPr>
            <w:tcW w:w="0" w:type="auto"/>
            <w:tcBorders>
              <w:top w:val="nil"/>
            </w:tcBorders>
            <w:noWrap/>
            <w:hideMark/>
          </w:tcPr>
          <w:p w:rsidR="00682A88" w:rsidRPr="00CF3673" w:rsidRDefault="00682A88" w:rsidP="00682A88">
            <w:pPr>
              <w:jc w:val="center"/>
            </w:pPr>
            <w:r w:rsidRPr="00CF3673">
              <w:t>-34.3</w:t>
            </w:r>
          </w:p>
        </w:tc>
        <w:tc>
          <w:tcPr>
            <w:tcW w:w="0" w:type="auto"/>
            <w:tcBorders>
              <w:top w:val="nil"/>
            </w:tcBorders>
            <w:noWrap/>
            <w:hideMark/>
          </w:tcPr>
          <w:p w:rsidR="00682A88" w:rsidRPr="00CF3673" w:rsidRDefault="00682A88" w:rsidP="00682A88">
            <w:pPr>
              <w:jc w:val="center"/>
            </w:pPr>
            <w:r w:rsidRPr="00CF3673">
              <w:t>-7.4</w:t>
            </w:r>
          </w:p>
        </w:tc>
        <w:tc>
          <w:tcPr>
            <w:tcW w:w="0" w:type="auto"/>
            <w:tcBorders>
              <w:top w:val="nil"/>
            </w:tcBorders>
            <w:noWrap/>
            <w:hideMark/>
          </w:tcPr>
          <w:p w:rsidR="00682A88" w:rsidRPr="00CF3673" w:rsidRDefault="00682A88" w:rsidP="00682A88">
            <w:pPr>
              <w:jc w:val="center"/>
            </w:pPr>
            <w:r w:rsidRPr="00CF3673">
              <w:t>4</w:t>
            </w:r>
          </w:p>
        </w:tc>
      </w:tr>
      <w:tr w:rsidR="00682A88" w:rsidRPr="00CF3673" w:rsidTr="00682A88">
        <w:trPr>
          <w:trHeight w:val="300"/>
          <w:jc w:val="center"/>
        </w:trPr>
        <w:tc>
          <w:tcPr>
            <w:tcW w:w="0" w:type="auto"/>
            <w:tcBorders>
              <w:bottom w:val="double" w:sz="4" w:space="0" w:color="auto"/>
            </w:tcBorders>
            <w:noWrap/>
            <w:hideMark/>
          </w:tcPr>
          <w:p w:rsidR="00682A88" w:rsidRPr="00CF3673" w:rsidRDefault="00682A88" w:rsidP="00682A88">
            <w:r w:rsidRPr="00CF3673">
              <w:t>Mobiliário e indústrias transformadoras</w:t>
            </w:r>
          </w:p>
        </w:tc>
        <w:tc>
          <w:tcPr>
            <w:tcW w:w="0" w:type="auto"/>
            <w:tcBorders>
              <w:bottom w:val="double" w:sz="4" w:space="0" w:color="auto"/>
            </w:tcBorders>
          </w:tcPr>
          <w:p w:rsidR="00682A88" w:rsidRPr="00CF3673" w:rsidRDefault="00682A88" w:rsidP="00682A88">
            <w:pPr>
              <w:jc w:val="center"/>
            </w:pPr>
            <w:r w:rsidRPr="00CF3673">
              <w:t>-31.5</w:t>
            </w:r>
          </w:p>
        </w:tc>
        <w:tc>
          <w:tcPr>
            <w:tcW w:w="0" w:type="auto"/>
            <w:tcBorders>
              <w:bottom w:val="double" w:sz="4" w:space="0" w:color="auto"/>
            </w:tcBorders>
            <w:noWrap/>
            <w:hideMark/>
          </w:tcPr>
          <w:p w:rsidR="00682A88" w:rsidRPr="00CF3673" w:rsidRDefault="00682A88" w:rsidP="00682A88">
            <w:pPr>
              <w:jc w:val="center"/>
            </w:pPr>
            <w:r w:rsidRPr="00CF3673">
              <w:t>-40.0</w:t>
            </w:r>
          </w:p>
        </w:tc>
        <w:tc>
          <w:tcPr>
            <w:tcW w:w="0" w:type="auto"/>
            <w:tcBorders>
              <w:bottom w:val="double" w:sz="4" w:space="0" w:color="auto"/>
            </w:tcBorders>
            <w:noWrap/>
            <w:hideMark/>
          </w:tcPr>
          <w:p w:rsidR="00682A88" w:rsidRPr="00CF3673" w:rsidRDefault="00682A88" w:rsidP="00682A88">
            <w:pPr>
              <w:jc w:val="center"/>
            </w:pPr>
            <w:r w:rsidRPr="00CF3673">
              <w:t>-37.2</w:t>
            </w:r>
          </w:p>
        </w:tc>
        <w:tc>
          <w:tcPr>
            <w:tcW w:w="0" w:type="auto"/>
            <w:tcBorders>
              <w:bottom w:val="double" w:sz="4" w:space="0" w:color="auto"/>
            </w:tcBorders>
            <w:noWrap/>
            <w:hideMark/>
          </w:tcPr>
          <w:p w:rsidR="00682A88" w:rsidRPr="00CF3673" w:rsidRDefault="00682A88" w:rsidP="00682A88">
            <w:pPr>
              <w:jc w:val="center"/>
            </w:pPr>
            <w:r w:rsidRPr="00CF3673">
              <w:t>39</w:t>
            </w:r>
          </w:p>
        </w:tc>
      </w:tr>
      <w:tr w:rsidR="00682A88" w:rsidRPr="00CF3673" w:rsidTr="00682A88">
        <w:trPr>
          <w:trHeight w:val="300"/>
          <w:jc w:val="center"/>
        </w:trPr>
        <w:tc>
          <w:tcPr>
            <w:tcW w:w="0" w:type="auto"/>
            <w:gridSpan w:val="5"/>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 No </w:t>
            </w:r>
            <w:r w:rsidR="00B20E4D" w:rsidRPr="00CF3673">
              <w:rPr>
                <w:lang w:val="pt-PT"/>
              </w:rPr>
              <w:t>cálculo</w:t>
            </w:r>
            <w:r w:rsidRPr="00CF3673">
              <w:rPr>
                <w:lang w:val="pt-PT"/>
              </w:rPr>
              <w:t xml:space="preserve"> das taxas médias de crescimento, o 1º e 100º percentis são excluídos.</w:t>
            </w:r>
          </w:p>
        </w:tc>
      </w:tr>
      <w:tr w:rsidR="00682A88" w:rsidRPr="00CF3673" w:rsidTr="00682A88">
        <w:trPr>
          <w:trHeight w:val="300"/>
          <w:jc w:val="center"/>
        </w:trPr>
        <w:tc>
          <w:tcPr>
            <w:tcW w:w="0" w:type="auto"/>
            <w:gridSpan w:val="5"/>
            <w:tcBorders>
              <w:top w:val="nil"/>
              <w:bottom w:val="nil"/>
            </w:tcBorders>
            <w:noWrap/>
          </w:tcPr>
          <w:p w:rsidR="00682A88" w:rsidRPr="00CF3673" w:rsidRDefault="00682A88" w:rsidP="00682A88">
            <w:pPr>
              <w:pStyle w:val="Tablenote"/>
              <w:rPr>
                <w:b/>
                <w:lang w:val="pt-PT"/>
              </w:rPr>
            </w:pPr>
            <w:r w:rsidRPr="00CF3673">
              <w:rPr>
                <w:b/>
                <w:lang w:val="pt-PT"/>
              </w:rPr>
              <w:t xml:space="preserve">Fonte: </w:t>
            </w:r>
            <w:r w:rsidRPr="00CF3673">
              <w:rPr>
                <w:lang w:val="pt-PT"/>
              </w:rPr>
              <w:t xml:space="preserve">Cálculos próprios </w:t>
            </w:r>
            <w:r w:rsidR="00B20E4D" w:rsidRPr="00CF3673">
              <w:rPr>
                <w:lang w:val="pt-PT"/>
              </w:rPr>
              <w:t>usando IIM</w:t>
            </w:r>
            <w:r w:rsidRPr="00CF3673">
              <w:rPr>
                <w:lang w:val="pt-PT"/>
              </w:rPr>
              <w:t xml:space="preserve"> 2012, DNEAP (2006) e ICA (2009).</w:t>
            </w:r>
          </w:p>
        </w:tc>
      </w:tr>
    </w:tbl>
    <w:p w:rsidR="00682A88" w:rsidRPr="00CF3673" w:rsidRDefault="00682A88" w:rsidP="00682A88">
      <w:pPr>
        <w:spacing w:line="360" w:lineRule="auto"/>
        <w:jc w:val="both"/>
      </w:pPr>
    </w:p>
    <w:p w:rsidR="00682A88" w:rsidRPr="00CF3673" w:rsidRDefault="00AD45B9" w:rsidP="00682A88">
      <w:pPr>
        <w:spacing w:line="360" w:lineRule="auto"/>
        <w:jc w:val="both"/>
      </w:pPr>
      <w:r w:rsidRPr="00CF3673">
        <w:t xml:space="preserve">Passando da análise de tabulação para a </w:t>
      </w:r>
      <w:r w:rsidR="00B20E4D" w:rsidRPr="00CF3673">
        <w:t>multivariável</w:t>
      </w:r>
      <w:r w:rsidRPr="00CF3673">
        <w:t xml:space="preserve">, a tabela 3.5 apresenta resultados duma </w:t>
      </w:r>
      <w:r w:rsidR="00B20E4D" w:rsidRPr="00CF3673">
        <w:t>regressão</w:t>
      </w:r>
      <w:r w:rsidRPr="00CF3673">
        <w:t xml:space="preserve"> </w:t>
      </w:r>
      <w:r w:rsidR="00B20E4D" w:rsidRPr="00CF3673">
        <w:t>básica</w:t>
      </w:r>
      <w:r w:rsidRPr="00CF3673">
        <w:t xml:space="preserve"> OLS sobre crescimento de emprego. Na primeira especificação da regressão é corrida com toda amostra e na segunda regressão ela é corrida com exclusão de </w:t>
      </w:r>
      <w:proofErr w:type="spellStart"/>
      <w:r w:rsidRPr="00CF3673">
        <w:t>outliers</w:t>
      </w:r>
      <w:proofErr w:type="spellEnd"/>
      <w:r w:rsidR="00682A88" w:rsidRPr="00CF3673">
        <w:rPr>
          <w:rStyle w:val="FootnoteReference"/>
        </w:rPr>
        <w:footnoteReference w:id="17"/>
      </w:r>
      <w:r w:rsidR="00682A88" w:rsidRPr="00CF3673">
        <w:t>.</w:t>
      </w:r>
    </w:p>
    <w:p w:rsidR="00682A88" w:rsidRPr="00CF3673" w:rsidRDefault="00682A88" w:rsidP="00682A88">
      <w:pPr>
        <w:spacing w:line="360" w:lineRule="auto"/>
        <w:jc w:val="both"/>
      </w:pPr>
      <w:r w:rsidRPr="00CF3673">
        <w:t xml:space="preserve">De acordo com a tabela 3.5 apenas alguns dos determinantes padrão de crescimento do emprego são encontrados para ser estatisticamente significativos. No entanto, a estimativa do coeficiente implica que as empresas menores e mais antigas experimentaram taxas mais elevadas de crescimento do emprego (não significativo). Além disso, as empresas formais e empresas lideradas por gerentes com maior nível de escolaridade cresceram mais rápido (não significativo). Ao contrário do que os resultados baseados na pesquisa do DNEAP (2006), uma relação positiva e estatisticamente significativa é encontrada entre a </w:t>
      </w:r>
      <w:r w:rsidRPr="00CF3673">
        <w:lastRenderedPageBreak/>
        <w:t xml:space="preserve">propriedade estrangeira e crescimento do emprego: a propriedade estrangeira no crescimento médio do emprego aumentou entre 33-35%. Isto está de acordo com </w:t>
      </w:r>
      <w:proofErr w:type="spellStart"/>
      <w:r w:rsidRPr="00CF3673">
        <w:t>Ramachandran</w:t>
      </w:r>
      <w:proofErr w:type="spellEnd"/>
      <w:r w:rsidRPr="00CF3673">
        <w:t xml:space="preserve"> e </w:t>
      </w:r>
      <w:proofErr w:type="spellStart"/>
      <w:r w:rsidRPr="00CF3673">
        <w:t>Shah</w:t>
      </w:r>
      <w:proofErr w:type="spellEnd"/>
      <w:r w:rsidRPr="00CF3673">
        <w:t xml:space="preserve"> (1999) que também acham que a minoria (ou </w:t>
      </w:r>
      <w:r w:rsidR="00AD45B9" w:rsidRPr="00CF3673">
        <w:t>não-indígena)</w:t>
      </w:r>
      <w:r w:rsidRPr="00CF3673">
        <w:t xml:space="preserve"> dos empresários cresce significativamente mais rápido do que as empresas africanas indígenas.</w:t>
      </w:r>
    </w:p>
    <w:p w:rsidR="00682A88" w:rsidRPr="00CF3673" w:rsidRDefault="00682A88" w:rsidP="00682A88">
      <w:pPr>
        <w:spacing w:line="360" w:lineRule="auto"/>
        <w:jc w:val="both"/>
      </w:pPr>
      <w:r w:rsidRPr="00CF3673">
        <w:t>Ter uma outra configuração legal do que sociedade unipessoal está negativamente correlacionada com o crescimento, e ao mesmo tempo o efeito é mais insignificante; as sociedades de responsabilidade limitada têm uma taxa de crescimento significativamente menor na especificação sem desvios. Com relação às regiões, as empresas na Beira, Nampula e Nacala parecem ter taxas de crescimento mais elevadas do que as empresas de Maputo, mas novamente o efeito é raramente bem determinado. Como mencionado anteriormente, as empresas do sector de alimentos estão crescendo mais rápido, na especificação sem valores discrepantes, o sector de alimentos teve uma estimativa de taxa de crescimento significativamente maior do que os sectores de têxteis, vestuário, metais e mobiliário.</w:t>
      </w:r>
    </w:p>
    <w:p w:rsidR="00682A88" w:rsidRPr="00CF3673" w:rsidRDefault="00682A88" w:rsidP="00682A88">
      <w:pPr>
        <w:spacing w:line="240" w:lineRule="auto"/>
        <w:jc w:val="both"/>
        <w:rPr>
          <w:b/>
        </w:rPr>
      </w:pPr>
      <w:r w:rsidRPr="00CF3673">
        <w:rPr>
          <w:b/>
        </w:rPr>
        <w:t>Tabela 3.</w:t>
      </w:r>
      <w:r w:rsidR="00B20E4D" w:rsidRPr="00CF3673">
        <w:rPr>
          <w:b/>
        </w:rPr>
        <w:t>5:</w:t>
      </w:r>
      <w:r w:rsidRPr="00CF3673">
        <w:rPr>
          <w:b/>
        </w:rPr>
        <w:t xml:space="preserve"> Determinantes do crescimento do emprego </w:t>
      </w:r>
      <w:r w:rsidR="00AD45B9" w:rsidRPr="00CF3673">
        <w:rPr>
          <w:b/>
        </w:rPr>
        <w:t>2006-2011,</w:t>
      </w:r>
      <w:r w:rsidRPr="00CF3673">
        <w:rPr>
          <w:b/>
        </w:rPr>
        <w:t xml:space="preserve"> regressão</w:t>
      </w:r>
      <w:r w:rsidR="00AD45B9" w:rsidRPr="00CF3673">
        <w:rPr>
          <w:b/>
        </w:rPr>
        <w:t xml:space="preserve"> OLS</w:t>
      </w:r>
    </w:p>
    <w:tbl>
      <w:tblPr>
        <w:tblW w:w="0" w:type="auto"/>
        <w:jc w:val="center"/>
        <w:tblInd w:w="-1133" w:type="dxa"/>
        <w:tblLayout w:type="fixed"/>
        <w:tblCellMar>
          <w:left w:w="144" w:type="dxa"/>
          <w:right w:w="144" w:type="dxa"/>
        </w:tblCellMar>
        <w:tblLook w:val="0000" w:firstRow="0" w:lastRow="0" w:firstColumn="0" w:lastColumn="0" w:noHBand="0" w:noVBand="0"/>
      </w:tblPr>
      <w:tblGrid>
        <w:gridCol w:w="3093"/>
        <w:gridCol w:w="1836"/>
        <w:gridCol w:w="2362"/>
      </w:tblGrid>
      <w:tr w:rsidR="00682A88" w:rsidRPr="00CF3673" w:rsidTr="00682A88">
        <w:trPr>
          <w:jc w:val="center"/>
        </w:trPr>
        <w:tc>
          <w:tcPr>
            <w:tcW w:w="3093" w:type="dxa"/>
            <w:tcBorders>
              <w:top w:val="double" w:sz="4" w:space="0" w:color="auto"/>
              <w:left w:val="nil"/>
              <w:bottom w:val="single" w:sz="6" w:space="0" w:color="auto"/>
              <w:right w:val="nil"/>
            </w:tcBorders>
          </w:tcPr>
          <w:p w:rsidR="00682A88" w:rsidRPr="00CF3673" w:rsidRDefault="00682A88" w:rsidP="00682A88">
            <w:pPr>
              <w:widowControl w:val="0"/>
              <w:autoSpaceDE w:val="0"/>
              <w:autoSpaceDN w:val="0"/>
              <w:adjustRightInd w:val="0"/>
              <w:spacing w:before="66" w:after="66" w:line="240" w:lineRule="auto"/>
              <w:rPr>
                <w:rFonts w:ascii="Calibri" w:hAnsi="Calibri" w:cs="Calibri"/>
                <w:sz w:val="20"/>
                <w:szCs w:val="20"/>
              </w:rPr>
            </w:pPr>
          </w:p>
        </w:tc>
        <w:tc>
          <w:tcPr>
            <w:tcW w:w="1836" w:type="dxa"/>
            <w:tcBorders>
              <w:top w:val="double" w:sz="4" w:space="0" w:color="auto"/>
              <w:left w:val="nil"/>
              <w:bottom w:val="single" w:sz="6" w:space="0" w:color="auto"/>
              <w:right w:val="nil"/>
            </w:tcBorders>
          </w:tcPr>
          <w:p w:rsidR="00682A88" w:rsidRPr="00CF3673" w:rsidRDefault="00682A88" w:rsidP="00682A88">
            <w:pPr>
              <w:widowControl w:val="0"/>
              <w:autoSpaceDE w:val="0"/>
              <w:autoSpaceDN w:val="0"/>
              <w:adjustRightInd w:val="0"/>
              <w:spacing w:before="66" w:after="66" w:line="240" w:lineRule="auto"/>
              <w:rPr>
                <w:rFonts w:ascii="Calibri" w:hAnsi="Calibri" w:cs="Calibri"/>
                <w:sz w:val="20"/>
                <w:szCs w:val="20"/>
              </w:rPr>
            </w:pPr>
            <w:r w:rsidRPr="00CF3673">
              <w:rPr>
                <w:rFonts w:ascii="Calibri" w:hAnsi="Calibri" w:cs="Calibri"/>
                <w:sz w:val="20"/>
                <w:szCs w:val="20"/>
              </w:rPr>
              <w:t>(1) Amostra Completa</w:t>
            </w:r>
          </w:p>
        </w:tc>
        <w:tc>
          <w:tcPr>
            <w:tcW w:w="2362" w:type="dxa"/>
            <w:tcBorders>
              <w:top w:val="double" w:sz="4" w:space="0" w:color="auto"/>
              <w:left w:val="nil"/>
              <w:bottom w:val="single" w:sz="6" w:space="0" w:color="auto"/>
              <w:right w:val="nil"/>
            </w:tcBorders>
          </w:tcPr>
          <w:p w:rsidR="00682A88" w:rsidRPr="00CF3673" w:rsidRDefault="00682A88" w:rsidP="00682A88">
            <w:pPr>
              <w:widowControl w:val="0"/>
              <w:autoSpaceDE w:val="0"/>
              <w:autoSpaceDN w:val="0"/>
              <w:adjustRightInd w:val="0"/>
              <w:spacing w:before="66" w:after="66" w:line="240" w:lineRule="auto"/>
              <w:rPr>
                <w:rFonts w:ascii="Calibri" w:hAnsi="Calibri" w:cs="Calibri"/>
                <w:sz w:val="20"/>
                <w:szCs w:val="20"/>
              </w:rPr>
            </w:pPr>
            <w:r w:rsidRPr="00CF3673">
              <w:rPr>
                <w:rFonts w:ascii="Calibri" w:hAnsi="Calibri" w:cs="Calibri"/>
                <w:sz w:val="20"/>
                <w:szCs w:val="20"/>
              </w:rPr>
              <w:t xml:space="preserve">(2) </w:t>
            </w:r>
            <w:r w:rsidRPr="00CF3673">
              <w:rPr>
                <w:rFonts w:ascii="Calibri" w:hAnsi="Calibri" w:cs="Calibri"/>
                <w:i/>
                <w:sz w:val="20"/>
                <w:szCs w:val="20"/>
              </w:rPr>
              <w:t xml:space="preserve">No </w:t>
            </w:r>
            <w:proofErr w:type="spellStart"/>
            <w:r w:rsidRPr="00CF3673">
              <w:rPr>
                <w:rFonts w:ascii="Calibri" w:hAnsi="Calibri" w:cs="Calibri"/>
                <w:i/>
                <w:sz w:val="20"/>
                <w:szCs w:val="20"/>
              </w:rPr>
              <w:t>Outliers</w:t>
            </w:r>
            <w:proofErr w:type="spellEnd"/>
          </w:p>
        </w:tc>
      </w:tr>
      <w:tr w:rsidR="00682A88" w:rsidRPr="00CF3673" w:rsidTr="00682A88">
        <w:trPr>
          <w:jc w:val="center"/>
        </w:trPr>
        <w:tc>
          <w:tcPr>
            <w:tcW w:w="3093" w:type="dxa"/>
            <w:tcBorders>
              <w:top w:val="single" w:sz="6" w:space="0" w:color="auto"/>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Log(Tamanho da empresa)</w:t>
            </w:r>
          </w:p>
        </w:tc>
        <w:tc>
          <w:tcPr>
            <w:tcW w:w="1836"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-0.085</w:t>
            </w:r>
          </w:p>
        </w:tc>
        <w:tc>
          <w:tcPr>
            <w:tcW w:w="2362"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-0.014</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(0.87)</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(0.18)</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Log(Idade da empresa)</w:t>
            </w: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0.002</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0.068</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(1.39)</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eastAsia="Times New Roman" w:hAnsi="Calibri" w:cs="Times New Roman"/>
                <w:sz w:val="20"/>
                <w:szCs w:val="20"/>
                <w:lang w:eastAsia="zh-CN"/>
              </w:rPr>
              <w:t>Formal</w:t>
            </w: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0.137</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0.018</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(0.71)</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(0.12)</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Ensino Universitário</w:t>
            </w: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0.278</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0.211</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(1.64)</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(1.34)</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Proprietário Estrangeiro</w:t>
            </w: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0.327**</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0.349**</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(2.07)</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(2.44)</w:t>
            </w:r>
          </w:p>
        </w:tc>
      </w:tr>
      <w:tr w:rsidR="00682A88" w:rsidRPr="00CF3673" w:rsidTr="00682A88">
        <w:trPr>
          <w:jc w:val="center"/>
        </w:trPr>
        <w:tc>
          <w:tcPr>
            <w:tcW w:w="3093" w:type="dxa"/>
            <w:tcBorders>
              <w:top w:val="single" w:sz="6" w:space="0" w:color="auto"/>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Parceria</w:t>
            </w:r>
          </w:p>
        </w:tc>
        <w:tc>
          <w:tcPr>
            <w:tcW w:w="1836"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-0.138</w:t>
            </w:r>
          </w:p>
        </w:tc>
        <w:tc>
          <w:tcPr>
            <w:tcW w:w="2362"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-0.177</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(0.86)</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(1.17)</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Responsabilidade Limitada</w:t>
            </w: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-0.256</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-0.255*</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(1.63)</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(1.79)</w:t>
            </w:r>
          </w:p>
        </w:tc>
      </w:tr>
      <w:tr w:rsidR="00682A88" w:rsidRPr="00CF3673" w:rsidTr="00682A88">
        <w:trPr>
          <w:jc w:val="center"/>
        </w:trPr>
        <w:tc>
          <w:tcPr>
            <w:tcW w:w="3093" w:type="dxa"/>
            <w:tcBorders>
              <w:top w:val="single" w:sz="6" w:space="0" w:color="auto"/>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Matola</w:t>
            </w:r>
          </w:p>
        </w:tc>
        <w:tc>
          <w:tcPr>
            <w:tcW w:w="1836"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-0.060</w:t>
            </w:r>
          </w:p>
        </w:tc>
        <w:tc>
          <w:tcPr>
            <w:tcW w:w="2362"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-0.017</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(0.34)</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(0.09)</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Beira</w:t>
            </w: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0.178</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0.323</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(0.75)</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(1.57)</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Nampula</w:t>
            </w: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0.106</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0.213*</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(0.56)</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(1.67)</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Nacala</w:t>
            </w: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0.803</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0.843</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(1.45)</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(1.57)</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Chimoio</w:t>
            </w: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-0.058</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-0.010</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(0.35)</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(0.08)</w:t>
            </w:r>
          </w:p>
        </w:tc>
      </w:tr>
      <w:tr w:rsidR="00682A88" w:rsidRPr="00CF3673" w:rsidTr="00682A88">
        <w:trPr>
          <w:jc w:val="center"/>
        </w:trPr>
        <w:tc>
          <w:tcPr>
            <w:tcW w:w="3093" w:type="dxa"/>
            <w:tcBorders>
              <w:top w:val="single" w:sz="6" w:space="0" w:color="auto"/>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iCs/>
                <w:sz w:val="20"/>
                <w:szCs w:val="20"/>
              </w:rPr>
              <w:t>R</w:t>
            </w:r>
            <w:r w:rsidRPr="00CF3673">
              <w:rPr>
                <w:rFonts w:ascii="Calibri" w:hAnsi="Calibri" w:cs="Calibri"/>
                <w:sz w:val="20"/>
                <w:szCs w:val="20"/>
                <w:vertAlign w:val="superscript"/>
              </w:rPr>
              <w:t>2</w:t>
            </w:r>
          </w:p>
        </w:tc>
        <w:tc>
          <w:tcPr>
            <w:tcW w:w="1836"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0.08</w:t>
            </w:r>
          </w:p>
        </w:tc>
        <w:tc>
          <w:tcPr>
            <w:tcW w:w="2362"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0.24</w:t>
            </w:r>
          </w:p>
        </w:tc>
      </w:tr>
      <w:tr w:rsidR="00682A88" w:rsidRPr="00CF3673" w:rsidTr="00682A88">
        <w:trPr>
          <w:jc w:val="center"/>
        </w:trPr>
        <w:tc>
          <w:tcPr>
            <w:tcW w:w="3093"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 xml:space="preserve">Sector </w:t>
            </w:r>
            <w:proofErr w:type="spellStart"/>
            <w:r w:rsidRPr="00CF3673">
              <w:rPr>
                <w:rFonts w:ascii="Calibri" w:hAnsi="Calibri" w:cs="Calibri"/>
                <w:sz w:val="20"/>
                <w:szCs w:val="20"/>
              </w:rPr>
              <w:t>dummies</w:t>
            </w:r>
            <w:proofErr w:type="spellEnd"/>
          </w:p>
        </w:tc>
        <w:tc>
          <w:tcPr>
            <w:tcW w:w="1836"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c>
          <w:tcPr>
            <w:tcW w:w="2362"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r>
      <w:tr w:rsidR="00682A88" w:rsidRPr="00CF3673" w:rsidTr="00682A88">
        <w:trPr>
          <w:jc w:val="center"/>
        </w:trPr>
        <w:tc>
          <w:tcPr>
            <w:tcW w:w="3093" w:type="dxa"/>
            <w:tcBorders>
              <w:top w:val="single" w:sz="6" w:space="0" w:color="auto"/>
              <w:left w:val="nil"/>
              <w:bottom w:val="double" w:sz="4" w:space="0" w:color="auto"/>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iCs/>
                <w:sz w:val="20"/>
                <w:szCs w:val="20"/>
              </w:rPr>
              <w:t>Número de obs.</w:t>
            </w:r>
          </w:p>
        </w:tc>
        <w:tc>
          <w:tcPr>
            <w:tcW w:w="1836" w:type="dxa"/>
            <w:tcBorders>
              <w:top w:val="single" w:sz="6" w:space="0" w:color="auto"/>
              <w:left w:val="nil"/>
              <w:bottom w:val="double" w:sz="4" w:space="0" w:color="auto"/>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202</w:t>
            </w:r>
          </w:p>
        </w:tc>
        <w:tc>
          <w:tcPr>
            <w:tcW w:w="2362" w:type="dxa"/>
            <w:tcBorders>
              <w:top w:val="single" w:sz="6" w:space="0" w:color="auto"/>
              <w:left w:val="nil"/>
              <w:bottom w:val="double" w:sz="4" w:space="0" w:color="auto"/>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199</w:t>
            </w:r>
          </w:p>
        </w:tc>
      </w:tr>
      <w:tr w:rsidR="00682A88" w:rsidRPr="00CF3673" w:rsidTr="00682A88">
        <w:trPr>
          <w:jc w:val="center"/>
        </w:trPr>
        <w:tc>
          <w:tcPr>
            <w:tcW w:w="7291" w:type="dxa"/>
            <w:gridSpan w:val="3"/>
            <w:tcBorders>
              <w:top w:val="double" w:sz="4" w:space="0" w:color="auto"/>
              <w:left w:val="nil"/>
              <w:right w:val="nil"/>
            </w:tcBorders>
          </w:tcPr>
          <w:p w:rsidR="00682A88" w:rsidRPr="00CF3673" w:rsidRDefault="00682A88" w:rsidP="00B20E4D">
            <w:pPr>
              <w:pStyle w:val="Tablenote"/>
              <w:rPr>
                <w:b/>
                <w:lang w:val="pt-PT"/>
              </w:rPr>
            </w:pPr>
            <w:r w:rsidRPr="00CF3673">
              <w:rPr>
                <w:b/>
                <w:lang w:val="pt-PT"/>
              </w:rPr>
              <w:t>Nota:</w:t>
            </w:r>
            <w:r w:rsidRPr="00CF3673">
              <w:rPr>
                <w:lang w:val="pt-PT"/>
              </w:rPr>
              <w:t xml:space="preserve"> Mínimos Quadrados Ordinários (MQO) – variável dependente: crescimento do emprego </w:t>
            </w:r>
            <w:r w:rsidRPr="00CF3673">
              <w:rPr>
                <w:lang w:val="pt-PT"/>
              </w:rPr>
              <w:lastRenderedPageBreak/>
              <w:t xml:space="preserve">2006-2011. </w:t>
            </w:r>
            <w:proofErr w:type="spellStart"/>
            <w:r w:rsidRPr="00CF3673">
              <w:rPr>
                <w:lang w:val="pt-PT"/>
              </w:rPr>
              <w:t>Heterosceda</w:t>
            </w:r>
            <w:r w:rsidR="00B20E4D" w:rsidRPr="00CF3673">
              <w:rPr>
                <w:lang w:val="pt-PT"/>
              </w:rPr>
              <w:t>cidade</w:t>
            </w:r>
            <w:proofErr w:type="spellEnd"/>
            <w:r w:rsidR="00B20E4D" w:rsidRPr="00CF3673">
              <w:rPr>
                <w:lang w:val="pt-PT"/>
              </w:rPr>
              <w:t xml:space="preserve"> </w:t>
            </w:r>
            <w:r w:rsidRPr="00CF3673">
              <w:rPr>
                <w:lang w:val="pt-PT"/>
              </w:rPr>
              <w:t>consistent</w:t>
            </w:r>
            <w:r w:rsidR="00B20E4D" w:rsidRPr="00CF3673">
              <w:rPr>
                <w:lang w:val="pt-PT"/>
              </w:rPr>
              <w:t>e</w:t>
            </w:r>
            <w:r w:rsidRPr="00CF3673">
              <w:rPr>
                <w:lang w:val="pt-PT"/>
              </w:rPr>
              <w:t xml:space="preserve"> t-</w:t>
            </w:r>
            <w:proofErr w:type="spellStart"/>
            <w:r w:rsidR="00B20E4D" w:rsidRPr="00CF3673">
              <w:rPr>
                <w:lang w:val="pt-PT"/>
              </w:rPr>
              <w:t>e</w:t>
            </w:r>
            <w:r w:rsidRPr="00CF3673">
              <w:rPr>
                <w:lang w:val="pt-PT"/>
              </w:rPr>
              <w:t>statistic</w:t>
            </w:r>
            <w:r w:rsidR="00B20E4D" w:rsidRPr="00CF3673">
              <w:rPr>
                <w:lang w:val="pt-PT"/>
              </w:rPr>
              <w:t>a</w:t>
            </w:r>
            <w:proofErr w:type="spellEnd"/>
            <w:r w:rsidR="00B20E4D" w:rsidRPr="00CF3673">
              <w:rPr>
                <w:lang w:val="pt-PT"/>
              </w:rPr>
              <w:t xml:space="preserve"> em</w:t>
            </w:r>
            <w:r w:rsidRPr="00CF3673">
              <w:rPr>
                <w:lang w:val="pt-PT"/>
              </w:rPr>
              <w:t xml:space="preserve"> </w:t>
            </w:r>
            <w:proofErr w:type="spellStart"/>
            <w:r w:rsidRPr="00CF3673">
              <w:rPr>
                <w:lang w:val="pt-PT"/>
              </w:rPr>
              <w:t>parent</w:t>
            </w:r>
            <w:r w:rsidR="00B20E4D" w:rsidRPr="00CF3673">
              <w:rPr>
                <w:lang w:val="pt-PT"/>
              </w:rPr>
              <w:t>esis</w:t>
            </w:r>
            <w:proofErr w:type="spellEnd"/>
            <w:r w:rsidRPr="00CF3673">
              <w:rPr>
                <w:lang w:val="pt-PT"/>
              </w:rPr>
              <w:t xml:space="preserve">. *, ** e  *** indica </w:t>
            </w:r>
            <w:r w:rsidR="00B20E4D" w:rsidRPr="00CF3673">
              <w:rPr>
                <w:lang w:val="pt-PT"/>
              </w:rPr>
              <w:t xml:space="preserve">significância ao nível de </w:t>
            </w:r>
            <w:r w:rsidRPr="00CF3673">
              <w:rPr>
                <w:lang w:val="pt-PT"/>
              </w:rPr>
              <w:t xml:space="preserve">10 </w:t>
            </w:r>
            <w:r w:rsidR="00B20E4D" w:rsidRPr="00CF3673">
              <w:rPr>
                <w:lang w:val="pt-PT"/>
              </w:rPr>
              <w:t>%</w:t>
            </w:r>
            <w:r w:rsidRPr="00CF3673">
              <w:rPr>
                <w:lang w:val="pt-PT"/>
              </w:rPr>
              <w:t xml:space="preserve">., 5 </w:t>
            </w:r>
            <w:r w:rsidR="00B20E4D" w:rsidRPr="00CF3673">
              <w:rPr>
                <w:lang w:val="pt-PT"/>
              </w:rPr>
              <w:t>%</w:t>
            </w:r>
            <w:r w:rsidRPr="00CF3673">
              <w:rPr>
                <w:lang w:val="pt-PT"/>
              </w:rPr>
              <w:t xml:space="preserve">. </w:t>
            </w:r>
            <w:r w:rsidR="00B20E4D" w:rsidRPr="00CF3673">
              <w:rPr>
                <w:lang w:val="pt-PT"/>
              </w:rPr>
              <w:t>e</w:t>
            </w:r>
            <w:r w:rsidRPr="00CF3673">
              <w:rPr>
                <w:lang w:val="pt-PT"/>
              </w:rPr>
              <w:t xml:space="preserve"> 1 </w:t>
            </w:r>
            <w:r w:rsidR="00B20E4D" w:rsidRPr="00CF3673">
              <w:rPr>
                <w:lang w:val="pt-PT"/>
              </w:rPr>
              <w:t>%</w:t>
            </w:r>
            <w:r w:rsidRPr="00CF3673">
              <w:rPr>
                <w:lang w:val="pt-PT"/>
              </w:rPr>
              <w:t xml:space="preserve">. </w:t>
            </w:r>
            <w:r w:rsidR="00B20E4D" w:rsidRPr="00CF3673">
              <w:rPr>
                <w:lang w:val="pt-PT"/>
              </w:rPr>
              <w:t>respectivamente</w:t>
            </w:r>
            <w:r w:rsidRPr="00CF3673">
              <w:rPr>
                <w:lang w:val="pt-PT"/>
              </w:rPr>
              <w:t xml:space="preserve">. Base: Informal, </w:t>
            </w:r>
            <w:r w:rsidR="00B20E4D" w:rsidRPr="00CF3673">
              <w:rPr>
                <w:lang w:val="pt-PT"/>
              </w:rPr>
              <w:t>menos que educação universitária</w:t>
            </w:r>
            <w:r w:rsidRPr="00CF3673">
              <w:rPr>
                <w:lang w:val="pt-PT"/>
              </w:rPr>
              <w:t xml:space="preserve">, </w:t>
            </w:r>
            <w:r w:rsidR="00B20E4D" w:rsidRPr="00CF3673">
              <w:rPr>
                <w:lang w:val="pt-PT"/>
              </w:rPr>
              <w:t xml:space="preserve">detida por </w:t>
            </w:r>
            <w:proofErr w:type="spellStart"/>
            <w:r w:rsidR="00B20E4D" w:rsidRPr="00CF3673">
              <w:rPr>
                <w:lang w:val="pt-PT"/>
              </w:rPr>
              <w:t>mocambicanos</w:t>
            </w:r>
            <w:proofErr w:type="spellEnd"/>
            <w:r w:rsidRPr="00CF3673">
              <w:rPr>
                <w:lang w:val="pt-PT"/>
              </w:rPr>
              <w:t xml:space="preserve">, </w:t>
            </w:r>
            <w:r w:rsidR="00B20E4D" w:rsidRPr="00CF3673">
              <w:rPr>
                <w:lang w:val="pt-PT"/>
              </w:rPr>
              <w:t>propriedade individual</w:t>
            </w:r>
            <w:r w:rsidRPr="00CF3673">
              <w:rPr>
                <w:lang w:val="pt-PT"/>
              </w:rPr>
              <w:t xml:space="preserve">, Maputo, </w:t>
            </w:r>
            <w:r w:rsidR="00B20E4D" w:rsidRPr="00CF3673">
              <w:rPr>
                <w:lang w:val="pt-PT"/>
              </w:rPr>
              <w:t>Sectores de Alimentação e Tabaco</w:t>
            </w:r>
            <w:r w:rsidRPr="00CF3673">
              <w:rPr>
                <w:lang w:val="pt-PT"/>
              </w:rPr>
              <w:t xml:space="preserve"> (ISIC 15 </w:t>
            </w:r>
            <w:r w:rsidR="00B20E4D" w:rsidRPr="00CF3673">
              <w:rPr>
                <w:lang w:val="pt-PT"/>
              </w:rPr>
              <w:t>e</w:t>
            </w:r>
            <w:r w:rsidRPr="00CF3673">
              <w:rPr>
                <w:lang w:val="pt-PT"/>
              </w:rPr>
              <w:t xml:space="preserve"> 16).</w:t>
            </w:r>
          </w:p>
        </w:tc>
      </w:tr>
      <w:tr w:rsidR="00682A88" w:rsidRPr="00CF3673" w:rsidTr="00682A88">
        <w:trPr>
          <w:jc w:val="center"/>
        </w:trPr>
        <w:tc>
          <w:tcPr>
            <w:tcW w:w="7291" w:type="dxa"/>
            <w:gridSpan w:val="3"/>
            <w:tcBorders>
              <w:left w:val="nil"/>
              <w:right w:val="nil"/>
            </w:tcBorders>
          </w:tcPr>
          <w:p w:rsidR="00682A88" w:rsidRPr="00CF3673" w:rsidRDefault="00682A88" w:rsidP="00AD45B9">
            <w:pPr>
              <w:pStyle w:val="Tablenote"/>
              <w:rPr>
                <w:b/>
                <w:lang w:val="pt-PT"/>
              </w:rPr>
            </w:pPr>
            <w:r w:rsidRPr="00CF3673">
              <w:rPr>
                <w:b/>
                <w:lang w:val="pt-PT"/>
              </w:rPr>
              <w:lastRenderedPageBreak/>
              <w:t>Fonte:</w:t>
            </w:r>
            <w:r w:rsidRPr="00CF3673">
              <w:rPr>
                <w:lang w:val="pt-PT"/>
              </w:rPr>
              <w:t xml:space="preserve"> Cálculos </w:t>
            </w:r>
            <w:r w:rsidR="00AD45B9" w:rsidRPr="00CF3673">
              <w:rPr>
                <w:lang w:val="pt-PT"/>
              </w:rPr>
              <w:t xml:space="preserve">dos autores </w:t>
            </w:r>
            <w:r w:rsidRPr="00CF3673">
              <w:rPr>
                <w:lang w:val="pt-PT"/>
              </w:rPr>
              <w:t xml:space="preserve">usando IIM 2012, DNEAP (2006) </w:t>
            </w:r>
            <w:r w:rsidR="006A4724" w:rsidRPr="00CF3673">
              <w:rPr>
                <w:lang w:val="pt-PT"/>
              </w:rPr>
              <w:t>e ICA</w:t>
            </w:r>
            <w:r w:rsidRPr="00CF3673">
              <w:rPr>
                <w:lang w:val="pt-PT"/>
              </w:rPr>
              <w:t xml:space="preserve"> (2009).</w:t>
            </w:r>
          </w:p>
        </w:tc>
      </w:tr>
    </w:tbl>
    <w:p w:rsidR="00AD45B9" w:rsidRPr="00CF3673" w:rsidRDefault="00AD45B9" w:rsidP="00682A88">
      <w:pPr>
        <w:spacing w:line="360" w:lineRule="auto"/>
        <w:jc w:val="both"/>
      </w:pPr>
    </w:p>
    <w:p w:rsidR="00682A88" w:rsidRPr="00CF3673" w:rsidRDefault="00682A88" w:rsidP="00682A88">
      <w:pPr>
        <w:spacing w:line="360" w:lineRule="auto"/>
        <w:jc w:val="both"/>
      </w:pPr>
      <w:r w:rsidRPr="00CF3673">
        <w:t xml:space="preserve">A conclusão desta Secção é que o crescimento médio da produção da empresa foi ligeiramente negativo no período 2006-2011, enquanto o crescimento médio do emprego foi fortemente negativo. O tamanho e a formalidade não </w:t>
      </w:r>
      <w:r w:rsidR="006A4724" w:rsidRPr="00CF3673">
        <w:t>tiveram</w:t>
      </w:r>
      <w:r w:rsidRPr="00CF3673">
        <w:t xml:space="preserve"> um efeito significativo sobre o crescimento, mas as empresas estrangeiras, bem como empresas dos sectores minerais, dos alimentos e não-metálicos apresentaram taxas de crescimento mais elevadas do que a </w:t>
      </w:r>
      <w:r w:rsidR="00AD45B9" w:rsidRPr="00CF3673">
        <w:t>média.</w:t>
      </w:r>
    </w:p>
    <w:p w:rsidR="00682A88" w:rsidRPr="00CF3673" w:rsidRDefault="00682A88" w:rsidP="00682A88">
      <w:pPr>
        <w:spacing w:line="360" w:lineRule="auto"/>
        <w:jc w:val="both"/>
        <w:rPr>
          <w:b/>
          <w:u w:val="single"/>
        </w:rPr>
      </w:pPr>
      <w:r w:rsidRPr="00CF3673">
        <w:rPr>
          <w:b/>
          <w:u w:val="single"/>
        </w:rPr>
        <w:t>3.2 . Saída de empresas</w:t>
      </w:r>
    </w:p>
    <w:p w:rsidR="00682A88" w:rsidRPr="00CF3673" w:rsidRDefault="00682A88" w:rsidP="00682A88">
      <w:pPr>
        <w:spacing w:line="360" w:lineRule="auto"/>
        <w:jc w:val="both"/>
      </w:pPr>
      <w:r w:rsidRPr="00CF3673">
        <w:t xml:space="preserve">Como mencionado anteriormente, a entrada e saída de empresas desempenham um papel importante na dinâmica das mesmas, permitindo às empresas produtivas </w:t>
      </w:r>
      <w:proofErr w:type="spellStart"/>
      <w:r w:rsidRPr="00CF3673">
        <w:rPr>
          <w:i/>
        </w:rPr>
        <w:t>start-ups</w:t>
      </w:r>
      <w:proofErr w:type="spellEnd"/>
      <w:r w:rsidRPr="00CF3673">
        <w:t xml:space="preserve"> para entrar no mercado e as empresas ineficientes para sair do mercado.</w:t>
      </w:r>
    </w:p>
    <w:p w:rsidR="00682A88" w:rsidRPr="00CF3673" w:rsidRDefault="00682A88" w:rsidP="00682A88">
      <w:pPr>
        <w:spacing w:line="360" w:lineRule="auto"/>
        <w:jc w:val="both"/>
      </w:pPr>
      <w:r w:rsidRPr="00CF3673">
        <w:t xml:space="preserve">Primeiro, precisamos definir o que queremos dizer com sair. Contamos empresas em operação como a sobreviver, mesmo que 1) mudou de </w:t>
      </w:r>
      <w:r w:rsidR="00AD45B9" w:rsidRPr="00CF3673">
        <w:t>sector,</w:t>
      </w:r>
      <w:r w:rsidRPr="00CF3673">
        <w:t xml:space="preserve"> 2) não funcionou em todos os momentos durante 2009-201</w:t>
      </w:r>
      <w:r w:rsidR="00AD45B9" w:rsidRPr="00CF3673">
        <w:t>1, ou 3) não quis participar do inquérito.</w:t>
      </w:r>
      <w:r w:rsidRPr="00CF3673">
        <w:t xml:space="preserve"> As 52 empresas que não estavam localizáveis são rotuladas como fechadas na definição da saída 1 e são excluídas da análise na definição da saída 2 (ver também a Tabela 2.5).</w:t>
      </w:r>
    </w:p>
    <w:p w:rsidR="00682A88" w:rsidRPr="00CF3673" w:rsidRDefault="00682A88" w:rsidP="00682A88">
      <w:pPr>
        <w:spacing w:line="360" w:lineRule="auto"/>
        <w:jc w:val="both"/>
      </w:pPr>
      <w:r w:rsidRPr="00CF3673">
        <w:t xml:space="preserve">A Tabela 3.6 mostra as probabilidades de saída por tamanho da empresa, idade da empresa, a formalidade, a nacionalidade do proprietário e a localização. Cerca de 24% das empresas originais estão confirmadas como fechadas e, enquanto 33% fecharam mas não estão confirmadas ( não localizáveis ​​) saídas. Isso equivale a uma taxa de saída anual entre 4,4 a 6,4%. Este valor é um pouco menor do que a taxa encontrada para o painel de 2002-2006 , como relatada na DNEAP (2006 ), onde a taxa de saída foi de cerca de 8% por ano. Além disso, é substancialmente menor do que a taxa de saída média anual de 9-10% citada por </w:t>
      </w:r>
      <w:proofErr w:type="spellStart"/>
      <w:r w:rsidRPr="00CF3673">
        <w:t>Liedholm</w:t>
      </w:r>
      <w:proofErr w:type="spellEnd"/>
      <w:r w:rsidRPr="00CF3673">
        <w:t xml:space="preserve"> e </w:t>
      </w:r>
      <w:proofErr w:type="spellStart"/>
      <w:r w:rsidRPr="00CF3673">
        <w:t>Mead</w:t>
      </w:r>
      <w:proofErr w:type="spellEnd"/>
      <w:r w:rsidRPr="00CF3673">
        <w:t xml:space="preserve"> (1999 ) ao longo de uma série de países em desenvolvimento.</w:t>
      </w:r>
    </w:p>
    <w:p w:rsidR="00682A88" w:rsidRPr="00CF3673" w:rsidRDefault="00682A88" w:rsidP="00682A88">
      <w:pPr>
        <w:pStyle w:val="TableTitle"/>
        <w:rPr>
          <w:lang w:val="pt-PT"/>
        </w:rPr>
      </w:pPr>
      <w:r w:rsidRPr="00CF3673">
        <w:rPr>
          <w:lang w:val="pt-PT"/>
        </w:rPr>
        <w:t>Tabela 3.6: Saídas e taxas de saída anuais 2006-2011, %.</w:t>
      </w:r>
    </w:p>
    <w:tbl>
      <w:tblPr>
        <w:tblStyle w:val="StandardTable"/>
        <w:tblW w:w="0" w:type="auto"/>
        <w:jc w:val="center"/>
        <w:tblInd w:w="58" w:type="dxa"/>
        <w:tblLayout w:type="fixed"/>
        <w:tblLook w:val="04A0" w:firstRow="1" w:lastRow="0" w:firstColumn="1" w:lastColumn="0" w:noHBand="0" w:noVBand="1"/>
      </w:tblPr>
      <w:tblGrid>
        <w:gridCol w:w="2307"/>
        <w:gridCol w:w="672"/>
        <w:gridCol w:w="789"/>
        <w:gridCol w:w="236"/>
        <w:gridCol w:w="672"/>
        <w:gridCol w:w="789"/>
        <w:gridCol w:w="236"/>
        <w:gridCol w:w="1197"/>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2307" w:type="dxa"/>
            <w:tcBorders>
              <w:bottom w:val="nil"/>
            </w:tcBorders>
            <w:noWrap/>
          </w:tcPr>
          <w:p w:rsidR="00682A88" w:rsidRPr="00CF3673" w:rsidRDefault="00682A88" w:rsidP="00682A88">
            <w:pPr>
              <w:rPr>
                <w:rFonts w:ascii="Calibri" w:eastAsia="Times New Roman" w:hAnsi="Calibri" w:cs="Times New Roman"/>
                <w:lang w:eastAsia="zh-CN"/>
              </w:rPr>
            </w:pPr>
          </w:p>
        </w:tc>
        <w:tc>
          <w:tcPr>
            <w:tcW w:w="1461" w:type="dxa"/>
            <w:gridSpan w:val="2"/>
            <w:tcBorders>
              <w:bottom w:val="nil"/>
            </w:tcBorders>
            <w:noWrap/>
          </w:tcPr>
          <w:p w:rsidR="00682A88" w:rsidRPr="00CF3673" w:rsidRDefault="006A4724" w:rsidP="006A4724">
            <w:pPr>
              <w:jc w:val="center"/>
              <w:rPr>
                <w:rFonts w:ascii="Calibri" w:eastAsia="Times New Roman" w:hAnsi="Calibri" w:cs="Times New Roman"/>
                <w:lang w:eastAsia="zh-CN"/>
              </w:rPr>
            </w:pPr>
            <w:proofErr w:type="spellStart"/>
            <w:r w:rsidRPr="00CF3673">
              <w:rPr>
                <w:rFonts w:ascii="Calibri" w:eastAsia="Times New Roman" w:hAnsi="Calibri" w:cs="Times New Roman"/>
                <w:lang w:eastAsia="zh-CN"/>
              </w:rPr>
              <w:t>saida</w:t>
            </w:r>
            <w:r w:rsidR="00682A88" w:rsidRPr="00CF3673">
              <w:rPr>
                <w:rFonts w:ascii="Calibri" w:eastAsia="Times New Roman" w:hAnsi="Calibri" w:cs="Times New Roman"/>
                <w:lang w:eastAsia="zh-CN"/>
              </w:rPr>
              <w:t>t</w:t>
            </w:r>
            <w:proofErr w:type="spellEnd"/>
            <w:r w:rsidR="00682A88" w:rsidRPr="00CF3673">
              <w:rPr>
                <w:rFonts w:ascii="Calibri" w:eastAsia="Times New Roman" w:hAnsi="Calibri" w:cs="Times New Roman"/>
                <w:lang w:eastAsia="zh-CN"/>
              </w:rPr>
              <w:t xml:space="preserve"> </w:t>
            </w:r>
            <w:proofErr w:type="spellStart"/>
            <w:r w:rsidR="00682A88" w:rsidRPr="00CF3673">
              <w:rPr>
                <w:rFonts w:ascii="Calibri" w:eastAsia="Times New Roman" w:hAnsi="Calibri" w:cs="Times New Roman"/>
                <w:lang w:eastAsia="zh-CN"/>
              </w:rPr>
              <w:t>def</w:t>
            </w:r>
            <w:proofErr w:type="spellEnd"/>
            <w:r w:rsidR="00682A88" w:rsidRPr="00CF3673">
              <w:rPr>
                <w:rFonts w:ascii="Calibri" w:eastAsia="Times New Roman" w:hAnsi="Calibri" w:cs="Times New Roman"/>
                <w:lang w:eastAsia="zh-CN"/>
              </w:rPr>
              <w:t>. 1</w:t>
            </w:r>
          </w:p>
        </w:tc>
        <w:tc>
          <w:tcPr>
            <w:tcW w:w="236" w:type="dxa"/>
            <w:tcBorders>
              <w:bottom w:val="nil"/>
            </w:tcBorders>
          </w:tcPr>
          <w:p w:rsidR="00682A88" w:rsidRPr="00CF3673" w:rsidRDefault="00682A88" w:rsidP="00682A88">
            <w:pPr>
              <w:jc w:val="center"/>
              <w:rPr>
                <w:rFonts w:ascii="Calibri" w:eastAsia="Times New Roman" w:hAnsi="Calibri" w:cs="Times New Roman"/>
                <w:lang w:eastAsia="zh-CN"/>
              </w:rPr>
            </w:pPr>
          </w:p>
        </w:tc>
        <w:tc>
          <w:tcPr>
            <w:tcW w:w="1461" w:type="dxa"/>
            <w:gridSpan w:val="2"/>
            <w:tcBorders>
              <w:bottom w:val="nil"/>
            </w:tcBorders>
            <w:noWrap/>
          </w:tcPr>
          <w:p w:rsidR="00682A88" w:rsidRPr="00CF3673" w:rsidRDefault="006A4724" w:rsidP="006A4724">
            <w:pPr>
              <w:jc w:val="center"/>
              <w:rPr>
                <w:rFonts w:ascii="Calibri" w:eastAsia="Times New Roman" w:hAnsi="Calibri" w:cs="Times New Roman"/>
                <w:lang w:eastAsia="zh-CN"/>
              </w:rPr>
            </w:pPr>
            <w:r w:rsidRPr="00CF3673">
              <w:rPr>
                <w:rFonts w:ascii="Calibri" w:eastAsia="Times New Roman" w:hAnsi="Calibri" w:cs="Times New Roman"/>
                <w:lang w:eastAsia="zh-CN"/>
              </w:rPr>
              <w:t>saída</w:t>
            </w:r>
            <w:r w:rsidR="00682A88" w:rsidRPr="00CF3673">
              <w:rPr>
                <w:rFonts w:ascii="Calibri" w:eastAsia="Times New Roman" w:hAnsi="Calibri" w:cs="Times New Roman"/>
                <w:lang w:eastAsia="zh-CN"/>
              </w:rPr>
              <w:t xml:space="preserve"> </w:t>
            </w:r>
            <w:proofErr w:type="spellStart"/>
            <w:r w:rsidR="00682A88" w:rsidRPr="00CF3673">
              <w:rPr>
                <w:rFonts w:ascii="Calibri" w:eastAsia="Times New Roman" w:hAnsi="Calibri" w:cs="Times New Roman"/>
                <w:lang w:eastAsia="zh-CN"/>
              </w:rPr>
              <w:t>def</w:t>
            </w:r>
            <w:proofErr w:type="spellEnd"/>
            <w:r w:rsidR="00682A88" w:rsidRPr="00CF3673">
              <w:rPr>
                <w:rFonts w:ascii="Calibri" w:eastAsia="Times New Roman" w:hAnsi="Calibri" w:cs="Times New Roman"/>
                <w:lang w:eastAsia="zh-CN"/>
              </w:rPr>
              <w:t>. 2</w:t>
            </w:r>
          </w:p>
        </w:tc>
        <w:tc>
          <w:tcPr>
            <w:tcW w:w="236" w:type="dxa"/>
            <w:tcBorders>
              <w:bottom w:val="nil"/>
            </w:tcBorders>
          </w:tcPr>
          <w:p w:rsidR="00682A88" w:rsidRPr="00CF3673" w:rsidRDefault="00682A88" w:rsidP="00682A88">
            <w:pPr>
              <w:jc w:val="center"/>
              <w:rPr>
                <w:rFonts w:ascii="Calibri" w:eastAsia="Times New Roman" w:hAnsi="Calibri" w:cs="Times New Roman"/>
                <w:lang w:eastAsia="zh-CN"/>
              </w:rPr>
            </w:pPr>
          </w:p>
        </w:tc>
        <w:tc>
          <w:tcPr>
            <w:tcW w:w="1197" w:type="dxa"/>
            <w:tcBorders>
              <w:bottom w:val="nil"/>
            </w:tcBorders>
          </w:tcPr>
          <w:p w:rsidR="00682A88" w:rsidRPr="00CF3673" w:rsidRDefault="00682A88" w:rsidP="00682A88">
            <w:pPr>
              <w:jc w:val="center"/>
              <w:rPr>
                <w:rFonts w:ascii="Calibri" w:eastAsia="Times New Roman" w:hAnsi="Calibri" w:cs="Times New Roman"/>
                <w:lang w:eastAsia="zh-CN"/>
              </w:rPr>
            </w:pPr>
          </w:p>
        </w:tc>
      </w:tr>
      <w:tr w:rsidR="00682A88" w:rsidRPr="00CF3673" w:rsidTr="00682A88">
        <w:trPr>
          <w:trHeight w:val="300"/>
          <w:jc w:val="center"/>
        </w:trPr>
        <w:tc>
          <w:tcPr>
            <w:tcW w:w="2307" w:type="dxa"/>
            <w:tcBorders>
              <w:top w:val="nil"/>
              <w:bottom w:val="single" w:sz="4" w:space="0" w:color="auto"/>
            </w:tcBorders>
            <w:noWrap/>
          </w:tcPr>
          <w:p w:rsidR="00682A88" w:rsidRPr="00CF3673" w:rsidRDefault="00682A88" w:rsidP="00682A88">
            <w:pPr>
              <w:rPr>
                <w:rFonts w:ascii="Calibri" w:eastAsia="Times New Roman" w:hAnsi="Calibri" w:cs="Times New Roman"/>
                <w:lang w:eastAsia="zh-CN"/>
              </w:rPr>
            </w:pPr>
          </w:p>
        </w:tc>
        <w:tc>
          <w:tcPr>
            <w:tcW w:w="672" w:type="dxa"/>
            <w:tcBorders>
              <w:top w:val="nil"/>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Total</w:t>
            </w:r>
          </w:p>
        </w:tc>
        <w:tc>
          <w:tcPr>
            <w:tcW w:w="789" w:type="dxa"/>
            <w:tcBorders>
              <w:top w:val="nil"/>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Anual</w:t>
            </w:r>
          </w:p>
        </w:tc>
        <w:tc>
          <w:tcPr>
            <w:tcW w:w="236" w:type="dxa"/>
            <w:tcBorders>
              <w:top w:val="nil"/>
              <w:bottom w:val="single" w:sz="4" w:space="0" w:color="auto"/>
            </w:tcBorders>
          </w:tcPr>
          <w:p w:rsidR="00682A88" w:rsidRPr="00CF3673" w:rsidRDefault="00682A88" w:rsidP="00682A88">
            <w:pPr>
              <w:jc w:val="center"/>
              <w:rPr>
                <w:rFonts w:ascii="Calibri" w:eastAsia="Times New Roman" w:hAnsi="Calibri" w:cs="Times New Roman"/>
                <w:lang w:eastAsia="zh-CN"/>
              </w:rPr>
            </w:pPr>
          </w:p>
        </w:tc>
        <w:tc>
          <w:tcPr>
            <w:tcW w:w="672" w:type="dxa"/>
            <w:tcBorders>
              <w:top w:val="nil"/>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Total</w:t>
            </w:r>
          </w:p>
        </w:tc>
        <w:tc>
          <w:tcPr>
            <w:tcW w:w="789" w:type="dxa"/>
            <w:tcBorders>
              <w:top w:val="nil"/>
              <w:bottom w:val="single" w:sz="4" w:space="0" w:color="auto"/>
              <w:right w:val="nil"/>
            </w:tcBorders>
            <w:noWrap/>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Anual</w:t>
            </w:r>
          </w:p>
        </w:tc>
        <w:tc>
          <w:tcPr>
            <w:tcW w:w="236" w:type="dxa"/>
            <w:tcBorders>
              <w:top w:val="nil"/>
              <w:bottom w:val="single" w:sz="4" w:space="0" w:color="auto"/>
              <w:right w:val="nil"/>
            </w:tcBorders>
          </w:tcPr>
          <w:p w:rsidR="00682A88" w:rsidRPr="00CF3673" w:rsidRDefault="00682A88" w:rsidP="00682A88">
            <w:pPr>
              <w:jc w:val="center"/>
              <w:rPr>
                <w:rFonts w:ascii="Calibri" w:eastAsia="Times New Roman" w:hAnsi="Calibri" w:cs="Times New Roman"/>
                <w:lang w:eastAsia="zh-CN"/>
              </w:rPr>
            </w:pPr>
          </w:p>
        </w:tc>
        <w:tc>
          <w:tcPr>
            <w:tcW w:w="1197" w:type="dxa"/>
            <w:tcBorders>
              <w:top w:val="nil"/>
              <w:left w:val="nil"/>
              <w:bottom w:val="single" w:sz="4" w:space="0" w:color="auto"/>
            </w:tcBorders>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Nº de obs.*</w:t>
            </w:r>
          </w:p>
        </w:tc>
      </w:tr>
      <w:tr w:rsidR="00682A88" w:rsidRPr="00CF3673" w:rsidTr="00682A88">
        <w:trPr>
          <w:trHeight w:val="300"/>
          <w:jc w:val="center"/>
        </w:trPr>
        <w:tc>
          <w:tcPr>
            <w:tcW w:w="2307" w:type="dxa"/>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Todas</w:t>
            </w:r>
          </w:p>
        </w:tc>
        <w:tc>
          <w:tcPr>
            <w:tcW w:w="672" w:type="dxa"/>
            <w:tcBorders>
              <w:top w:val="single" w:sz="4" w:space="0" w:color="auto"/>
            </w:tcBorders>
            <w:noWrap/>
            <w:hideMark/>
          </w:tcPr>
          <w:p w:rsidR="00682A88" w:rsidRPr="00CF3673" w:rsidRDefault="00682A88" w:rsidP="00682A88">
            <w:pPr>
              <w:jc w:val="center"/>
            </w:pPr>
            <w:r w:rsidRPr="00CF3673">
              <w:t>32.7</w:t>
            </w:r>
          </w:p>
        </w:tc>
        <w:tc>
          <w:tcPr>
            <w:tcW w:w="789" w:type="dxa"/>
            <w:tcBorders>
              <w:top w:val="single" w:sz="4" w:space="0" w:color="auto"/>
            </w:tcBorders>
            <w:noWrap/>
            <w:hideMark/>
          </w:tcPr>
          <w:p w:rsidR="00682A88" w:rsidRPr="00CF3673" w:rsidRDefault="00682A88" w:rsidP="00682A88">
            <w:pPr>
              <w:jc w:val="center"/>
            </w:pPr>
            <w:r w:rsidRPr="00CF3673">
              <w:t>6.4</w:t>
            </w:r>
          </w:p>
        </w:tc>
        <w:tc>
          <w:tcPr>
            <w:tcW w:w="236" w:type="dxa"/>
            <w:tcBorders>
              <w:top w:val="single" w:sz="4" w:space="0" w:color="auto"/>
            </w:tcBorders>
          </w:tcPr>
          <w:p w:rsidR="00682A88" w:rsidRPr="00CF3673" w:rsidRDefault="00682A88" w:rsidP="00682A88">
            <w:pPr>
              <w:jc w:val="center"/>
            </w:pPr>
          </w:p>
        </w:tc>
        <w:tc>
          <w:tcPr>
            <w:tcW w:w="672" w:type="dxa"/>
            <w:tcBorders>
              <w:top w:val="single" w:sz="4" w:space="0" w:color="auto"/>
            </w:tcBorders>
            <w:noWrap/>
            <w:hideMark/>
          </w:tcPr>
          <w:p w:rsidR="00682A88" w:rsidRPr="00CF3673" w:rsidRDefault="00682A88" w:rsidP="00682A88">
            <w:pPr>
              <w:jc w:val="center"/>
            </w:pPr>
            <w:r w:rsidRPr="00CF3673">
              <w:t>23.9</w:t>
            </w:r>
          </w:p>
        </w:tc>
        <w:tc>
          <w:tcPr>
            <w:tcW w:w="789" w:type="dxa"/>
            <w:tcBorders>
              <w:top w:val="single" w:sz="4" w:space="0" w:color="auto"/>
              <w:right w:val="nil"/>
            </w:tcBorders>
            <w:noWrap/>
            <w:hideMark/>
          </w:tcPr>
          <w:p w:rsidR="00682A88" w:rsidRPr="00CF3673" w:rsidRDefault="00682A88" w:rsidP="00682A88">
            <w:pPr>
              <w:jc w:val="center"/>
            </w:pPr>
            <w:r w:rsidRPr="00CF3673">
              <w:t>4.4</w:t>
            </w:r>
          </w:p>
        </w:tc>
        <w:tc>
          <w:tcPr>
            <w:tcW w:w="236" w:type="dxa"/>
            <w:tcBorders>
              <w:top w:val="single" w:sz="4" w:space="0" w:color="auto"/>
              <w:right w:val="nil"/>
            </w:tcBorders>
          </w:tcPr>
          <w:p w:rsidR="00682A88" w:rsidRPr="00CF3673" w:rsidRDefault="00682A88" w:rsidP="00682A88">
            <w:pPr>
              <w:jc w:val="center"/>
            </w:pPr>
          </w:p>
        </w:tc>
        <w:tc>
          <w:tcPr>
            <w:tcW w:w="1197" w:type="dxa"/>
            <w:tcBorders>
              <w:top w:val="single" w:sz="4" w:space="0" w:color="auto"/>
              <w:left w:val="nil"/>
            </w:tcBorders>
          </w:tcPr>
          <w:p w:rsidR="00682A88" w:rsidRPr="00CF3673" w:rsidRDefault="00682A88" w:rsidP="00682A88">
            <w:pPr>
              <w:jc w:val="center"/>
            </w:pPr>
            <w:r w:rsidRPr="00CF3673">
              <w:t>446</w:t>
            </w:r>
          </w:p>
        </w:tc>
      </w:tr>
      <w:tr w:rsidR="00682A88" w:rsidRPr="00CF3673" w:rsidTr="00682A88">
        <w:trPr>
          <w:trHeight w:val="300"/>
          <w:jc w:val="center"/>
        </w:trPr>
        <w:tc>
          <w:tcPr>
            <w:tcW w:w="2307" w:type="dxa"/>
            <w:noWrap/>
          </w:tcPr>
          <w:p w:rsidR="00682A88" w:rsidRPr="00CF3673" w:rsidRDefault="00682A88" w:rsidP="00682A88">
            <w:r w:rsidRPr="00CF3673">
              <w:t>Micro</w:t>
            </w:r>
          </w:p>
        </w:tc>
        <w:tc>
          <w:tcPr>
            <w:tcW w:w="672" w:type="dxa"/>
            <w:noWrap/>
          </w:tcPr>
          <w:p w:rsidR="00682A88" w:rsidRPr="00CF3673" w:rsidRDefault="00682A88" w:rsidP="00682A88">
            <w:pPr>
              <w:jc w:val="center"/>
            </w:pPr>
            <w:r w:rsidRPr="00CF3673">
              <w:t>37.2</w:t>
            </w:r>
          </w:p>
        </w:tc>
        <w:tc>
          <w:tcPr>
            <w:tcW w:w="789" w:type="dxa"/>
            <w:noWrap/>
          </w:tcPr>
          <w:p w:rsidR="00682A88" w:rsidRPr="00CF3673" w:rsidRDefault="00682A88" w:rsidP="00682A88">
            <w:pPr>
              <w:jc w:val="center"/>
            </w:pPr>
            <w:r w:rsidRPr="00CF3673">
              <w:t>7.5</w:t>
            </w:r>
          </w:p>
        </w:tc>
        <w:tc>
          <w:tcPr>
            <w:tcW w:w="236" w:type="dxa"/>
          </w:tcPr>
          <w:p w:rsidR="00682A88" w:rsidRPr="00CF3673" w:rsidRDefault="00682A88" w:rsidP="00682A88">
            <w:pPr>
              <w:jc w:val="center"/>
            </w:pPr>
          </w:p>
        </w:tc>
        <w:tc>
          <w:tcPr>
            <w:tcW w:w="672" w:type="dxa"/>
            <w:noWrap/>
          </w:tcPr>
          <w:p w:rsidR="00682A88" w:rsidRPr="00CF3673" w:rsidRDefault="00682A88" w:rsidP="00682A88">
            <w:pPr>
              <w:jc w:val="center"/>
            </w:pPr>
            <w:r w:rsidRPr="00CF3673">
              <w:t>25.8</w:t>
            </w:r>
          </w:p>
        </w:tc>
        <w:tc>
          <w:tcPr>
            <w:tcW w:w="789" w:type="dxa"/>
            <w:tcBorders>
              <w:right w:val="nil"/>
            </w:tcBorders>
            <w:noWrap/>
          </w:tcPr>
          <w:p w:rsidR="00682A88" w:rsidRPr="00CF3673" w:rsidRDefault="00682A88" w:rsidP="00682A88">
            <w:pPr>
              <w:jc w:val="center"/>
            </w:pPr>
            <w:r w:rsidRPr="00CF3673">
              <w:t>4.9</w:t>
            </w:r>
          </w:p>
        </w:tc>
        <w:tc>
          <w:tcPr>
            <w:tcW w:w="236" w:type="dxa"/>
            <w:tcBorders>
              <w:right w:val="nil"/>
            </w:tcBorders>
          </w:tcPr>
          <w:p w:rsidR="00682A88" w:rsidRPr="00CF3673" w:rsidRDefault="00682A88" w:rsidP="00682A88">
            <w:pPr>
              <w:jc w:val="center"/>
            </w:pPr>
          </w:p>
        </w:tc>
        <w:tc>
          <w:tcPr>
            <w:tcW w:w="1197" w:type="dxa"/>
            <w:tcBorders>
              <w:left w:val="nil"/>
            </w:tcBorders>
          </w:tcPr>
          <w:p w:rsidR="00682A88" w:rsidRPr="00CF3673" w:rsidRDefault="00682A88" w:rsidP="00682A88">
            <w:pPr>
              <w:jc w:val="center"/>
            </w:pPr>
            <w:r w:rsidRPr="00CF3673">
              <w:t>183</w:t>
            </w:r>
          </w:p>
        </w:tc>
      </w:tr>
      <w:tr w:rsidR="00682A88" w:rsidRPr="00CF3673" w:rsidTr="00682A88">
        <w:trPr>
          <w:trHeight w:val="300"/>
          <w:jc w:val="center"/>
        </w:trPr>
        <w:tc>
          <w:tcPr>
            <w:tcW w:w="2307" w:type="dxa"/>
            <w:tcBorders>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lastRenderedPageBreak/>
              <w:t>Pequena</w:t>
            </w:r>
          </w:p>
        </w:tc>
        <w:tc>
          <w:tcPr>
            <w:tcW w:w="672" w:type="dxa"/>
            <w:tcBorders>
              <w:bottom w:val="nil"/>
            </w:tcBorders>
            <w:noWrap/>
            <w:hideMark/>
          </w:tcPr>
          <w:p w:rsidR="00682A88" w:rsidRPr="00CF3673" w:rsidRDefault="00682A88" w:rsidP="00682A88">
            <w:pPr>
              <w:jc w:val="center"/>
            </w:pPr>
            <w:r w:rsidRPr="00CF3673">
              <w:t>30.8</w:t>
            </w:r>
          </w:p>
        </w:tc>
        <w:tc>
          <w:tcPr>
            <w:tcW w:w="789" w:type="dxa"/>
            <w:tcBorders>
              <w:bottom w:val="nil"/>
            </w:tcBorders>
            <w:noWrap/>
            <w:hideMark/>
          </w:tcPr>
          <w:p w:rsidR="00682A88" w:rsidRPr="00CF3673" w:rsidRDefault="00682A88" w:rsidP="00682A88">
            <w:pPr>
              <w:jc w:val="center"/>
            </w:pPr>
            <w:r w:rsidRPr="00CF3673">
              <w:t>6.0</w:t>
            </w:r>
          </w:p>
        </w:tc>
        <w:tc>
          <w:tcPr>
            <w:tcW w:w="236" w:type="dxa"/>
            <w:tcBorders>
              <w:bottom w:val="nil"/>
            </w:tcBorders>
          </w:tcPr>
          <w:p w:rsidR="00682A88" w:rsidRPr="00CF3673" w:rsidRDefault="00682A88" w:rsidP="00682A88">
            <w:pPr>
              <w:jc w:val="center"/>
            </w:pPr>
          </w:p>
        </w:tc>
        <w:tc>
          <w:tcPr>
            <w:tcW w:w="672" w:type="dxa"/>
            <w:tcBorders>
              <w:bottom w:val="nil"/>
            </w:tcBorders>
            <w:noWrap/>
            <w:hideMark/>
          </w:tcPr>
          <w:p w:rsidR="00682A88" w:rsidRPr="00CF3673" w:rsidRDefault="00682A88" w:rsidP="00682A88">
            <w:pPr>
              <w:jc w:val="center"/>
            </w:pPr>
            <w:r w:rsidRPr="00CF3673">
              <w:t>23.8</w:t>
            </w:r>
          </w:p>
        </w:tc>
        <w:tc>
          <w:tcPr>
            <w:tcW w:w="789" w:type="dxa"/>
            <w:tcBorders>
              <w:bottom w:val="nil"/>
              <w:right w:val="nil"/>
            </w:tcBorders>
            <w:noWrap/>
            <w:hideMark/>
          </w:tcPr>
          <w:p w:rsidR="00682A88" w:rsidRPr="00CF3673" w:rsidRDefault="00682A88" w:rsidP="00682A88">
            <w:pPr>
              <w:jc w:val="center"/>
            </w:pPr>
            <w:r w:rsidRPr="00CF3673">
              <w:t>4.4</w:t>
            </w:r>
          </w:p>
        </w:tc>
        <w:tc>
          <w:tcPr>
            <w:tcW w:w="236" w:type="dxa"/>
            <w:tcBorders>
              <w:bottom w:val="nil"/>
              <w:right w:val="nil"/>
            </w:tcBorders>
          </w:tcPr>
          <w:p w:rsidR="00682A88" w:rsidRPr="00CF3673" w:rsidRDefault="00682A88" w:rsidP="00682A88">
            <w:pPr>
              <w:jc w:val="center"/>
            </w:pPr>
          </w:p>
        </w:tc>
        <w:tc>
          <w:tcPr>
            <w:tcW w:w="1197" w:type="dxa"/>
            <w:tcBorders>
              <w:left w:val="nil"/>
              <w:bottom w:val="nil"/>
            </w:tcBorders>
          </w:tcPr>
          <w:p w:rsidR="00682A88" w:rsidRPr="00CF3673" w:rsidRDefault="00682A88" w:rsidP="00682A88">
            <w:pPr>
              <w:jc w:val="center"/>
            </w:pPr>
            <w:r w:rsidRPr="00CF3673">
              <w:t>185</w:t>
            </w:r>
          </w:p>
        </w:tc>
      </w:tr>
      <w:tr w:rsidR="00682A88" w:rsidRPr="00CF3673" w:rsidTr="00682A88">
        <w:trPr>
          <w:trHeight w:val="300"/>
          <w:jc w:val="center"/>
        </w:trPr>
        <w:tc>
          <w:tcPr>
            <w:tcW w:w="2307" w:type="dxa"/>
            <w:tcBorders>
              <w:top w:val="nil"/>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Média</w:t>
            </w:r>
          </w:p>
        </w:tc>
        <w:tc>
          <w:tcPr>
            <w:tcW w:w="672" w:type="dxa"/>
            <w:tcBorders>
              <w:top w:val="nil"/>
              <w:bottom w:val="nil"/>
            </w:tcBorders>
            <w:noWrap/>
            <w:hideMark/>
          </w:tcPr>
          <w:p w:rsidR="00682A88" w:rsidRPr="00CF3673" w:rsidRDefault="00682A88" w:rsidP="00682A88">
            <w:pPr>
              <w:jc w:val="center"/>
            </w:pPr>
            <w:r w:rsidRPr="00CF3673">
              <w:t>23.0</w:t>
            </w:r>
          </w:p>
        </w:tc>
        <w:tc>
          <w:tcPr>
            <w:tcW w:w="789" w:type="dxa"/>
            <w:tcBorders>
              <w:top w:val="nil"/>
              <w:bottom w:val="nil"/>
            </w:tcBorders>
            <w:noWrap/>
            <w:hideMark/>
          </w:tcPr>
          <w:p w:rsidR="00682A88" w:rsidRPr="00CF3673" w:rsidRDefault="00682A88" w:rsidP="00682A88">
            <w:pPr>
              <w:jc w:val="center"/>
            </w:pPr>
            <w:r w:rsidRPr="00CF3673">
              <w:t>4.3</w:t>
            </w:r>
          </w:p>
        </w:tc>
        <w:tc>
          <w:tcPr>
            <w:tcW w:w="236" w:type="dxa"/>
            <w:tcBorders>
              <w:top w:val="nil"/>
              <w:bottom w:val="nil"/>
            </w:tcBorders>
          </w:tcPr>
          <w:p w:rsidR="00682A88" w:rsidRPr="00CF3673" w:rsidRDefault="00682A88" w:rsidP="00682A88">
            <w:pPr>
              <w:jc w:val="center"/>
            </w:pPr>
          </w:p>
        </w:tc>
        <w:tc>
          <w:tcPr>
            <w:tcW w:w="672" w:type="dxa"/>
            <w:tcBorders>
              <w:top w:val="nil"/>
              <w:bottom w:val="nil"/>
            </w:tcBorders>
            <w:noWrap/>
            <w:hideMark/>
          </w:tcPr>
          <w:p w:rsidR="00682A88" w:rsidRPr="00CF3673" w:rsidRDefault="00682A88" w:rsidP="00682A88">
            <w:pPr>
              <w:jc w:val="center"/>
            </w:pPr>
            <w:r w:rsidRPr="00CF3673">
              <w:t>16.2</w:t>
            </w:r>
          </w:p>
        </w:tc>
        <w:tc>
          <w:tcPr>
            <w:tcW w:w="789" w:type="dxa"/>
            <w:tcBorders>
              <w:top w:val="nil"/>
              <w:bottom w:val="nil"/>
              <w:right w:val="nil"/>
            </w:tcBorders>
            <w:noWrap/>
            <w:hideMark/>
          </w:tcPr>
          <w:p w:rsidR="00682A88" w:rsidRPr="00CF3673" w:rsidRDefault="00682A88" w:rsidP="00682A88">
            <w:pPr>
              <w:jc w:val="center"/>
            </w:pPr>
            <w:r w:rsidRPr="00CF3673">
              <w:t>2.9</w:t>
            </w:r>
          </w:p>
        </w:tc>
        <w:tc>
          <w:tcPr>
            <w:tcW w:w="236" w:type="dxa"/>
            <w:tcBorders>
              <w:top w:val="nil"/>
              <w:bottom w:val="nil"/>
              <w:right w:val="nil"/>
            </w:tcBorders>
          </w:tcPr>
          <w:p w:rsidR="00682A88" w:rsidRPr="00CF3673" w:rsidRDefault="00682A88" w:rsidP="00682A88">
            <w:pPr>
              <w:jc w:val="center"/>
            </w:pPr>
          </w:p>
        </w:tc>
        <w:tc>
          <w:tcPr>
            <w:tcW w:w="1197" w:type="dxa"/>
            <w:tcBorders>
              <w:top w:val="nil"/>
              <w:left w:val="nil"/>
              <w:bottom w:val="nil"/>
            </w:tcBorders>
          </w:tcPr>
          <w:p w:rsidR="00682A88" w:rsidRPr="00CF3673" w:rsidRDefault="00682A88" w:rsidP="00682A88">
            <w:pPr>
              <w:jc w:val="center"/>
            </w:pPr>
            <w:r w:rsidRPr="00CF3673">
              <w:t>74</w:t>
            </w:r>
          </w:p>
        </w:tc>
      </w:tr>
      <w:tr w:rsidR="00682A88" w:rsidRPr="00CF3673" w:rsidTr="00682A88">
        <w:trPr>
          <w:trHeight w:val="300"/>
          <w:jc w:val="center"/>
        </w:trPr>
        <w:tc>
          <w:tcPr>
            <w:tcW w:w="2307" w:type="dxa"/>
            <w:tcBorders>
              <w:top w:val="nil"/>
              <w:bottom w:val="single" w:sz="4" w:space="0" w:color="auto"/>
            </w:tcBorders>
            <w:noWrap/>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Grande</w:t>
            </w:r>
          </w:p>
        </w:tc>
        <w:tc>
          <w:tcPr>
            <w:tcW w:w="672" w:type="dxa"/>
            <w:tcBorders>
              <w:top w:val="nil"/>
              <w:bottom w:val="single" w:sz="4" w:space="0" w:color="auto"/>
            </w:tcBorders>
            <w:noWrap/>
          </w:tcPr>
          <w:p w:rsidR="00682A88" w:rsidRPr="00CF3673" w:rsidRDefault="00682A88" w:rsidP="00682A88">
            <w:pPr>
              <w:jc w:val="center"/>
            </w:pPr>
            <w:r w:rsidRPr="00CF3673">
              <w:t>100.0</w:t>
            </w:r>
          </w:p>
        </w:tc>
        <w:tc>
          <w:tcPr>
            <w:tcW w:w="789" w:type="dxa"/>
            <w:tcBorders>
              <w:top w:val="nil"/>
              <w:bottom w:val="single" w:sz="4" w:space="0" w:color="auto"/>
            </w:tcBorders>
            <w:noWrap/>
          </w:tcPr>
          <w:p w:rsidR="00682A88" w:rsidRPr="00CF3673" w:rsidRDefault="00682A88" w:rsidP="00682A88">
            <w:pPr>
              <w:jc w:val="center"/>
            </w:pPr>
            <w:r w:rsidRPr="00CF3673">
              <w:t>100.0</w:t>
            </w:r>
          </w:p>
        </w:tc>
        <w:tc>
          <w:tcPr>
            <w:tcW w:w="236" w:type="dxa"/>
            <w:tcBorders>
              <w:top w:val="nil"/>
              <w:bottom w:val="single" w:sz="4" w:space="0" w:color="auto"/>
            </w:tcBorders>
          </w:tcPr>
          <w:p w:rsidR="00682A88" w:rsidRPr="00CF3673" w:rsidRDefault="00682A88" w:rsidP="00682A88">
            <w:pPr>
              <w:jc w:val="center"/>
            </w:pPr>
          </w:p>
        </w:tc>
        <w:tc>
          <w:tcPr>
            <w:tcW w:w="672" w:type="dxa"/>
            <w:tcBorders>
              <w:top w:val="nil"/>
              <w:bottom w:val="single" w:sz="4" w:space="0" w:color="auto"/>
            </w:tcBorders>
            <w:noWrap/>
          </w:tcPr>
          <w:p w:rsidR="00682A88" w:rsidRPr="00CF3673" w:rsidRDefault="00682A88" w:rsidP="00682A88">
            <w:pPr>
              <w:jc w:val="center"/>
            </w:pPr>
            <w:r w:rsidRPr="00CF3673">
              <w:t>100.0</w:t>
            </w:r>
          </w:p>
        </w:tc>
        <w:tc>
          <w:tcPr>
            <w:tcW w:w="789" w:type="dxa"/>
            <w:tcBorders>
              <w:top w:val="nil"/>
              <w:bottom w:val="single" w:sz="4" w:space="0" w:color="auto"/>
              <w:right w:val="nil"/>
            </w:tcBorders>
            <w:noWrap/>
          </w:tcPr>
          <w:p w:rsidR="00682A88" w:rsidRPr="00CF3673" w:rsidRDefault="00682A88" w:rsidP="00682A88">
            <w:pPr>
              <w:jc w:val="center"/>
            </w:pPr>
            <w:r w:rsidRPr="00CF3673">
              <w:t>100.0</w:t>
            </w:r>
          </w:p>
        </w:tc>
        <w:tc>
          <w:tcPr>
            <w:tcW w:w="236" w:type="dxa"/>
            <w:tcBorders>
              <w:top w:val="nil"/>
              <w:bottom w:val="single" w:sz="4" w:space="0" w:color="auto"/>
              <w:right w:val="nil"/>
            </w:tcBorders>
          </w:tcPr>
          <w:p w:rsidR="00682A88" w:rsidRPr="00CF3673" w:rsidRDefault="00682A88" w:rsidP="00682A88">
            <w:pPr>
              <w:jc w:val="center"/>
            </w:pPr>
          </w:p>
        </w:tc>
        <w:tc>
          <w:tcPr>
            <w:tcW w:w="1197" w:type="dxa"/>
            <w:tcBorders>
              <w:top w:val="nil"/>
              <w:left w:val="nil"/>
              <w:bottom w:val="single" w:sz="4" w:space="0" w:color="auto"/>
            </w:tcBorders>
          </w:tcPr>
          <w:p w:rsidR="00682A88" w:rsidRPr="00CF3673" w:rsidRDefault="00682A88" w:rsidP="00682A88">
            <w:pPr>
              <w:jc w:val="center"/>
            </w:pPr>
            <w:r w:rsidRPr="00CF3673">
              <w:t>4</w:t>
            </w:r>
          </w:p>
        </w:tc>
      </w:tr>
      <w:tr w:rsidR="00682A88" w:rsidRPr="00CF3673" w:rsidTr="00682A88">
        <w:trPr>
          <w:trHeight w:val="300"/>
          <w:jc w:val="center"/>
        </w:trPr>
        <w:tc>
          <w:tcPr>
            <w:tcW w:w="2307" w:type="dxa"/>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2-4 anos</w:t>
            </w:r>
          </w:p>
        </w:tc>
        <w:tc>
          <w:tcPr>
            <w:tcW w:w="672" w:type="dxa"/>
            <w:tcBorders>
              <w:top w:val="single" w:sz="4" w:space="0" w:color="auto"/>
            </w:tcBorders>
            <w:noWrap/>
            <w:hideMark/>
          </w:tcPr>
          <w:p w:rsidR="00682A88" w:rsidRPr="00CF3673" w:rsidRDefault="00682A88" w:rsidP="00682A88">
            <w:pPr>
              <w:jc w:val="center"/>
            </w:pPr>
            <w:r w:rsidRPr="00CF3673">
              <w:t>44.8</w:t>
            </w:r>
          </w:p>
        </w:tc>
        <w:tc>
          <w:tcPr>
            <w:tcW w:w="789" w:type="dxa"/>
            <w:tcBorders>
              <w:top w:val="single" w:sz="4" w:space="0" w:color="auto"/>
            </w:tcBorders>
            <w:noWrap/>
            <w:hideMark/>
          </w:tcPr>
          <w:p w:rsidR="00682A88" w:rsidRPr="00CF3673" w:rsidRDefault="00682A88" w:rsidP="00682A88">
            <w:pPr>
              <w:jc w:val="center"/>
            </w:pPr>
            <w:r w:rsidRPr="00CF3673">
              <w:t>9.4</w:t>
            </w:r>
          </w:p>
        </w:tc>
        <w:tc>
          <w:tcPr>
            <w:tcW w:w="236" w:type="dxa"/>
            <w:tcBorders>
              <w:top w:val="single" w:sz="4" w:space="0" w:color="auto"/>
            </w:tcBorders>
          </w:tcPr>
          <w:p w:rsidR="00682A88" w:rsidRPr="00CF3673" w:rsidRDefault="00682A88" w:rsidP="00682A88">
            <w:pPr>
              <w:jc w:val="center"/>
            </w:pPr>
          </w:p>
        </w:tc>
        <w:tc>
          <w:tcPr>
            <w:tcW w:w="672" w:type="dxa"/>
            <w:tcBorders>
              <w:top w:val="single" w:sz="4" w:space="0" w:color="auto"/>
            </w:tcBorders>
            <w:noWrap/>
            <w:hideMark/>
          </w:tcPr>
          <w:p w:rsidR="00682A88" w:rsidRPr="00CF3673" w:rsidRDefault="00682A88" w:rsidP="00682A88">
            <w:pPr>
              <w:jc w:val="center"/>
            </w:pPr>
            <w:r w:rsidRPr="00CF3673">
              <w:t>28.9</w:t>
            </w:r>
          </w:p>
        </w:tc>
        <w:tc>
          <w:tcPr>
            <w:tcW w:w="789" w:type="dxa"/>
            <w:tcBorders>
              <w:top w:val="single" w:sz="4" w:space="0" w:color="auto"/>
              <w:right w:val="nil"/>
            </w:tcBorders>
            <w:noWrap/>
            <w:hideMark/>
          </w:tcPr>
          <w:p w:rsidR="00682A88" w:rsidRPr="00CF3673" w:rsidRDefault="00682A88" w:rsidP="00682A88">
            <w:pPr>
              <w:jc w:val="center"/>
            </w:pPr>
            <w:r w:rsidRPr="00CF3673">
              <w:t>5.5</w:t>
            </w:r>
          </w:p>
        </w:tc>
        <w:tc>
          <w:tcPr>
            <w:tcW w:w="236" w:type="dxa"/>
            <w:tcBorders>
              <w:top w:val="single" w:sz="4" w:space="0" w:color="auto"/>
              <w:right w:val="nil"/>
            </w:tcBorders>
          </w:tcPr>
          <w:p w:rsidR="00682A88" w:rsidRPr="00CF3673" w:rsidRDefault="00682A88" w:rsidP="00682A88">
            <w:pPr>
              <w:jc w:val="center"/>
            </w:pPr>
          </w:p>
        </w:tc>
        <w:tc>
          <w:tcPr>
            <w:tcW w:w="1197" w:type="dxa"/>
            <w:tcBorders>
              <w:top w:val="single" w:sz="4" w:space="0" w:color="auto"/>
              <w:left w:val="nil"/>
            </w:tcBorders>
          </w:tcPr>
          <w:p w:rsidR="00682A88" w:rsidRPr="00CF3673" w:rsidRDefault="00682A88" w:rsidP="00682A88">
            <w:pPr>
              <w:jc w:val="center"/>
            </w:pPr>
            <w:r w:rsidRPr="00CF3673">
              <w:t>58</w:t>
            </w:r>
          </w:p>
        </w:tc>
      </w:tr>
      <w:tr w:rsidR="00682A88" w:rsidRPr="00CF3673" w:rsidTr="00682A88">
        <w:trPr>
          <w:trHeight w:val="300"/>
          <w:jc w:val="center"/>
        </w:trPr>
        <w:tc>
          <w:tcPr>
            <w:tcW w:w="2307"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4-9 anos</w:t>
            </w:r>
          </w:p>
        </w:tc>
        <w:tc>
          <w:tcPr>
            <w:tcW w:w="672" w:type="dxa"/>
            <w:noWrap/>
            <w:hideMark/>
          </w:tcPr>
          <w:p w:rsidR="00682A88" w:rsidRPr="00CF3673" w:rsidRDefault="00682A88" w:rsidP="00682A88">
            <w:pPr>
              <w:jc w:val="center"/>
            </w:pPr>
            <w:r w:rsidRPr="00CF3673">
              <w:t>41.8</w:t>
            </w:r>
          </w:p>
        </w:tc>
        <w:tc>
          <w:tcPr>
            <w:tcW w:w="789" w:type="dxa"/>
            <w:noWrap/>
            <w:hideMark/>
          </w:tcPr>
          <w:p w:rsidR="00682A88" w:rsidRPr="00CF3673" w:rsidRDefault="00682A88" w:rsidP="00682A88">
            <w:pPr>
              <w:jc w:val="center"/>
            </w:pPr>
            <w:r w:rsidRPr="00CF3673">
              <w:t>8.6</w:t>
            </w:r>
          </w:p>
        </w:tc>
        <w:tc>
          <w:tcPr>
            <w:tcW w:w="236" w:type="dxa"/>
          </w:tcPr>
          <w:p w:rsidR="00682A88" w:rsidRPr="00CF3673" w:rsidRDefault="00682A88" w:rsidP="00682A88">
            <w:pPr>
              <w:jc w:val="center"/>
            </w:pPr>
          </w:p>
        </w:tc>
        <w:tc>
          <w:tcPr>
            <w:tcW w:w="672" w:type="dxa"/>
            <w:noWrap/>
            <w:hideMark/>
          </w:tcPr>
          <w:p w:rsidR="00682A88" w:rsidRPr="00CF3673" w:rsidRDefault="00682A88" w:rsidP="00682A88">
            <w:pPr>
              <w:jc w:val="center"/>
            </w:pPr>
            <w:r w:rsidRPr="00CF3673">
              <w:t>31.2</w:t>
            </w:r>
          </w:p>
        </w:tc>
        <w:tc>
          <w:tcPr>
            <w:tcW w:w="789" w:type="dxa"/>
            <w:tcBorders>
              <w:right w:val="nil"/>
            </w:tcBorders>
            <w:noWrap/>
            <w:hideMark/>
          </w:tcPr>
          <w:p w:rsidR="00682A88" w:rsidRPr="00CF3673" w:rsidRDefault="00682A88" w:rsidP="00682A88">
            <w:pPr>
              <w:jc w:val="center"/>
            </w:pPr>
            <w:r w:rsidRPr="00CF3673">
              <w:t>6.0</w:t>
            </w:r>
          </w:p>
        </w:tc>
        <w:tc>
          <w:tcPr>
            <w:tcW w:w="236" w:type="dxa"/>
            <w:tcBorders>
              <w:right w:val="nil"/>
            </w:tcBorders>
          </w:tcPr>
          <w:p w:rsidR="00682A88" w:rsidRPr="00CF3673" w:rsidRDefault="00682A88" w:rsidP="00682A88">
            <w:pPr>
              <w:jc w:val="center"/>
            </w:pPr>
          </w:p>
        </w:tc>
        <w:tc>
          <w:tcPr>
            <w:tcW w:w="1197" w:type="dxa"/>
            <w:tcBorders>
              <w:left w:val="nil"/>
            </w:tcBorders>
          </w:tcPr>
          <w:p w:rsidR="00682A88" w:rsidRPr="00CF3673" w:rsidRDefault="00682A88" w:rsidP="00682A88">
            <w:pPr>
              <w:jc w:val="center"/>
            </w:pPr>
            <w:r w:rsidRPr="00CF3673">
              <w:t>110</w:t>
            </w:r>
          </w:p>
        </w:tc>
      </w:tr>
      <w:tr w:rsidR="00682A88" w:rsidRPr="00CF3673" w:rsidTr="00682A88">
        <w:trPr>
          <w:trHeight w:val="300"/>
          <w:jc w:val="center"/>
        </w:trPr>
        <w:tc>
          <w:tcPr>
            <w:tcW w:w="2307"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10-15 anos</w:t>
            </w:r>
          </w:p>
        </w:tc>
        <w:tc>
          <w:tcPr>
            <w:tcW w:w="672" w:type="dxa"/>
            <w:noWrap/>
            <w:hideMark/>
          </w:tcPr>
          <w:p w:rsidR="00682A88" w:rsidRPr="00CF3673" w:rsidRDefault="00682A88" w:rsidP="00682A88">
            <w:pPr>
              <w:jc w:val="center"/>
            </w:pPr>
            <w:r w:rsidRPr="00CF3673">
              <w:t>30.1</w:t>
            </w:r>
          </w:p>
        </w:tc>
        <w:tc>
          <w:tcPr>
            <w:tcW w:w="789" w:type="dxa"/>
            <w:noWrap/>
            <w:hideMark/>
          </w:tcPr>
          <w:p w:rsidR="00682A88" w:rsidRPr="00CF3673" w:rsidRDefault="00682A88" w:rsidP="00682A88">
            <w:pPr>
              <w:jc w:val="center"/>
            </w:pPr>
            <w:r w:rsidRPr="00CF3673">
              <w:t>5.8</w:t>
            </w:r>
          </w:p>
        </w:tc>
        <w:tc>
          <w:tcPr>
            <w:tcW w:w="236" w:type="dxa"/>
          </w:tcPr>
          <w:p w:rsidR="00682A88" w:rsidRPr="00CF3673" w:rsidRDefault="00682A88" w:rsidP="00682A88">
            <w:pPr>
              <w:jc w:val="center"/>
            </w:pPr>
          </w:p>
        </w:tc>
        <w:tc>
          <w:tcPr>
            <w:tcW w:w="672" w:type="dxa"/>
            <w:noWrap/>
            <w:hideMark/>
          </w:tcPr>
          <w:p w:rsidR="00682A88" w:rsidRPr="00CF3673" w:rsidRDefault="00682A88" w:rsidP="00682A88">
            <w:pPr>
              <w:jc w:val="center"/>
            </w:pPr>
            <w:r w:rsidRPr="00CF3673">
              <w:t>18.8</w:t>
            </w:r>
          </w:p>
        </w:tc>
        <w:tc>
          <w:tcPr>
            <w:tcW w:w="789" w:type="dxa"/>
            <w:tcBorders>
              <w:right w:val="nil"/>
            </w:tcBorders>
            <w:noWrap/>
            <w:hideMark/>
          </w:tcPr>
          <w:p w:rsidR="00682A88" w:rsidRPr="00CF3673" w:rsidRDefault="00682A88" w:rsidP="00682A88">
            <w:pPr>
              <w:jc w:val="center"/>
            </w:pPr>
            <w:r w:rsidRPr="00CF3673">
              <w:t>3.4</w:t>
            </w:r>
          </w:p>
        </w:tc>
        <w:tc>
          <w:tcPr>
            <w:tcW w:w="236" w:type="dxa"/>
            <w:tcBorders>
              <w:right w:val="nil"/>
            </w:tcBorders>
          </w:tcPr>
          <w:p w:rsidR="00682A88" w:rsidRPr="00CF3673" w:rsidRDefault="00682A88" w:rsidP="00682A88">
            <w:pPr>
              <w:jc w:val="center"/>
            </w:pPr>
          </w:p>
        </w:tc>
        <w:tc>
          <w:tcPr>
            <w:tcW w:w="1197" w:type="dxa"/>
            <w:tcBorders>
              <w:left w:val="nil"/>
            </w:tcBorders>
          </w:tcPr>
          <w:p w:rsidR="00682A88" w:rsidRPr="00CF3673" w:rsidRDefault="00682A88" w:rsidP="00682A88">
            <w:pPr>
              <w:jc w:val="center"/>
            </w:pPr>
            <w:r w:rsidRPr="00CF3673">
              <w:t>93</w:t>
            </w:r>
          </w:p>
        </w:tc>
      </w:tr>
      <w:tr w:rsidR="00682A88" w:rsidRPr="00CF3673" w:rsidTr="00682A88">
        <w:trPr>
          <w:trHeight w:val="300"/>
          <w:jc w:val="center"/>
        </w:trPr>
        <w:tc>
          <w:tcPr>
            <w:tcW w:w="2307" w:type="dxa"/>
            <w:tcBorders>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16-24 anos</w:t>
            </w:r>
          </w:p>
        </w:tc>
        <w:tc>
          <w:tcPr>
            <w:tcW w:w="672" w:type="dxa"/>
            <w:tcBorders>
              <w:bottom w:val="nil"/>
            </w:tcBorders>
            <w:noWrap/>
            <w:hideMark/>
          </w:tcPr>
          <w:p w:rsidR="00682A88" w:rsidRPr="00CF3673" w:rsidRDefault="00682A88" w:rsidP="00682A88">
            <w:pPr>
              <w:jc w:val="center"/>
            </w:pPr>
            <w:r w:rsidRPr="00CF3673">
              <w:t>27.8</w:t>
            </w:r>
          </w:p>
        </w:tc>
        <w:tc>
          <w:tcPr>
            <w:tcW w:w="789" w:type="dxa"/>
            <w:tcBorders>
              <w:bottom w:val="nil"/>
            </w:tcBorders>
            <w:noWrap/>
            <w:hideMark/>
          </w:tcPr>
          <w:p w:rsidR="00682A88" w:rsidRPr="00CF3673" w:rsidRDefault="00682A88" w:rsidP="00682A88">
            <w:pPr>
              <w:jc w:val="center"/>
            </w:pPr>
            <w:r w:rsidRPr="00CF3673">
              <w:t>5.3</w:t>
            </w:r>
          </w:p>
        </w:tc>
        <w:tc>
          <w:tcPr>
            <w:tcW w:w="236" w:type="dxa"/>
            <w:tcBorders>
              <w:bottom w:val="nil"/>
            </w:tcBorders>
          </w:tcPr>
          <w:p w:rsidR="00682A88" w:rsidRPr="00CF3673" w:rsidRDefault="00682A88" w:rsidP="00682A88">
            <w:pPr>
              <w:jc w:val="center"/>
            </w:pPr>
          </w:p>
        </w:tc>
        <w:tc>
          <w:tcPr>
            <w:tcW w:w="672" w:type="dxa"/>
            <w:tcBorders>
              <w:bottom w:val="nil"/>
            </w:tcBorders>
            <w:noWrap/>
            <w:hideMark/>
          </w:tcPr>
          <w:p w:rsidR="00682A88" w:rsidRPr="00CF3673" w:rsidRDefault="00682A88" w:rsidP="00682A88">
            <w:pPr>
              <w:jc w:val="center"/>
            </w:pPr>
            <w:r w:rsidRPr="00CF3673">
              <w:t>23.5</w:t>
            </w:r>
          </w:p>
        </w:tc>
        <w:tc>
          <w:tcPr>
            <w:tcW w:w="789" w:type="dxa"/>
            <w:tcBorders>
              <w:bottom w:val="nil"/>
              <w:right w:val="nil"/>
            </w:tcBorders>
            <w:noWrap/>
            <w:hideMark/>
          </w:tcPr>
          <w:p w:rsidR="00682A88" w:rsidRPr="00CF3673" w:rsidRDefault="00682A88" w:rsidP="00682A88">
            <w:pPr>
              <w:jc w:val="center"/>
            </w:pPr>
            <w:r w:rsidRPr="00CF3673">
              <w:t>4.4</w:t>
            </w:r>
          </w:p>
        </w:tc>
        <w:tc>
          <w:tcPr>
            <w:tcW w:w="236" w:type="dxa"/>
            <w:tcBorders>
              <w:bottom w:val="nil"/>
              <w:right w:val="nil"/>
            </w:tcBorders>
          </w:tcPr>
          <w:p w:rsidR="00682A88" w:rsidRPr="00CF3673" w:rsidRDefault="00682A88" w:rsidP="00682A88">
            <w:pPr>
              <w:jc w:val="center"/>
            </w:pPr>
          </w:p>
        </w:tc>
        <w:tc>
          <w:tcPr>
            <w:tcW w:w="1197" w:type="dxa"/>
            <w:tcBorders>
              <w:left w:val="nil"/>
              <w:bottom w:val="nil"/>
            </w:tcBorders>
          </w:tcPr>
          <w:p w:rsidR="00682A88" w:rsidRPr="00CF3673" w:rsidRDefault="00682A88" w:rsidP="00682A88">
            <w:pPr>
              <w:jc w:val="center"/>
            </w:pPr>
            <w:r w:rsidRPr="00CF3673">
              <w:t>72</w:t>
            </w:r>
          </w:p>
        </w:tc>
      </w:tr>
      <w:tr w:rsidR="00682A88" w:rsidRPr="00CF3673" w:rsidTr="00682A88">
        <w:trPr>
          <w:trHeight w:val="300"/>
          <w:jc w:val="center"/>
        </w:trPr>
        <w:tc>
          <w:tcPr>
            <w:tcW w:w="2307"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+25 anos</w:t>
            </w:r>
          </w:p>
        </w:tc>
        <w:tc>
          <w:tcPr>
            <w:tcW w:w="672" w:type="dxa"/>
            <w:tcBorders>
              <w:top w:val="nil"/>
              <w:bottom w:val="single" w:sz="4" w:space="0" w:color="auto"/>
            </w:tcBorders>
            <w:noWrap/>
            <w:hideMark/>
          </w:tcPr>
          <w:p w:rsidR="00682A88" w:rsidRPr="00CF3673" w:rsidRDefault="00682A88" w:rsidP="00682A88">
            <w:pPr>
              <w:jc w:val="center"/>
            </w:pPr>
            <w:r w:rsidRPr="00CF3673">
              <w:t>23.9</w:t>
            </w:r>
          </w:p>
        </w:tc>
        <w:tc>
          <w:tcPr>
            <w:tcW w:w="789" w:type="dxa"/>
            <w:tcBorders>
              <w:top w:val="nil"/>
              <w:bottom w:val="single" w:sz="4" w:space="0" w:color="auto"/>
            </w:tcBorders>
            <w:noWrap/>
            <w:hideMark/>
          </w:tcPr>
          <w:p w:rsidR="00682A88" w:rsidRPr="00CF3673" w:rsidRDefault="00682A88" w:rsidP="00682A88">
            <w:pPr>
              <w:jc w:val="center"/>
            </w:pPr>
            <w:r w:rsidRPr="00CF3673">
              <w:t>4.5</w:t>
            </w:r>
          </w:p>
        </w:tc>
        <w:tc>
          <w:tcPr>
            <w:tcW w:w="236" w:type="dxa"/>
            <w:tcBorders>
              <w:top w:val="nil"/>
              <w:bottom w:val="single" w:sz="4" w:space="0" w:color="auto"/>
            </w:tcBorders>
          </w:tcPr>
          <w:p w:rsidR="00682A88" w:rsidRPr="00CF3673" w:rsidRDefault="00682A88" w:rsidP="00682A88">
            <w:pPr>
              <w:jc w:val="center"/>
            </w:pPr>
          </w:p>
        </w:tc>
        <w:tc>
          <w:tcPr>
            <w:tcW w:w="672" w:type="dxa"/>
            <w:tcBorders>
              <w:top w:val="nil"/>
              <w:bottom w:val="single" w:sz="4" w:space="0" w:color="auto"/>
            </w:tcBorders>
            <w:noWrap/>
            <w:hideMark/>
          </w:tcPr>
          <w:p w:rsidR="00682A88" w:rsidRPr="00CF3673" w:rsidRDefault="00682A88" w:rsidP="00682A88">
            <w:pPr>
              <w:jc w:val="center"/>
            </w:pPr>
            <w:r w:rsidRPr="00CF3673">
              <w:t>20.5</w:t>
            </w:r>
          </w:p>
        </w:tc>
        <w:tc>
          <w:tcPr>
            <w:tcW w:w="789" w:type="dxa"/>
            <w:tcBorders>
              <w:top w:val="nil"/>
              <w:bottom w:val="single" w:sz="4" w:space="0" w:color="auto"/>
              <w:right w:val="nil"/>
            </w:tcBorders>
            <w:noWrap/>
            <w:hideMark/>
          </w:tcPr>
          <w:p w:rsidR="00682A88" w:rsidRPr="00CF3673" w:rsidRDefault="00682A88" w:rsidP="00682A88">
            <w:pPr>
              <w:jc w:val="center"/>
            </w:pPr>
            <w:r w:rsidRPr="00CF3673">
              <w:t>3.7</w:t>
            </w:r>
          </w:p>
        </w:tc>
        <w:tc>
          <w:tcPr>
            <w:tcW w:w="236" w:type="dxa"/>
            <w:tcBorders>
              <w:top w:val="nil"/>
              <w:bottom w:val="single" w:sz="4" w:space="0" w:color="auto"/>
              <w:right w:val="nil"/>
            </w:tcBorders>
          </w:tcPr>
          <w:p w:rsidR="00682A88" w:rsidRPr="00CF3673" w:rsidRDefault="00682A88" w:rsidP="00682A88">
            <w:pPr>
              <w:jc w:val="center"/>
            </w:pPr>
          </w:p>
        </w:tc>
        <w:tc>
          <w:tcPr>
            <w:tcW w:w="1197" w:type="dxa"/>
            <w:tcBorders>
              <w:top w:val="nil"/>
              <w:left w:val="nil"/>
              <w:bottom w:val="single" w:sz="4" w:space="0" w:color="auto"/>
            </w:tcBorders>
          </w:tcPr>
          <w:p w:rsidR="00682A88" w:rsidRPr="00CF3673" w:rsidRDefault="00682A88" w:rsidP="00682A88">
            <w:pPr>
              <w:jc w:val="center"/>
            </w:pPr>
            <w:r w:rsidRPr="00CF3673">
              <w:t>92</w:t>
            </w:r>
          </w:p>
        </w:tc>
      </w:tr>
      <w:tr w:rsidR="00682A88" w:rsidRPr="00CF3673" w:rsidTr="00682A88">
        <w:trPr>
          <w:trHeight w:val="300"/>
          <w:jc w:val="center"/>
        </w:trPr>
        <w:tc>
          <w:tcPr>
            <w:tcW w:w="2307" w:type="dxa"/>
            <w:tcBorders>
              <w:top w:val="single" w:sz="4" w:space="0" w:color="auto"/>
              <w:bottom w:val="nil"/>
            </w:tcBorders>
            <w:noWrap/>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Propriedade Moçambicana</w:t>
            </w:r>
          </w:p>
        </w:tc>
        <w:tc>
          <w:tcPr>
            <w:tcW w:w="672" w:type="dxa"/>
            <w:tcBorders>
              <w:top w:val="single" w:sz="4" w:space="0" w:color="auto"/>
              <w:bottom w:val="nil"/>
            </w:tcBorders>
            <w:noWrap/>
          </w:tcPr>
          <w:p w:rsidR="00682A88" w:rsidRPr="00CF3673" w:rsidRDefault="00682A88" w:rsidP="00682A88">
            <w:pPr>
              <w:jc w:val="center"/>
            </w:pPr>
            <w:r w:rsidRPr="00CF3673">
              <w:t>34.1</w:t>
            </w:r>
          </w:p>
        </w:tc>
        <w:tc>
          <w:tcPr>
            <w:tcW w:w="789" w:type="dxa"/>
            <w:tcBorders>
              <w:top w:val="single" w:sz="4" w:space="0" w:color="auto"/>
              <w:bottom w:val="nil"/>
            </w:tcBorders>
            <w:noWrap/>
          </w:tcPr>
          <w:p w:rsidR="00682A88" w:rsidRPr="00CF3673" w:rsidRDefault="00682A88" w:rsidP="00682A88">
            <w:pPr>
              <w:jc w:val="center"/>
            </w:pPr>
            <w:r w:rsidRPr="00CF3673">
              <w:t>6.7</w:t>
            </w:r>
          </w:p>
        </w:tc>
        <w:tc>
          <w:tcPr>
            <w:tcW w:w="236" w:type="dxa"/>
            <w:tcBorders>
              <w:top w:val="single" w:sz="4" w:space="0" w:color="auto"/>
              <w:bottom w:val="nil"/>
            </w:tcBorders>
          </w:tcPr>
          <w:p w:rsidR="00682A88" w:rsidRPr="00CF3673" w:rsidRDefault="00682A88" w:rsidP="00682A88">
            <w:pPr>
              <w:jc w:val="center"/>
            </w:pPr>
          </w:p>
        </w:tc>
        <w:tc>
          <w:tcPr>
            <w:tcW w:w="672" w:type="dxa"/>
            <w:tcBorders>
              <w:top w:val="single" w:sz="4" w:space="0" w:color="auto"/>
              <w:bottom w:val="nil"/>
            </w:tcBorders>
            <w:noWrap/>
          </w:tcPr>
          <w:p w:rsidR="00682A88" w:rsidRPr="00CF3673" w:rsidRDefault="00682A88" w:rsidP="00682A88">
            <w:pPr>
              <w:jc w:val="center"/>
            </w:pPr>
            <w:r w:rsidRPr="00CF3673">
              <w:t>24.5</w:t>
            </w:r>
          </w:p>
        </w:tc>
        <w:tc>
          <w:tcPr>
            <w:tcW w:w="789" w:type="dxa"/>
            <w:tcBorders>
              <w:top w:val="single" w:sz="4" w:space="0" w:color="auto"/>
              <w:bottom w:val="nil"/>
              <w:right w:val="nil"/>
            </w:tcBorders>
            <w:noWrap/>
          </w:tcPr>
          <w:p w:rsidR="00682A88" w:rsidRPr="00CF3673" w:rsidRDefault="00682A88" w:rsidP="00682A88">
            <w:pPr>
              <w:jc w:val="center"/>
            </w:pPr>
            <w:r w:rsidRPr="00CF3673">
              <w:t>4.6</w:t>
            </w:r>
          </w:p>
        </w:tc>
        <w:tc>
          <w:tcPr>
            <w:tcW w:w="236" w:type="dxa"/>
            <w:tcBorders>
              <w:top w:val="single" w:sz="4" w:space="0" w:color="auto"/>
              <w:bottom w:val="nil"/>
              <w:right w:val="nil"/>
            </w:tcBorders>
          </w:tcPr>
          <w:p w:rsidR="00682A88" w:rsidRPr="00CF3673" w:rsidRDefault="00682A88" w:rsidP="00682A88">
            <w:pPr>
              <w:jc w:val="center"/>
            </w:pPr>
          </w:p>
        </w:tc>
        <w:tc>
          <w:tcPr>
            <w:tcW w:w="1197" w:type="dxa"/>
            <w:tcBorders>
              <w:top w:val="single" w:sz="4" w:space="0" w:color="auto"/>
              <w:left w:val="nil"/>
              <w:bottom w:val="nil"/>
            </w:tcBorders>
          </w:tcPr>
          <w:p w:rsidR="00682A88" w:rsidRPr="00CF3673" w:rsidRDefault="00682A88" w:rsidP="00682A88">
            <w:pPr>
              <w:jc w:val="center"/>
            </w:pPr>
            <w:r w:rsidRPr="00CF3673">
              <w:t>355</w:t>
            </w:r>
          </w:p>
        </w:tc>
      </w:tr>
      <w:tr w:rsidR="00682A88" w:rsidRPr="00CF3673" w:rsidTr="00682A88">
        <w:trPr>
          <w:trHeight w:val="300"/>
          <w:jc w:val="center"/>
        </w:trPr>
        <w:tc>
          <w:tcPr>
            <w:tcW w:w="2307" w:type="dxa"/>
            <w:tcBorders>
              <w:top w:val="nil"/>
              <w:bottom w:val="single" w:sz="4" w:space="0" w:color="auto"/>
            </w:tcBorders>
            <w:noWrap/>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Propriedade Estrangeira</w:t>
            </w:r>
          </w:p>
        </w:tc>
        <w:tc>
          <w:tcPr>
            <w:tcW w:w="672" w:type="dxa"/>
            <w:tcBorders>
              <w:top w:val="nil"/>
              <w:bottom w:val="single" w:sz="4" w:space="0" w:color="auto"/>
            </w:tcBorders>
            <w:noWrap/>
          </w:tcPr>
          <w:p w:rsidR="00682A88" w:rsidRPr="00CF3673" w:rsidRDefault="00682A88" w:rsidP="00682A88">
            <w:pPr>
              <w:jc w:val="center"/>
            </w:pPr>
            <w:r w:rsidRPr="00CF3673">
              <w:t>27.5</w:t>
            </w:r>
          </w:p>
        </w:tc>
        <w:tc>
          <w:tcPr>
            <w:tcW w:w="789" w:type="dxa"/>
            <w:tcBorders>
              <w:top w:val="nil"/>
              <w:bottom w:val="single" w:sz="4" w:space="0" w:color="auto"/>
            </w:tcBorders>
            <w:noWrap/>
          </w:tcPr>
          <w:p w:rsidR="00682A88" w:rsidRPr="00CF3673" w:rsidRDefault="00682A88" w:rsidP="00682A88">
            <w:pPr>
              <w:jc w:val="center"/>
            </w:pPr>
            <w:r w:rsidRPr="00CF3673">
              <w:t>5.2</w:t>
            </w:r>
          </w:p>
        </w:tc>
        <w:tc>
          <w:tcPr>
            <w:tcW w:w="236" w:type="dxa"/>
            <w:tcBorders>
              <w:top w:val="nil"/>
              <w:bottom w:val="single" w:sz="4" w:space="0" w:color="auto"/>
            </w:tcBorders>
          </w:tcPr>
          <w:p w:rsidR="00682A88" w:rsidRPr="00CF3673" w:rsidRDefault="00682A88" w:rsidP="00682A88">
            <w:pPr>
              <w:jc w:val="center"/>
            </w:pPr>
          </w:p>
        </w:tc>
        <w:tc>
          <w:tcPr>
            <w:tcW w:w="672" w:type="dxa"/>
            <w:tcBorders>
              <w:top w:val="nil"/>
              <w:bottom w:val="single" w:sz="4" w:space="0" w:color="auto"/>
            </w:tcBorders>
            <w:noWrap/>
          </w:tcPr>
          <w:p w:rsidR="00682A88" w:rsidRPr="00CF3673" w:rsidRDefault="00682A88" w:rsidP="00682A88">
            <w:pPr>
              <w:jc w:val="center"/>
            </w:pPr>
            <w:r w:rsidRPr="00CF3673">
              <w:t>21.4</w:t>
            </w:r>
          </w:p>
        </w:tc>
        <w:tc>
          <w:tcPr>
            <w:tcW w:w="789" w:type="dxa"/>
            <w:tcBorders>
              <w:top w:val="nil"/>
              <w:bottom w:val="single" w:sz="4" w:space="0" w:color="auto"/>
              <w:right w:val="nil"/>
            </w:tcBorders>
            <w:noWrap/>
          </w:tcPr>
          <w:p w:rsidR="00682A88" w:rsidRPr="00CF3673" w:rsidRDefault="00682A88" w:rsidP="00682A88">
            <w:pPr>
              <w:jc w:val="center"/>
            </w:pPr>
            <w:r w:rsidRPr="00CF3673">
              <w:t>3.9</w:t>
            </w:r>
          </w:p>
        </w:tc>
        <w:tc>
          <w:tcPr>
            <w:tcW w:w="236" w:type="dxa"/>
            <w:tcBorders>
              <w:top w:val="nil"/>
              <w:bottom w:val="single" w:sz="4" w:space="0" w:color="auto"/>
              <w:right w:val="nil"/>
            </w:tcBorders>
          </w:tcPr>
          <w:p w:rsidR="00682A88" w:rsidRPr="00CF3673" w:rsidRDefault="00682A88" w:rsidP="00682A88">
            <w:pPr>
              <w:jc w:val="center"/>
            </w:pPr>
          </w:p>
        </w:tc>
        <w:tc>
          <w:tcPr>
            <w:tcW w:w="1197" w:type="dxa"/>
            <w:tcBorders>
              <w:top w:val="nil"/>
              <w:left w:val="nil"/>
              <w:bottom w:val="single" w:sz="4" w:space="0" w:color="auto"/>
            </w:tcBorders>
          </w:tcPr>
          <w:p w:rsidR="00682A88" w:rsidRPr="00CF3673" w:rsidRDefault="00682A88" w:rsidP="00682A88">
            <w:pPr>
              <w:jc w:val="center"/>
            </w:pPr>
            <w:r w:rsidRPr="00CF3673">
              <w:t>91</w:t>
            </w:r>
          </w:p>
        </w:tc>
      </w:tr>
      <w:tr w:rsidR="00682A88" w:rsidRPr="00CF3673" w:rsidTr="00682A88">
        <w:trPr>
          <w:trHeight w:val="300"/>
          <w:jc w:val="center"/>
        </w:trPr>
        <w:tc>
          <w:tcPr>
            <w:tcW w:w="2307" w:type="dxa"/>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Sociedade Unipessoal</w:t>
            </w:r>
          </w:p>
        </w:tc>
        <w:tc>
          <w:tcPr>
            <w:tcW w:w="672" w:type="dxa"/>
            <w:tcBorders>
              <w:top w:val="single" w:sz="4" w:space="0" w:color="auto"/>
            </w:tcBorders>
            <w:noWrap/>
            <w:hideMark/>
          </w:tcPr>
          <w:p w:rsidR="00682A88" w:rsidRPr="00CF3673" w:rsidRDefault="00682A88" w:rsidP="00682A88">
            <w:pPr>
              <w:jc w:val="center"/>
            </w:pPr>
            <w:r w:rsidRPr="00CF3673">
              <w:t>36.9</w:t>
            </w:r>
          </w:p>
        </w:tc>
        <w:tc>
          <w:tcPr>
            <w:tcW w:w="789" w:type="dxa"/>
            <w:tcBorders>
              <w:top w:val="single" w:sz="4" w:space="0" w:color="auto"/>
            </w:tcBorders>
            <w:noWrap/>
            <w:hideMark/>
          </w:tcPr>
          <w:p w:rsidR="00682A88" w:rsidRPr="00CF3673" w:rsidRDefault="00682A88" w:rsidP="00682A88">
            <w:pPr>
              <w:jc w:val="center"/>
            </w:pPr>
            <w:r w:rsidRPr="00CF3673">
              <w:t>7.4</w:t>
            </w:r>
          </w:p>
        </w:tc>
        <w:tc>
          <w:tcPr>
            <w:tcW w:w="236" w:type="dxa"/>
            <w:tcBorders>
              <w:top w:val="single" w:sz="4" w:space="0" w:color="auto"/>
            </w:tcBorders>
          </w:tcPr>
          <w:p w:rsidR="00682A88" w:rsidRPr="00CF3673" w:rsidRDefault="00682A88" w:rsidP="00682A88">
            <w:pPr>
              <w:jc w:val="center"/>
            </w:pPr>
          </w:p>
        </w:tc>
        <w:tc>
          <w:tcPr>
            <w:tcW w:w="672" w:type="dxa"/>
            <w:tcBorders>
              <w:top w:val="single" w:sz="4" w:space="0" w:color="auto"/>
            </w:tcBorders>
            <w:noWrap/>
            <w:hideMark/>
          </w:tcPr>
          <w:p w:rsidR="00682A88" w:rsidRPr="00CF3673" w:rsidRDefault="00682A88" w:rsidP="00682A88">
            <w:pPr>
              <w:jc w:val="center"/>
            </w:pPr>
            <w:r w:rsidRPr="00CF3673">
              <w:t>27.5</w:t>
            </w:r>
          </w:p>
        </w:tc>
        <w:tc>
          <w:tcPr>
            <w:tcW w:w="789" w:type="dxa"/>
            <w:tcBorders>
              <w:top w:val="single" w:sz="4" w:space="0" w:color="auto"/>
              <w:right w:val="nil"/>
            </w:tcBorders>
            <w:noWrap/>
            <w:hideMark/>
          </w:tcPr>
          <w:p w:rsidR="00682A88" w:rsidRPr="00CF3673" w:rsidRDefault="00682A88" w:rsidP="00682A88">
            <w:pPr>
              <w:jc w:val="center"/>
            </w:pPr>
            <w:r w:rsidRPr="00CF3673">
              <w:t>5.2</w:t>
            </w:r>
          </w:p>
        </w:tc>
        <w:tc>
          <w:tcPr>
            <w:tcW w:w="236" w:type="dxa"/>
            <w:tcBorders>
              <w:top w:val="single" w:sz="4" w:space="0" w:color="auto"/>
              <w:right w:val="nil"/>
            </w:tcBorders>
          </w:tcPr>
          <w:p w:rsidR="00682A88" w:rsidRPr="00CF3673" w:rsidRDefault="00682A88" w:rsidP="00682A88">
            <w:pPr>
              <w:jc w:val="center"/>
            </w:pPr>
          </w:p>
        </w:tc>
        <w:tc>
          <w:tcPr>
            <w:tcW w:w="1197" w:type="dxa"/>
            <w:tcBorders>
              <w:top w:val="single" w:sz="4" w:space="0" w:color="auto"/>
              <w:left w:val="nil"/>
            </w:tcBorders>
          </w:tcPr>
          <w:p w:rsidR="00682A88" w:rsidRPr="00CF3673" w:rsidRDefault="00682A88" w:rsidP="00682A88">
            <w:pPr>
              <w:jc w:val="center"/>
            </w:pPr>
            <w:r w:rsidRPr="00CF3673">
              <w:t>271</w:t>
            </w:r>
          </w:p>
        </w:tc>
      </w:tr>
      <w:tr w:rsidR="00682A88" w:rsidRPr="00CF3673" w:rsidTr="00682A88">
        <w:trPr>
          <w:trHeight w:val="300"/>
          <w:jc w:val="center"/>
        </w:trPr>
        <w:tc>
          <w:tcPr>
            <w:tcW w:w="2307"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Parceria</w:t>
            </w:r>
          </w:p>
        </w:tc>
        <w:tc>
          <w:tcPr>
            <w:tcW w:w="672" w:type="dxa"/>
            <w:noWrap/>
            <w:hideMark/>
          </w:tcPr>
          <w:p w:rsidR="00682A88" w:rsidRPr="00CF3673" w:rsidRDefault="00682A88" w:rsidP="00682A88">
            <w:pPr>
              <w:jc w:val="center"/>
            </w:pPr>
            <w:r w:rsidRPr="00CF3673">
              <w:t>27.2</w:t>
            </w:r>
          </w:p>
        </w:tc>
        <w:tc>
          <w:tcPr>
            <w:tcW w:w="789" w:type="dxa"/>
            <w:noWrap/>
            <w:hideMark/>
          </w:tcPr>
          <w:p w:rsidR="00682A88" w:rsidRPr="00CF3673" w:rsidRDefault="00682A88" w:rsidP="00682A88">
            <w:pPr>
              <w:jc w:val="center"/>
            </w:pPr>
            <w:r w:rsidRPr="00CF3673">
              <w:t>5.2</w:t>
            </w:r>
          </w:p>
        </w:tc>
        <w:tc>
          <w:tcPr>
            <w:tcW w:w="236" w:type="dxa"/>
          </w:tcPr>
          <w:p w:rsidR="00682A88" w:rsidRPr="00CF3673" w:rsidRDefault="00682A88" w:rsidP="00682A88">
            <w:pPr>
              <w:jc w:val="center"/>
            </w:pPr>
          </w:p>
        </w:tc>
        <w:tc>
          <w:tcPr>
            <w:tcW w:w="672" w:type="dxa"/>
            <w:noWrap/>
            <w:hideMark/>
          </w:tcPr>
          <w:p w:rsidR="00682A88" w:rsidRPr="00CF3673" w:rsidRDefault="00682A88" w:rsidP="00682A88">
            <w:pPr>
              <w:jc w:val="center"/>
            </w:pPr>
            <w:r w:rsidRPr="00CF3673">
              <w:t>18.8</w:t>
            </w:r>
          </w:p>
        </w:tc>
        <w:tc>
          <w:tcPr>
            <w:tcW w:w="789" w:type="dxa"/>
            <w:tcBorders>
              <w:right w:val="nil"/>
            </w:tcBorders>
            <w:noWrap/>
            <w:hideMark/>
          </w:tcPr>
          <w:p w:rsidR="00682A88" w:rsidRPr="00CF3673" w:rsidRDefault="00682A88" w:rsidP="00682A88">
            <w:pPr>
              <w:jc w:val="center"/>
            </w:pPr>
            <w:r w:rsidRPr="00CF3673">
              <w:t>3.4</w:t>
            </w:r>
          </w:p>
        </w:tc>
        <w:tc>
          <w:tcPr>
            <w:tcW w:w="236" w:type="dxa"/>
            <w:tcBorders>
              <w:right w:val="nil"/>
            </w:tcBorders>
          </w:tcPr>
          <w:p w:rsidR="00682A88" w:rsidRPr="00CF3673" w:rsidRDefault="00682A88" w:rsidP="00682A88">
            <w:pPr>
              <w:jc w:val="center"/>
            </w:pPr>
          </w:p>
        </w:tc>
        <w:tc>
          <w:tcPr>
            <w:tcW w:w="1197" w:type="dxa"/>
            <w:tcBorders>
              <w:left w:val="nil"/>
            </w:tcBorders>
          </w:tcPr>
          <w:p w:rsidR="00682A88" w:rsidRPr="00CF3673" w:rsidRDefault="00682A88" w:rsidP="00682A88">
            <w:pPr>
              <w:jc w:val="center"/>
            </w:pPr>
            <w:r w:rsidRPr="00CF3673">
              <w:t>125</w:t>
            </w:r>
          </w:p>
        </w:tc>
      </w:tr>
      <w:tr w:rsidR="00682A88" w:rsidRPr="00CF3673" w:rsidTr="00682A88">
        <w:trPr>
          <w:trHeight w:val="300"/>
          <w:jc w:val="center"/>
        </w:trPr>
        <w:tc>
          <w:tcPr>
            <w:tcW w:w="2307" w:type="dxa"/>
            <w:tcBorders>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Responsabilidade Limitada</w:t>
            </w:r>
          </w:p>
        </w:tc>
        <w:tc>
          <w:tcPr>
            <w:tcW w:w="672" w:type="dxa"/>
            <w:tcBorders>
              <w:bottom w:val="nil"/>
            </w:tcBorders>
            <w:noWrap/>
            <w:hideMark/>
          </w:tcPr>
          <w:p w:rsidR="00682A88" w:rsidRPr="00CF3673" w:rsidRDefault="00682A88" w:rsidP="00682A88">
            <w:pPr>
              <w:jc w:val="center"/>
            </w:pPr>
            <w:r w:rsidRPr="00CF3673">
              <w:t>22.4</w:t>
            </w:r>
          </w:p>
        </w:tc>
        <w:tc>
          <w:tcPr>
            <w:tcW w:w="789" w:type="dxa"/>
            <w:tcBorders>
              <w:bottom w:val="nil"/>
            </w:tcBorders>
            <w:noWrap/>
            <w:hideMark/>
          </w:tcPr>
          <w:p w:rsidR="00682A88" w:rsidRPr="00CF3673" w:rsidRDefault="00682A88" w:rsidP="00682A88">
            <w:pPr>
              <w:jc w:val="center"/>
            </w:pPr>
            <w:r w:rsidRPr="00CF3673">
              <w:t>4.1</w:t>
            </w:r>
          </w:p>
        </w:tc>
        <w:tc>
          <w:tcPr>
            <w:tcW w:w="236" w:type="dxa"/>
            <w:tcBorders>
              <w:bottom w:val="nil"/>
            </w:tcBorders>
          </w:tcPr>
          <w:p w:rsidR="00682A88" w:rsidRPr="00CF3673" w:rsidRDefault="00682A88" w:rsidP="00682A88">
            <w:pPr>
              <w:jc w:val="center"/>
            </w:pPr>
          </w:p>
        </w:tc>
        <w:tc>
          <w:tcPr>
            <w:tcW w:w="672" w:type="dxa"/>
            <w:tcBorders>
              <w:bottom w:val="nil"/>
            </w:tcBorders>
            <w:noWrap/>
            <w:hideMark/>
          </w:tcPr>
          <w:p w:rsidR="00682A88" w:rsidRPr="00CF3673" w:rsidRDefault="00682A88" w:rsidP="00682A88">
            <w:pPr>
              <w:jc w:val="center"/>
            </w:pPr>
            <w:r w:rsidRPr="00CF3673">
              <w:t>15.6</w:t>
            </w:r>
          </w:p>
        </w:tc>
        <w:tc>
          <w:tcPr>
            <w:tcW w:w="789" w:type="dxa"/>
            <w:tcBorders>
              <w:bottom w:val="nil"/>
              <w:right w:val="nil"/>
            </w:tcBorders>
            <w:noWrap/>
            <w:hideMark/>
          </w:tcPr>
          <w:p w:rsidR="00682A88" w:rsidRPr="00CF3673" w:rsidRDefault="00682A88" w:rsidP="00682A88">
            <w:pPr>
              <w:jc w:val="center"/>
            </w:pPr>
            <w:r w:rsidRPr="00CF3673">
              <w:t>2.8</w:t>
            </w:r>
          </w:p>
        </w:tc>
        <w:tc>
          <w:tcPr>
            <w:tcW w:w="236" w:type="dxa"/>
            <w:tcBorders>
              <w:bottom w:val="nil"/>
              <w:right w:val="nil"/>
            </w:tcBorders>
          </w:tcPr>
          <w:p w:rsidR="00682A88" w:rsidRPr="00CF3673" w:rsidRDefault="00682A88" w:rsidP="00682A88">
            <w:pPr>
              <w:jc w:val="center"/>
            </w:pPr>
          </w:p>
        </w:tc>
        <w:tc>
          <w:tcPr>
            <w:tcW w:w="1197" w:type="dxa"/>
            <w:tcBorders>
              <w:left w:val="nil"/>
              <w:bottom w:val="nil"/>
            </w:tcBorders>
          </w:tcPr>
          <w:p w:rsidR="00682A88" w:rsidRPr="00CF3673" w:rsidRDefault="00682A88" w:rsidP="00682A88">
            <w:pPr>
              <w:jc w:val="center"/>
            </w:pPr>
            <w:r w:rsidRPr="00CF3673">
              <w:t>49</w:t>
            </w:r>
          </w:p>
        </w:tc>
      </w:tr>
      <w:tr w:rsidR="00682A88" w:rsidRPr="00CF3673" w:rsidTr="00682A88">
        <w:trPr>
          <w:trHeight w:val="300"/>
          <w:jc w:val="center"/>
        </w:trPr>
        <w:tc>
          <w:tcPr>
            <w:tcW w:w="2307" w:type="dxa"/>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Maputo</w:t>
            </w:r>
          </w:p>
        </w:tc>
        <w:tc>
          <w:tcPr>
            <w:tcW w:w="672" w:type="dxa"/>
            <w:tcBorders>
              <w:top w:val="single" w:sz="4" w:space="0" w:color="auto"/>
            </w:tcBorders>
            <w:noWrap/>
            <w:hideMark/>
          </w:tcPr>
          <w:p w:rsidR="00682A88" w:rsidRPr="00CF3673" w:rsidRDefault="00682A88" w:rsidP="00682A88">
            <w:pPr>
              <w:jc w:val="center"/>
            </w:pPr>
            <w:r w:rsidRPr="00CF3673">
              <w:t>33.4</w:t>
            </w:r>
          </w:p>
        </w:tc>
        <w:tc>
          <w:tcPr>
            <w:tcW w:w="789" w:type="dxa"/>
            <w:tcBorders>
              <w:top w:val="single" w:sz="4" w:space="0" w:color="auto"/>
            </w:tcBorders>
            <w:noWrap/>
            <w:hideMark/>
          </w:tcPr>
          <w:p w:rsidR="00682A88" w:rsidRPr="00CF3673" w:rsidRDefault="00682A88" w:rsidP="00682A88">
            <w:pPr>
              <w:jc w:val="center"/>
            </w:pPr>
            <w:r w:rsidRPr="00CF3673">
              <w:t>6.6</w:t>
            </w:r>
          </w:p>
        </w:tc>
        <w:tc>
          <w:tcPr>
            <w:tcW w:w="236" w:type="dxa"/>
            <w:tcBorders>
              <w:top w:val="single" w:sz="4" w:space="0" w:color="auto"/>
            </w:tcBorders>
          </w:tcPr>
          <w:p w:rsidR="00682A88" w:rsidRPr="00CF3673" w:rsidRDefault="00682A88" w:rsidP="00682A88">
            <w:pPr>
              <w:jc w:val="center"/>
            </w:pPr>
          </w:p>
        </w:tc>
        <w:tc>
          <w:tcPr>
            <w:tcW w:w="672" w:type="dxa"/>
            <w:tcBorders>
              <w:top w:val="single" w:sz="4" w:space="0" w:color="auto"/>
            </w:tcBorders>
            <w:noWrap/>
            <w:hideMark/>
          </w:tcPr>
          <w:p w:rsidR="00682A88" w:rsidRPr="00CF3673" w:rsidRDefault="00682A88" w:rsidP="00682A88">
            <w:pPr>
              <w:jc w:val="center"/>
            </w:pPr>
            <w:r w:rsidRPr="00CF3673">
              <w:t>26.3</w:t>
            </w:r>
          </w:p>
        </w:tc>
        <w:tc>
          <w:tcPr>
            <w:tcW w:w="789" w:type="dxa"/>
            <w:tcBorders>
              <w:top w:val="single" w:sz="4" w:space="0" w:color="auto"/>
              <w:right w:val="nil"/>
            </w:tcBorders>
            <w:noWrap/>
            <w:hideMark/>
          </w:tcPr>
          <w:p w:rsidR="00682A88" w:rsidRPr="00CF3673" w:rsidRDefault="00682A88" w:rsidP="00682A88">
            <w:pPr>
              <w:jc w:val="center"/>
            </w:pPr>
            <w:r w:rsidRPr="00CF3673">
              <w:t>5.0</w:t>
            </w:r>
          </w:p>
        </w:tc>
        <w:tc>
          <w:tcPr>
            <w:tcW w:w="236" w:type="dxa"/>
            <w:tcBorders>
              <w:top w:val="single" w:sz="4" w:space="0" w:color="auto"/>
              <w:right w:val="nil"/>
            </w:tcBorders>
          </w:tcPr>
          <w:p w:rsidR="00682A88" w:rsidRPr="00CF3673" w:rsidRDefault="00682A88" w:rsidP="00682A88">
            <w:pPr>
              <w:jc w:val="center"/>
            </w:pPr>
          </w:p>
        </w:tc>
        <w:tc>
          <w:tcPr>
            <w:tcW w:w="1197" w:type="dxa"/>
            <w:tcBorders>
              <w:top w:val="single" w:sz="4" w:space="0" w:color="auto"/>
              <w:left w:val="nil"/>
            </w:tcBorders>
          </w:tcPr>
          <w:p w:rsidR="00682A88" w:rsidRPr="00CF3673" w:rsidRDefault="00682A88" w:rsidP="00682A88">
            <w:pPr>
              <w:jc w:val="center"/>
            </w:pPr>
            <w:r w:rsidRPr="00CF3673">
              <w:t>308</w:t>
            </w:r>
          </w:p>
        </w:tc>
      </w:tr>
      <w:tr w:rsidR="00682A88" w:rsidRPr="00CF3673" w:rsidTr="00682A88">
        <w:trPr>
          <w:trHeight w:val="300"/>
          <w:jc w:val="center"/>
        </w:trPr>
        <w:tc>
          <w:tcPr>
            <w:tcW w:w="2307"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Matola</w:t>
            </w:r>
          </w:p>
        </w:tc>
        <w:tc>
          <w:tcPr>
            <w:tcW w:w="672" w:type="dxa"/>
            <w:noWrap/>
            <w:hideMark/>
          </w:tcPr>
          <w:p w:rsidR="00682A88" w:rsidRPr="00CF3673" w:rsidRDefault="00682A88" w:rsidP="00682A88">
            <w:pPr>
              <w:jc w:val="center"/>
            </w:pPr>
            <w:r w:rsidRPr="00CF3673">
              <w:t>40.0</w:t>
            </w:r>
          </w:p>
        </w:tc>
        <w:tc>
          <w:tcPr>
            <w:tcW w:w="789" w:type="dxa"/>
            <w:noWrap/>
            <w:hideMark/>
          </w:tcPr>
          <w:p w:rsidR="00682A88" w:rsidRPr="00CF3673" w:rsidRDefault="00682A88" w:rsidP="00682A88">
            <w:pPr>
              <w:jc w:val="center"/>
            </w:pPr>
            <w:r w:rsidRPr="00CF3673">
              <w:t>8.2</w:t>
            </w:r>
          </w:p>
        </w:tc>
        <w:tc>
          <w:tcPr>
            <w:tcW w:w="236" w:type="dxa"/>
          </w:tcPr>
          <w:p w:rsidR="00682A88" w:rsidRPr="00CF3673" w:rsidRDefault="00682A88" w:rsidP="00682A88">
            <w:pPr>
              <w:jc w:val="center"/>
            </w:pPr>
          </w:p>
        </w:tc>
        <w:tc>
          <w:tcPr>
            <w:tcW w:w="672" w:type="dxa"/>
            <w:noWrap/>
            <w:hideMark/>
          </w:tcPr>
          <w:p w:rsidR="00682A88" w:rsidRPr="00CF3673" w:rsidRDefault="00682A88" w:rsidP="00682A88">
            <w:pPr>
              <w:jc w:val="center"/>
            </w:pPr>
            <w:r w:rsidRPr="00CF3673">
              <w:t>16.0</w:t>
            </w:r>
          </w:p>
        </w:tc>
        <w:tc>
          <w:tcPr>
            <w:tcW w:w="789" w:type="dxa"/>
            <w:tcBorders>
              <w:right w:val="nil"/>
            </w:tcBorders>
            <w:noWrap/>
            <w:hideMark/>
          </w:tcPr>
          <w:p w:rsidR="00682A88" w:rsidRPr="00CF3673" w:rsidRDefault="00682A88" w:rsidP="00682A88">
            <w:pPr>
              <w:jc w:val="center"/>
            </w:pPr>
            <w:r w:rsidRPr="00CF3673">
              <w:t>2.9</w:t>
            </w:r>
          </w:p>
        </w:tc>
        <w:tc>
          <w:tcPr>
            <w:tcW w:w="236" w:type="dxa"/>
            <w:tcBorders>
              <w:right w:val="nil"/>
            </w:tcBorders>
          </w:tcPr>
          <w:p w:rsidR="00682A88" w:rsidRPr="00CF3673" w:rsidRDefault="00682A88" w:rsidP="00682A88">
            <w:pPr>
              <w:jc w:val="center"/>
            </w:pPr>
          </w:p>
        </w:tc>
        <w:tc>
          <w:tcPr>
            <w:tcW w:w="1197" w:type="dxa"/>
            <w:tcBorders>
              <w:left w:val="nil"/>
            </w:tcBorders>
          </w:tcPr>
          <w:p w:rsidR="00682A88" w:rsidRPr="00CF3673" w:rsidRDefault="00682A88" w:rsidP="00682A88">
            <w:pPr>
              <w:jc w:val="center"/>
            </w:pPr>
            <w:r w:rsidRPr="00CF3673">
              <w:t>35</w:t>
            </w:r>
          </w:p>
        </w:tc>
      </w:tr>
      <w:tr w:rsidR="00682A88" w:rsidRPr="00CF3673" w:rsidTr="00682A88">
        <w:trPr>
          <w:trHeight w:val="300"/>
          <w:jc w:val="center"/>
        </w:trPr>
        <w:tc>
          <w:tcPr>
            <w:tcW w:w="2307"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Beira</w:t>
            </w:r>
          </w:p>
        </w:tc>
        <w:tc>
          <w:tcPr>
            <w:tcW w:w="672" w:type="dxa"/>
            <w:noWrap/>
            <w:hideMark/>
          </w:tcPr>
          <w:p w:rsidR="00682A88" w:rsidRPr="00CF3673" w:rsidRDefault="00682A88" w:rsidP="00682A88">
            <w:pPr>
              <w:jc w:val="center"/>
            </w:pPr>
            <w:r w:rsidRPr="00CF3673">
              <w:t>27.5</w:t>
            </w:r>
          </w:p>
        </w:tc>
        <w:tc>
          <w:tcPr>
            <w:tcW w:w="789" w:type="dxa"/>
            <w:noWrap/>
            <w:hideMark/>
          </w:tcPr>
          <w:p w:rsidR="00682A88" w:rsidRPr="00CF3673" w:rsidRDefault="00682A88" w:rsidP="00682A88">
            <w:pPr>
              <w:jc w:val="center"/>
            </w:pPr>
            <w:r w:rsidRPr="00CF3673">
              <w:t>5.2</w:t>
            </w:r>
          </w:p>
        </w:tc>
        <w:tc>
          <w:tcPr>
            <w:tcW w:w="236" w:type="dxa"/>
          </w:tcPr>
          <w:p w:rsidR="00682A88" w:rsidRPr="00CF3673" w:rsidRDefault="00682A88" w:rsidP="00682A88">
            <w:pPr>
              <w:jc w:val="center"/>
            </w:pPr>
          </w:p>
        </w:tc>
        <w:tc>
          <w:tcPr>
            <w:tcW w:w="672" w:type="dxa"/>
            <w:noWrap/>
            <w:hideMark/>
          </w:tcPr>
          <w:p w:rsidR="00682A88" w:rsidRPr="00CF3673" w:rsidRDefault="00682A88" w:rsidP="00682A88">
            <w:pPr>
              <w:jc w:val="center"/>
            </w:pPr>
            <w:r w:rsidRPr="00CF3673">
              <w:t>23.7</w:t>
            </w:r>
          </w:p>
        </w:tc>
        <w:tc>
          <w:tcPr>
            <w:tcW w:w="789" w:type="dxa"/>
            <w:tcBorders>
              <w:right w:val="nil"/>
            </w:tcBorders>
            <w:noWrap/>
            <w:hideMark/>
          </w:tcPr>
          <w:p w:rsidR="00682A88" w:rsidRPr="00CF3673" w:rsidRDefault="00682A88" w:rsidP="00682A88">
            <w:pPr>
              <w:jc w:val="center"/>
            </w:pPr>
            <w:r w:rsidRPr="00CF3673">
              <w:t>4.4</w:t>
            </w:r>
          </w:p>
        </w:tc>
        <w:tc>
          <w:tcPr>
            <w:tcW w:w="236" w:type="dxa"/>
            <w:tcBorders>
              <w:right w:val="nil"/>
            </w:tcBorders>
          </w:tcPr>
          <w:p w:rsidR="00682A88" w:rsidRPr="00CF3673" w:rsidRDefault="00682A88" w:rsidP="00682A88">
            <w:pPr>
              <w:jc w:val="center"/>
            </w:pPr>
          </w:p>
        </w:tc>
        <w:tc>
          <w:tcPr>
            <w:tcW w:w="1197" w:type="dxa"/>
            <w:tcBorders>
              <w:left w:val="nil"/>
            </w:tcBorders>
          </w:tcPr>
          <w:p w:rsidR="00682A88" w:rsidRPr="00CF3673" w:rsidRDefault="00682A88" w:rsidP="00682A88">
            <w:pPr>
              <w:jc w:val="center"/>
            </w:pPr>
            <w:r w:rsidRPr="00CF3673">
              <w:t>40</w:t>
            </w:r>
          </w:p>
        </w:tc>
      </w:tr>
      <w:tr w:rsidR="00682A88" w:rsidRPr="00CF3673" w:rsidTr="00682A88">
        <w:trPr>
          <w:trHeight w:val="300"/>
          <w:jc w:val="center"/>
        </w:trPr>
        <w:tc>
          <w:tcPr>
            <w:tcW w:w="2307"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Nampula</w:t>
            </w:r>
          </w:p>
        </w:tc>
        <w:tc>
          <w:tcPr>
            <w:tcW w:w="672" w:type="dxa"/>
            <w:noWrap/>
            <w:hideMark/>
          </w:tcPr>
          <w:p w:rsidR="00682A88" w:rsidRPr="00CF3673" w:rsidRDefault="00682A88" w:rsidP="00682A88">
            <w:pPr>
              <w:jc w:val="center"/>
            </w:pPr>
            <w:r w:rsidRPr="00CF3673">
              <w:t>33.3</w:t>
            </w:r>
          </w:p>
        </w:tc>
        <w:tc>
          <w:tcPr>
            <w:tcW w:w="789" w:type="dxa"/>
            <w:noWrap/>
            <w:hideMark/>
          </w:tcPr>
          <w:p w:rsidR="00682A88" w:rsidRPr="00CF3673" w:rsidRDefault="00682A88" w:rsidP="00682A88">
            <w:pPr>
              <w:jc w:val="center"/>
            </w:pPr>
            <w:r w:rsidRPr="00CF3673">
              <w:t>6.5</w:t>
            </w:r>
          </w:p>
        </w:tc>
        <w:tc>
          <w:tcPr>
            <w:tcW w:w="236" w:type="dxa"/>
          </w:tcPr>
          <w:p w:rsidR="00682A88" w:rsidRPr="00CF3673" w:rsidRDefault="00682A88" w:rsidP="00682A88">
            <w:pPr>
              <w:jc w:val="center"/>
            </w:pPr>
          </w:p>
        </w:tc>
        <w:tc>
          <w:tcPr>
            <w:tcW w:w="672" w:type="dxa"/>
            <w:noWrap/>
            <w:hideMark/>
          </w:tcPr>
          <w:p w:rsidR="00682A88" w:rsidRPr="00CF3673" w:rsidRDefault="00682A88" w:rsidP="00682A88">
            <w:pPr>
              <w:jc w:val="center"/>
            </w:pPr>
            <w:r w:rsidRPr="00CF3673">
              <w:t>17.9</w:t>
            </w:r>
          </w:p>
        </w:tc>
        <w:tc>
          <w:tcPr>
            <w:tcW w:w="789" w:type="dxa"/>
            <w:tcBorders>
              <w:right w:val="nil"/>
            </w:tcBorders>
            <w:noWrap/>
            <w:hideMark/>
          </w:tcPr>
          <w:p w:rsidR="00682A88" w:rsidRPr="00CF3673" w:rsidRDefault="00682A88" w:rsidP="00682A88">
            <w:pPr>
              <w:jc w:val="center"/>
            </w:pPr>
            <w:r w:rsidRPr="00CF3673">
              <w:t>3.2</w:t>
            </w:r>
          </w:p>
        </w:tc>
        <w:tc>
          <w:tcPr>
            <w:tcW w:w="236" w:type="dxa"/>
            <w:tcBorders>
              <w:right w:val="nil"/>
            </w:tcBorders>
          </w:tcPr>
          <w:p w:rsidR="00682A88" w:rsidRPr="00CF3673" w:rsidRDefault="00682A88" w:rsidP="00682A88">
            <w:pPr>
              <w:jc w:val="center"/>
            </w:pPr>
          </w:p>
        </w:tc>
        <w:tc>
          <w:tcPr>
            <w:tcW w:w="1197" w:type="dxa"/>
            <w:tcBorders>
              <w:left w:val="nil"/>
            </w:tcBorders>
          </w:tcPr>
          <w:p w:rsidR="00682A88" w:rsidRPr="00CF3673" w:rsidRDefault="00682A88" w:rsidP="00682A88">
            <w:pPr>
              <w:jc w:val="center"/>
            </w:pPr>
            <w:r w:rsidRPr="00CF3673">
              <w:t>48</w:t>
            </w:r>
          </w:p>
        </w:tc>
      </w:tr>
      <w:tr w:rsidR="00682A88" w:rsidRPr="00CF3673" w:rsidTr="00682A88">
        <w:trPr>
          <w:trHeight w:val="300"/>
          <w:jc w:val="center"/>
        </w:trPr>
        <w:tc>
          <w:tcPr>
            <w:tcW w:w="2307"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Nacala</w:t>
            </w:r>
          </w:p>
        </w:tc>
        <w:tc>
          <w:tcPr>
            <w:tcW w:w="672" w:type="dxa"/>
            <w:noWrap/>
            <w:hideMark/>
          </w:tcPr>
          <w:p w:rsidR="00682A88" w:rsidRPr="00CF3673" w:rsidRDefault="00682A88" w:rsidP="00682A88">
            <w:pPr>
              <w:jc w:val="center"/>
            </w:pPr>
            <w:r w:rsidRPr="00CF3673">
              <w:t>14.3</w:t>
            </w:r>
          </w:p>
        </w:tc>
        <w:tc>
          <w:tcPr>
            <w:tcW w:w="789" w:type="dxa"/>
            <w:noWrap/>
            <w:hideMark/>
          </w:tcPr>
          <w:p w:rsidR="00682A88" w:rsidRPr="00CF3673" w:rsidRDefault="00682A88" w:rsidP="00682A88">
            <w:pPr>
              <w:jc w:val="center"/>
            </w:pPr>
            <w:r w:rsidRPr="00CF3673">
              <w:t>2.5</w:t>
            </w:r>
          </w:p>
        </w:tc>
        <w:tc>
          <w:tcPr>
            <w:tcW w:w="236" w:type="dxa"/>
          </w:tcPr>
          <w:p w:rsidR="00682A88" w:rsidRPr="00CF3673" w:rsidRDefault="00682A88" w:rsidP="00682A88">
            <w:pPr>
              <w:jc w:val="center"/>
            </w:pPr>
          </w:p>
        </w:tc>
        <w:tc>
          <w:tcPr>
            <w:tcW w:w="672" w:type="dxa"/>
            <w:noWrap/>
            <w:hideMark/>
          </w:tcPr>
          <w:p w:rsidR="00682A88" w:rsidRPr="00CF3673" w:rsidRDefault="00682A88" w:rsidP="00682A88">
            <w:pPr>
              <w:jc w:val="center"/>
            </w:pPr>
            <w:r w:rsidRPr="00CF3673">
              <w:t>0.0</w:t>
            </w:r>
          </w:p>
        </w:tc>
        <w:tc>
          <w:tcPr>
            <w:tcW w:w="789" w:type="dxa"/>
            <w:tcBorders>
              <w:right w:val="nil"/>
            </w:tcBorders>
            <w:noWrap/>
            <w:hideMark/>
          </w:tcPr>
          <w:p w:rsidR="00682A88" w:rsidRPr="00CF3673" w:rsidRDefault="00682A88" w:rsidP="00682A88">
            <w:pPr>
              <w:jc w:val="center"/>
            </w:pPr>
            <w:r w:rsidRPr="00CF3673">
              <w:t>0.0</w:t>
            </w:r>
          </w:p>
        </w:tc>
        <w:tc>
          <w:tcPr>
            <w:tcW w:w="236" w:type="dxa"/>
            <w:tcBorders>
              <w:right w:val="nil"/>
            </w:tcBorders>
          </w:tcPr>
          <w:p w:rsidR="00682A88" w:rsidRPr="00CF3673" w:rsidRDefault="00682A88" w:rsidP="00682A88">
            <w:pPr>
              <w:jc w:val="center"/>
            </w:pPr>
          </w:p>
        </w:tc>
        <w:tc>
          <w:tcPr>
            <w:tcW w:w="1197" w:type="dxa"/>
            <w:tcBorders>
              <w:left w:val="nil"/>
            </w:tcBorders>
          </w:tcPr>
          <w:p w:rsidR="00682A88" w:rsidRPr="00CF3673" w:rsidRDefault="00682A88" w:rsidP="00682A88">
            <w:pPr>
              <w:jc w:val="center"/>
            </w:pPr>
            <w:r w:rsidRPr="00CF3673">
              <w:t>7</w:t>
            </w:r>
          </w:p>
        </w:tc>
      </w:tr>
      <w:tr w:rsidR="00682A88" w:rsidRPr="00CF3673" w:rsidTr="00682A88">
        <w:trPr>
          <w:trHeight w:val="300"/>
          <w:jc w:val="center"/>
        </w:trPr>
        <w:tc>
          <w:tcPr>
            <w:tcW w:w="2307" w:type="dxa"/>
            <w:tcBorders>
              <w:bottom w:val="doub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Chimoio</w:t>
            </w:r>
          </w:p>
        </w:tc>
        <w:tc>
          <w:tcPr>
            <w:tcW w:w="672" w:type="dxa"/>
            <w:tcBorders>
              <w:bottom w:val="double" w:sz="4" w:space="0" w:color="auto"/>
            </w:tcBorders>
            <w:noWrap/>
            <w:hideMark/>
          </w:tcPr>
          <w:p w:rsidR="00682A88" w:rsidRPr="00CF3673" w:rsidRDefault="00682A88" w:rsidP="00682A88">
            <w:pPr>
              <w:jc w:val="center"/>
            </w:pPr>
            <w:r w:rsidRPr="00CF3673">
              <w:t>12.5</w:t>
            </w:r>
          </w:p>
        </w:tc>
        <w:tc>
          <w:tcPr>
            <w:tcW w:w="789" w:type="dxa"/>
            <w:tcBorders>
              <w:bottom w:val="double" w:sz="4" w:space="0" w:color="auto"/>
            </w:tcBorders>
            <w:noWrap/>
            <w:hideMark/>
          </w:tcPr>
          <w:p w:rsidR="00682A88" w:rsidRPr="00CF3673" w:rsidRDefault="00682A88" w:rsidP="00682A88">
            <w:pPr>
              <w:jc w:val="center"/>
            </w:pPr>
            <w:r w:rsidRPr="00CF3673">
              <w:t>2.2</w:t>
            </w:r>
          </w:p>
        </w:tc>
        <w:tc>
          <w:tcPr>
            <w:tcW w:w="236" w:type="dxa"/>
            <w:tcBorders>
              <w:bottom w:val="double" w:sz="4" w:space="0" w:color="auto"/>
            </w:tcBorders>
          </w:tcPr>
          <w:p w:rsidR="00682A88" w:rsidRPr="00CF3673" w:rsidRDefault="00682A88" w:rsidP="00682A88">
            <w:pPr>
              <w:jc w:val="center"/>
            </w:pPr>
          </w:p>
        </w:tc>
        <w:tc>
          <w:tcPr>
            <w:tcW w:w="672" w:type="dxa"/>
            <w:tcBorders>
              <w:bottom w:val="double" w:sz="4" w:space="0" w:color="auto"/>
            </w:tcBorders>
            <w:noWrap/>
            <w:hideMark/>
          </w:tcPr>
          <w:p w:rsidR="00682A88" w:rsidRPr="00CF3673" w:rsidRDefault="00682A88" w:rsidP="00682A88">
            <w:pPr>
              <w:jc w:val="center"/>
            </w:pPr>
            <w:r w:rsidRPr="00CF3673">
              <w:t>12.5</w:t>
            </w:r>
          </w:p>
        </w:tc>
        <w:tc>
          <w:tcPr>
            <w:tcW w:w="789" w:type="dxa"/>
            <w:tcBorders>
              <w:bottom w:val="double" w:sz="4" w:space="0" w:color="auto"/>
              <w:right w:val="nil"/>
            </w:tcBorders>
            <w:noWrap/>
            <w:hideMark/>
          </w:tcPr>
          <w:p w:rsidR="00682A88" w:rsidRPr="00CF3673" w:rsidRDefault="00682A88" w:rsidP="00682A88">
            <w:pPr>
              <w:jc w:val="center"/>
            </w:pPr>
            <w:r w:rsidRPr="00CF3673">
              <w:t>2.2</w:t>
            </w:r>
          </w:p>
        </w:tc>
        <w:tc>
          <w:tcPr>
            <w:tcW w:w="236" w:type="dxa"/>
            <w:tcBorders>
              <w:bottom w:val="double" w:sz="4" w:space="0" w:color="auto"/>
              <w:right w:val="nil"/>
            </w:tcBorders>
          </w:tcPr>
          <w:p w:rsidR="00682A88" w:rsidRPr="00CF3673" w:rsidRDefault="00682A88" w:rsidP="00682A88">
            <w:pPr>
              <w:jc w:val="center"/>
            </w:pPr>
          </w:p>
        </w:tc>
        <w:tc>
          <w:tcPr>
            <w:tcW w:w="1197" w:type="dxa"/>
            <w:tcBorders>
              <w:left w:val="nil"/>
              <w:bottom w:val="double" w:sz="4" w:space="0" w:color="auto"/>
            </w:tcBorders>
          </w:tcPr>
          <w:p w:rsidR="00682A88" w:rsidRPr="00CF3673" w:rsidRDefault="00682A88" w:rsidP="00682A88">
            <w:pPr>
              <w:jc w:val="center"/>
            </w:pPr>
            <w:r w:rsidRPr="00CF3673">
              <w:t>8</w:t>
            </w:r>
          </w:p>
        </w:tc>
      </w:tr>
      <w:tr w:rsidR="00682A88" w:rsidRPr="00CF3673" w:rsidTr="00682A88">
        <w:trPr>
          <w:trHeight w:val="300"/>
          <w:jc w:val="center"/>
        </w:trPr>
        <w:tc>
          <w:tcPr>
            <w:tcW w:w="6898" w:type="dxa"/>
            <w:gridSpan w:val="8"/>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As 54 empresas ”não localizadas” são rotuladas como fechadas na definição da saída 1 e excluídas da análise na definição da saída 2. A observação ”outro” para a propriedade legal foi removida. *Nº de </w:t>
            </w:r>
            <w:r w:rsidR="006A4724" w:rsidRPr="00CF3673">
              <w:rPr>
                <w:lang w:val="pt-PT"/>
              </w:rPr>
              <w:t>observações</w:t>
            </w:r>
            <w:r w:rsidRPr="00CF3673">
              <w:rPr>
                <w:lang w:val="pt-PT"/>
              </w:rPr>
              <w:t xml:space="preserve">, indica o número de </w:t>
            </w:r>
            <w:r w:rsidR="006A4724" w:rsidRPr="00CF3673">
              <w:rPr>
                <w:lang w:val="pt-PT"/>
              </w:rPr>
              <w:t>observações</w:t>
            </w:r>
            <w:r w:rsidRPr="00CF3673">
              <w:rPr>
                <w:lang w:val="pt-PT"/>
              </w:rPr>
              <w:t xml:space="preserve"> para a definição da coluna 1.</w:t>
            </w:r>
          </w:p>
        </w:tc>
      </w:tr>
      <w:tr w:rsidR="00682A88" w:rsidRPr="00CF3673" w:rsidTr="00682A88">
        <w:trPr>
          <w:trHeight w:val="300"/>
          <w:jc w:val="center"/>
        </w:trPr>
        <w:tc>
          <w:tcPr>
            <w:tcW w:w="6898" w:type="dxa"/>
            <w:gridSpan w:val="8"/>
            <w:tcBorders>
              <w:top w:val="nil"/>
              <w:bottom w:val="nil"/>
            </w:tcBorders>
            <w:noWrap/>
          </w:tcPr>
          <w:p w:rsidR="00682A88" w:rsidRPr="00CF3673" w:rsidRDefault="00682A88" w:rsidP="00AD45B9">
            <w:pPr>
              <w:pStyle w:val="Tablenote"/>
              <w:rPr>
                <w:b/>
                <w:lang w:val="pt-PT"/>
              </w:rPr>
            </w:pPr>
            <w:r w:rsidRPr="00CF3673">
              <w:rPr>
                <w:b/>
                <w:lang w:val="pt-PT"/>
              </w:rPr>
              <w:t>Fonte:</w:t>
            </w:r>
            <w:r w:rsidRPr="00CF3673">
              <w:rPr>
                <w:lang w:val="pt-PT"/>
              </w:rPr>
              <w:t xml:space="preserve"> Cálculos </w:t>
            </w:r>
            <w:r w:rsidR="00AD45B9" w:rsidRPr="00CF3673">
              <w:rPr>
                <w:lang w:val="pt-PT"/>
              </w:rPr>
              <w:t xml:space="preserve">dos autores </w:t>
            </w:r>
            <w:r w:rsidRPr="00CF3673">
              <w:rPr>
                <w:lang w:val="pt-PT"/>
              </w:rPr>
              <w:t>usando IIM 2012, DNEAP (2006) e ICA (2009).</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As micro e pequenas empresas têm uma taxa de sobrevivência anual inferior a das médias empresas - o resultado é o oposto do painel de 2002-2006, mas consistentes com a literatura sobre a dinâmica da empresa (ver, por exemplo </w:t>
      </w:r>
      <w:proofErr w:type="spellStart"/>
      <w:r w:rsidRPr="00CF3673">
        <w:t>Jovanovic</w:t>
      </w:r>
      <w:proofErr w:type="spellEnd"/>
      <w:r w:rsidRPr="00CF3673">
        <w:t xml:space="preserve">, 1982). Poderia ser devido a grandes empresas a serem geridas de forma mais eficiente ou seja mais fácil para liquidar o capital (físico e humano) de uma empresa de pequeno porte, quando se torna inútil. As empresas formais têm uma taxa de sobrevivência maior do que as empresas informais, mas a diferença não é grande. As empresas estrangeiras têm uma taxa de sobrevivência mais baixa do que as empresas e as parcerias e as sociedades de responsabilidade limitada de propriedade Moçambicana têm uma taxa de sobrevivência maior do que empresas em nome individual. As empresas em Maputo têm uma taxa de sobrevivência de um pouco menor do que a amostra como um todo, enquanto as empresas em Nacala e Chimoio parecem ter uma taxa de sobrevivência muito elevada -, mas o número de </w:t>
      </w:r>
      <w:r w:rsidR="006A4724" w:rsidRPr="00CF3673">
        <w:t>observações</w:t>
      </w:r>
      <w:r w:rsidRPr="00CF3673">
        <w:t xml:space="preserve"> é baixo aqui, por isso não podemos concluir </w:t>
      </w:r>
      <w:r w:rsidR="00AD45B9" w:rsidRPr="00CF3673">
        <w:t>decisivamente.</w:t>
      </w:r>
    </w:p>
    <w:p w:rsidR="00682A88" w:rsidRPr="00CF3673" w:rsidRDefault="00682A88" w:rsidP="00682A88">
      <w:pPr>
        <w:spacing w:line="360" w:lineRule="auto"/>
        <w:jc w:val="both"/>
      </w:pPr>
      <w:r w:rsidRPr="00CF3673">
        <w:t xml:space="preserve">A Tabela 3.7 mostra as taxas totais e anuais de saída para diferentes sectores. As empresas de madeira e papel, produtos químicos, e os sectores de minerais não-metálicos têm taxas de sobrevivência muito altas, </w:t>
      </w:r>
      <w:r w:rsidRPr="00CF3673">
        <w:lastRenderedPageBreak/>
        <w:t>enquanto as empresas de alimentos e, especialmente têxteis e vestuário têm baixas taxas de sobrevivência. As empresas do sector de metais também têm altas taxas de sobrevivência, o que é interessante, uma vez que fora previamente mostrado que também diminuíram sua força de trabalho (Tabela 3.</w:t>
      </w:r>
      <w:r w:rsidR="00AD45B9" w:rsidRPr="00CF3673">
        <w:t>5).</w:t>
      </w:r>
    </w:p>
    <w:p w:rsidR="00682A88" w:rsidRPr="00CF3673" w:rsidRDefault="00682A88" w:rsidP="00682A88">
      <w:pPr>
        <w:spacing w:line="360" w:lineRule="auto"/>
        <w:jc w:val="both"/>
      </w:pPr>
    </w:p>
    <w:p w:rsidR="00682A88" w:rsidRPr="00CF3673" w:rsidRDefault="00682A88" w:rsidP="00682A88">
      <w:pPr>
        <w:pStyle w:val="TableTitle"/>
        <w:rPr>
          <w:lang w:val="pt-PT"/>
        </w:rPr>
      </w:pPr>
      <w:r w:rsidRPr="00CF3673">
        <w:rPr>
          <w:lang w:val="pt-PT"/>
        </w:rPr>
        <w:t>Tabela 3.7: Taxas de saída e sobrevivência das empresas por sector, (%).</w:t>
      </w:r>
    </w:p>
    <w:tbl>
      <w:tblPr>
        <w:tblStyle w:val="StandardTable"/>
        <w:tblW w:w="0" w:type="auto"/>
        <w:jc w:val="center"/>
        <w:tblInd w:w="-490" w:type="dxa"/>
        <w:tblLayout w:type="fixed"/>
        <w:tblLook w:val="04A0" w:firstRow="1" w:lastRow="0" w:firstColumn="1" w:lastColumn="0" w:noHBand="0" w:noVBand="1"/>
      </w:tblPr>
      <w:tblGrid>
        <w:gridCol w:w="2855"/>
        <w:gridCol w:w="672"/>
        <w:gridCol w:w="789"/>
        <w:gridCol w:w="236"/>
        <w:gridCol w:w="672"/>
        <w:gridCol w:w="789"/>
        <w:gridCol w:w="236"/>
        <w:gridCol w:w="1197"/>
      </w:tblGrid>
      <w:tr w:rsidR="00682A88" w:rsidRPr="00CF3673" w:rsidTr="00AD45B9">
        <w:trPr>
          <w:cnfStyle w:val="100000000000" w:firstRow="1" w:lastRow="0" w:firstColumn="0" w:lastColumn="0" w:oddVBand="0" w:evenVBand="0" w:oddHBand="0" w:evenHBand="0" w:firstRowFirstColumn="0" w:firstRowLastColumn="0" w:lastRowFirstColumn="0" w:lastRowLastColumn="0"/>
          <w:trHeight w:val="300"/>
          <w:jc w:val="center"/>
        </w:trPr>
        <w:tc>
          <w:tcPr>
            <w:tcW w:w="2855" w:type="dxa"/>
            <w:tcBorders>
              <w:bottom w:val="nil"/>
            </w:tcBorders>
            <w:shd w:val="clear" w:color="auto" w:fill="auto"/>
            <w:noWrap/>
          </w:tcPr>
          <w:p w:rsidR="00682A88" w:rsidRPr="00CF3673" w:rsidRDefault="00682A88" w:rsidP="00682A88">
            <w:pPr>
              <w:rPr>
                <w:rFonts w:ascii="Calibri" w:eastAsia="Times New Roman" w:hAnsi="Calibri" w:cs="Times New Roman"/>
                <w:lang w:eastAsia="zh-CN"/>
              </w:rPr>
            </w:pPr>
          </w:p>
        </w:tc>
        <w:tc>
          <w:tcPr>
            <w:tcW w:w="1461" w:type="dxa"/>
            <w:gridSpan w:val="2"/>
            <w:tcBorders>
              <w:bottom w:val="nil"/>
            </w:tcBorders>
            <w:shd w:val="clear" w:color="auto" w:fill="auto"/>
            <w:noWrap/>
          </w:tcPr>
          <w:p w:rsidR="00682A88" w:rsidRPr="00CF3673" w:rsidRDefault="00AD45B9"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 xml:space="preserve">Saída </w:t>
            </w:r>
            <w:proofErr w:type="spellStart"/>
            <w:r w:rsidRPr="00CF3673">
              <w:rPr>
                <w:rFonts w:ascii="Calibri" w:eastAsia="Times New Roman" w:hAnsi="Calibri" w:cs="Times New Roman"/>
                <w:lang w:eastAsia="zh-CN"/>
              </w:rPr>
              <w:t>def</w:t>
            </w:r>
            <w:proofErr w:type="spellEnd"/>
            <w:r w:rsidRPr="00CF3673">
              <w:rPr>
                <w:rFonts w:ascii="Calibri" w:eastAsia="Times New Roman" w:hAnsi="Calibri" w:cs="Times New Roman"/>
                <w:lang w:eastAsia="zh-CN"/>
              </w:rPr>
              <w:t>.</w:t>
            </w:r>
            <w:r w:rsidR="00682A88" w:rsidRPr="00CF3673">
              <w:rPr>
                <w:rFonts w:ascii="Calibri" w:eastAsia="Times New Roman" w:hAnsi="Calibri" w:cs="Times New Roman"/>
                <w:lang w:eastAsia="zh-CN"/>
              </w:rPr>
              <w:t xml:space="preserve"> 1</w:t>
            </w:r>
          </w:p>
        </w:tc>
        <w:tc>
          <w:tcPr>
            <w:tcW w:w="236" w:type="dxa"/>
            <w:tcBorders>
              <w:bottom w:val="nil"/>
            </w:tcBorders>
            <w:shd w:val="clear" w:color="auto" w:fill="auto"/>
          </w:tcPr>
          <w:p w:rsidR="00682A88" w:rsidRPr="00CF3673" w:rsidRDefault="00682A88" w:rsidP="00682A88">
            <w:pPr>
              <w:jc w:val="center"/>
              <w:rPr>
                <w:rFonts w:ascii="Calibri" w:eastAsia="Times New Roman" w:hAnsi="Calibri" w:cs="Times New Roman"/>
                <w:lang w:eastAsia="zh-CN"/>
              </w:rPr>
            </w:pPr>
          </w:p>
        </w:tc>
        <w:tc>
          <w:tcPr>
            <w:tcW w:w="1461" w:type="dxa"/>
            <w:gridSpan w:val="2"/>
            <w:tcBorders>
              <w:bottom w:val="nil"/>
            </w:tcBorders>
            <w:shd w:val="clear" w:color="auto" w:fill="auto"/>
            <w:noWrap/>
          </w:tcPr>
          <w:p w:rsidR="00682A88" w:rsidRPr="00CF3673" w:rsidRDefault="00AD45B9" w:rsidP="00AD45B9">
            <w:pPr>
              <w:jc w:val="center"/>
              <w:rPr>
                <w:rFonts w:ascii="Calibri" w:eastAsia="Times New Roman" w:hAnsi="Calibri" w:cs="Times New Roman"/>
                <w:lang w:eastAsia="zh-CN"/>
              </w:rPr>
            </w:pPr>
            <w:r w:rsidRPr="00CF3673">
              <w:rPr>
                <w:rFonts w:ascii="Calibri" w:eastAsia="Times New Roman" w:hAnsi="Calibri" w:cs="Times New Roman"/>
                <w:lang w:eastAsia="zh-CN"/>
              </w:rPr>
              <w:t xml:space="preserve">Saída </w:t>
            </w:r>
            <w:proofErr w:type="spellStart"/>
            <w:r w:rsidRPr="00CF3673">
              <w:rPr>
                <w:rFonts w:ascii="Calibri" w:eastAsia="Times New Roman" w:hAnsi="Calibri" w:cs="Times New Roman"/>
                <w:lang w:eastAsia="zh-CN"/>
              </w:rPr>
              <w:t>def</w:t>
            </w:r>
            <w:proofErr w:type="spellEnd"/>
            <w:r w:rsidRPr="00CF3673">
              <w:rPr>
                <w:rFonts w:ascii="Calibri" w:eastAsia="Times New Roman" w:hAnsi="Calibri" w:cs="Times New Roman"/>
                <w:lang w:eastAsia="zh-CN"/>
              </w:rPr>
              <w:t>.</w:t>
            </w:r>
            <w:r w:rsidR="00682A88" w:rsidRPr="00CF3673">
              <w:rPr>
                <w:rFonts w:ascii="Calibri" w:eastAsia="Times New Roman" w:hAnsi="Calibri" w:cs="Times New Roman"/>
                <w:lang w:eastAsia="zh-CN"/>
              </w:rPr>
              <w:t xml:space="preserve"> 2</w:t>
            </w:r>
          </w:p>
        </w:tc>
        <w:tc>
          <w:tcPr>
            <w:tcW w:w="236" w:type="dxa"/>
            <w:tcBorders>
              <w:bottom w:val="nil"/>
            </w:tcBorders>
            <w:shd w:val="clear" w:color="auto" w:fill="auto"/>
          </w:tcPr>
          <w:p w:rsidR="00682A88" w:rsidRPr="00CF3673" w:rsidRDefault="00682A88" w:rsidP="00682A88">
            <w:pPr>
              <w:jc w:val="center"/>
              <w:rPr>
                <w:rFonts w:ascii="Calibri" w:eastAsia="Times New Roman" w:hAnsi="Calibri" w:cs="Times New Roman"/>
                <w:lang w:eastAsia="zh-CN"/>
              </w:rPr>
            </w:pPr>
          </w:p>
        </w:tc>
        <w:tc>
          <w:tcPr>
            <w:tcW w:w="1197" w:type="dxa"/>
            <w:tcBorders>
              <w:bottom w:val="nil"/>
            </w:tcBorders>
            <w:shd w:val="clear" w:color="auto" w:fill="auto"/>
          </w:tcPr>
          <w:p w:rsidR="00682A88" w:rsidRPr="00CF3673" w:rsidRDefault="00682A88" w:rsidP="00682A88">
            <w:pPr>
              <w:jc w:val="center"/>
              <w:rPr>
                <w:rFonts w:ascii="Calibri" w:eastAsia="Times New Roman" w:hAnsi="Calibri" w:cs="Times New Roman"/>
                <w:lang w:eastAsia="zh-CN"/>
              </w:rPr>
            </w:pPr>
          </w:p>
        </w:tc>
      </w:tr>
      <w:tr w:rsidR="00682A88" w:rsidRPr="00CF3673" w:rsidTr="00AD45B9">
        <w:trPr>
          <w:trHeight w:val="300"/>
          <w:jc w:val="center"/>
        </w:trPr>
        <w:tc>
          <w:tcPr>
            <w:tcW w:w="2855" w:type="dxa"/>
            <w:tcBorders>
              <w:top w:val="nil"/>
              <w:bottom w:val="single" w:sz="4" w:space="0" w:color="auto"/>
            </w:tcBorders>
            <w:shd w:val="clear" w:color="auto" w:fill="auto"/>
            <w:noWrap/>
          </w:tcPr>
          <w:p w:rsidR="00682A88" w:rsidRPr="00CF3673" w:rsidRDefault="00682A88" w:rsidP="00682A88">
            <w:pPr>
              <w:rPr>
                <w:rFonts w:ascii="Calibri" w:eastAsia="Times New Roman" w:hAnsi="Calibri" w:cs="Times New Roman"/>
                <w:lang w:eastAsia="zh-CN"/>
              </w:rPr>
            </w:pPr>
          </w:p>
        </w:tc>
        <w:tc>
          <w:tcPr>
            <w:tcW w:w="672" w:type="dxa"/>
            <w:tcBorders>
              <w:top w:val="nil"/>
              <w:bottom w:val="single" w:sz="4" w:space="0" w:color="auto"/>
            </w:tcBorders>
            <w:shd w:val="clear" w:color="auto" w:fill="auto"/>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Total</w:t>
            </w:r>
          </w:p>
        </w:tc>
        <w:tc>
          <w:tcPr>
            <w:tcW w:w="789" w:type="dxa"/>
            <w:tcBorders>
              <w:top w:val="nil"/>
              <w:bottom w:val="single" w:sz="4" w:space="0" w:color="auto"/>
            </w:tcBorders>
            <w:shd w:val="clear" w:color="auto" w:fill="auto"/>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Anual</w:t>
            </w:r>
          </w:p>
        </w:tc>
        <w:tc>
          <w:tcPr>
            <w:tcW w:w="236" w:type="dxa"/>
            <w:tcBorders>
              <w:top w:val="nil"/>
              <w:bottom w:val="single" w:sz="4" w:space="0" w:color="auto"/>
            </w:tcBorders>
            <w:shd w:val="clear" w:color="auto" w:fill="auto"/>
          </w:tcPr>
          <w:p w:rsidR="00682A88" w:rsidRPr="00CF3673" w:rsidRDefault="00682A88" w:rsidP="00682A88">
            <w:pPr>
              <w:jc w:val="center"/>
              <w:rPr>
                <w:rFonts w:ascii="Calibri" w:eastAsia="Times New Roman" w:hAnsi="Calibri" w:cs="Times New Roman"/>
                <w:lang w:eastAsia="zh-CN"/>
              </w:rPr>
            </w:pPr>
          </w:p>
        </w:tc>
        <w:tc>
          <w:tcPr>
            <w:tcW w:w="672" w:type="dxa"/>
            <w:tcBorders>
              <w:top w:val="nil"/>
              <w:bottom w:val="single" w:sz="4" w:space="0" w:color="auto"/>
            </w:tcBorders>
            <w:shd w:val="clear" w:color="auto" w:fill="auto"/>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Total</w:t>
            </w:r>
          </w:p>
        </w:tc>
        <w:tc>
          <w:tcPr>
            <w:tcW w:w="789" w:type="dxa"/>
            <w:tcBorders>
              <w:top w:val="nil"/>
              <w:bottom w:val="single" w:sz="4" w:space="0" w:color="auto"/>
              <w:right w:val="nil"/>
            </w:tcBorders>
            <w:shd w:val="clear" w:color="auto" w:fill="auto"/>
            <w:noWrap/>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Anual</w:t>
            </w:r>
          </w:p>
        </w:tc>
        <w:tc>
          <w:tcPr>
            <w:tcW w:w="236" w:type="dxa"/>
            <w:tcBorders>
              <w:top w:val="nil"/>
              <w:bottom w:val="single" w:sz="4" w:space="0" w:color="auto"/>
              <w:right w:val="nil"/>
            </w:tcBorders>
            <w:shd w:val="clear" w:color="auto" w:fill="auto"/>
          </w:tcPr>
          <w:p w:rsidR="00682A88" w:rsidRPr="00CF3673" w:rsidRDefault="00682A88" w:rsidP="00682A88">
            <w:pPr>
              <w:jc w:val="center"/>
              <w:rPr>
                <w:rFonts w:ascii="Calibri" w:eastAsia="Times New Roman" w:hAnsi="Calibri" w:cs="Times New Roman"/>
                <w:lang w:eastAsia="zh-CN"/>
              </w:rPr>
            </w:pPr>
          </w:p>
        </w:tc>
        <w:tc>
          <w:tcPr>
            <w:tcW w:w="1197" w:type="dxa"/>
            <w:tcBorders>
              <w:top w:val="nil"/>
              <w:left w:val="nil"/>
              <w:bottom w:val="single" w:sz="4" w:space="0" w:color="auto"/>
            </w:tcBorders>
            <w:shd w:val="clear" w:color="auto" w:fill="auto"/>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Nº de obs.*</w:t>
            </w:r>
          </w:p>
        </w:tc>
      </w:tr>
      <w:tr w:rsidR="00682A88" w:rsidRPr="00CF3673" w:rsidTr="00682A88">
        <w:trPr>
          <w:trHeight w:val="300"/>
          <w:jc w:val="center"/>
        </w:trPr>
        <w:tc>
          <w:tcPr>
            <w:tcW w:w="2855" w:type="dxa"/>
            <w:tcBorders>
              <w:top w:val="single" w:sz="4" w:space="0" w:color="auto"/>
            </w:tcBorders>
            <w:noWrap/>
            <w:hideMark/>
          </w:tcPr>
          <w:p w:rsidR="00682A88" w:rsidRPr="00CF3673" w:rsidRDefault="00682A88" w:rsidP="00682A88">
            <w:r w:rsidRPr="00CF3673">
              <w:t xml:space="preserve">Todos </w:t>
            </w:r>
          </w:p>
        </w:tc>
        <w:tc>
          <w:tcPr>
            <w:tcW w:w="672" w:type="dxa"/>
            <w:tcBorders>
              <w:top w:val="single" w:sz="4" w:space="0" w:color="auto"/>
            </w:tcBorders>
            <w:noWrap/>
            <w:hideMark/>
          </w:tcPr>
          <w:p w:rsidR="00682A88" w:rsidRPr="00CF3673" w:rsidRDefault="00682A88" w:rsidP="00682A88">
            <w:pPr>
              <w:jc w:val="center"/>
            </w:pPr>
            <w:r w:rsidRPr="00CF3673">
              <w:t>32.7</w:t>
            </w:r>
          </w:p>
        </w:tc>
        <w:tc>
          <w:tcPr>
            <w:tcW w:w="789" w:type="dxa"/>
            <w:tcBorders>
              <w:top w:val="single" w:sz="4" w:space="0" w:color="auto"/>
            </w:tcBorders>
            <w:noWrap/>
            <w:hideMark/>
          </w:tcPr>
          <w:p w:rsidR="00682A88" w:rsidRPr="00CF3673" w:rsidRDefault="00682A88" w:rsidP="00682A88">
            <w:pPr>
              <w:jc w:val="center"/>
            </w:pPr>
            <w:r w:rsidRPr="00CF3673">
              <w:t>6.4</w:t>
            </w:r>
          </w:p>
        </w:tc>
        <w:tc>
          <w:tcPr>
            <w:tcW w:w="236" w:type="dxa"/>
            <w:tcBorders>
              <w:top w:val="single" w:sz="4" w:space="0" w:color="auto"/>
            </w:tcBorders>
          </w:tcPr>
          <w:p w:rsidR="00682A88" w:rsidRPr="00CF3673" w:rsidRDefault="00682A88" w:rsidP="00682A88">
            <w:pPr>
              <w:jc w:val="center"/>
            </w:pPr>
          </w:p>
        </w:tc>
        <w:tc>
          <w:tcPr>
            <w:tcW w:w="672" w:type="dxa"/>
            <w:tcBorders>
              <w:top w:val="single" w:sz="4" w:space="0" w:color="auto"/>
            </w:tcBorders>
            <w:noWrap/>
            <w:hideMark/>
          </w:tcPr>
          <w:p w:rsidR="00682A88" w:rsidRPr="00CF3673" w:rsidRDefault="00682A88" w:rsidP="00682A88">
            <w:pPr>
              <w:jc w:val="center"/>
            </w:pPr>
            <w:r w:rsidRPr="00CF3673">
              <w:t>23.9</w:t>
            </w:r>
          </w:p>
        </w:tc>
        <w:tc>
          <w:tcPr>
            <w:tcW w:w="789" w:type="dxa"/>
            <w:tcBorders>
              <w:top w:val="single" w:sz="4" w:space="0" w:color="auto"/>
              <w:right w:val="nil"/>
            </w:tcBorders>
            <w:noWrap/>
            <w:hideMark/>
          </w:tcPr>
          <w:p w:rsidR="00682A88" w:rsidRPr="00CF3673" w:rsidRDefault="00682A88" w:rsidP="00682A88">
            <w:pPr>
              <w:jc w:val="center"/>
            </w:pPr>
            <w:r w:rsidRPr="00CF3673">
              <w:t>4.4</w:t>
            </w:r>
          </w:p>
        </w:tc>
        <w:tc>
          <w:tcPr>
            <w:tcW w:w="236" w:type="dxa"/>
            <w:tcBorders>
              <w:top w:val="single" w:sz="4" w:space="0" w:color="auto"/>
              <w:right w:val="nil"/>
            </w:tcBorders>
          </w:tcPr>
          <w:p w:rsidR="00682A88" w:rsidRPr="00CF3673" w:rsidRDefault="00682A88" w:rsidP="00682A88">
            <w:pPr>
              <w:jc w:val="center"/>
            </w:pPr>
          </w:p>
        </w:tc>
        <w:tc>
          <w:tcPr>
            <w:tcW w:w="1197" w:type="dxa"/>
            <w:tcBorders>
              <w:top w:val="single" w:sz="4" w:space="0" w:color="auto"/>
              <w:left w:val="nil"/>
            </w:tcBorders>
          </w:tcPr>
          <w:p w:rsidR="00682A88" w:rsidRPr="00CF3673" w:rsidRDefault="00682A88" w:rsidP="00682A88">
            <w:pPr>
              <w:jc w:val="center"/>
            </w:pPr>
            <w:r w:rsidRPr="00CF3673">
              <w:t>446</w:t>
            </w:r>
          </w:p>
        </w:tc>
      </w:tr>
      <w:tr w:rsidR="00682A88" w:rsidRPr="00CF3673" w:rsidTr="00682A88">
        <w:trPr>
          <w:trHeight w:val="300"/>
          <w:jc w:val="center"/>
        </w:trPr>
        <w:tc>
          <w:tcPr>
            <w:tcW w:w="2855" w:type="dxa"/>
            <w:noWrap/>
          </w:tcPr>
          <w:p w:rsidR="00682A88" w:rsidRPr="00CF3673" w:rsidRDefault="00682A88" w:rsidP="00682A88">
            <w:r w:rsidRPr="00CF3673">
              <w:t>Alimentos, Bebidas e Tabaco</w:t>
            </w:r>
          </w:p>
        </w:tc>
        <w:tc>
          <w:tcPr>
            <w:tcW w:w="672" w:type="dxa"/>
            <w:noWrap/>
          </w:tcPr>
          <w:p w:rsidR="00682A88" w:rsidRPr="00CF3673" w:rsidRDefault="00682A88" w:rsidP="00682A88">
            <w:pPr>
              <w:jc w:val="center"/>
            </w:pPr>
            <w:r w:rsidRPr="00CF3673">
              <w:t>39.1</w:t>
            </w:r>
          </w:p>
        </w:tc>
        <w:tc>
          <w:tcPr>
            <w:tcW w:w="789" w:type="dxa"/>
            <w:noWrap/>
          </w:tcPr>
          <w:p w:rsidR="00682A88" w:rsidRPr="00CF3673" w:rsidRDefault="00682A88" w:rsidP="00682A88">
            <w:pPr>
              <w:jc w:val="center"/>
            </w:pPr>
            <w:r w:rsidRPr="00CF3673">
              <w:t>7.9</w:t>
            </w:r>
          </w:p>
        </w:tc>
        <w:tc>
          <w:tcPr>
            <w:tcW w:w="236" w:type="dxa"/>
          </w:tcPr>
          <w:p w:rsidR="00682A88" w:rsidRPr="00CF3673" w:rsidRDefault="00682A88" w:rsidP="00682A88">
            <w:pPr>
              <w:jc w:val="center"/>
            </w:pPr>
          </w:p>
        </w:tc>
        <w:tc>
          <w:tcPr>
            <w:tcW w:w="672" w:type="dxa"/>
            <w:noWrap/>
          </w:tcPr>
          <w:p w:rsidR="00682A88" w:rsidRPr="00CF3673" w:rsidRDefault="00682A88" w:rsidP="00682A88">
            <w:pPr>
              <w:jc w:val="center"/>
            </w:pPr>
            <w:r w:rsidRPr="00CF3673">
              <w:t>26.4</w:t>
            </w:r>
          </w:p>
        </w:tc>
        <w:tc>
          <w:tcPr>
            <w:tcW w:w="789" w:type="dxa"/>
            <w:tcBorders>
              <w:right w:val="nil"/>
            </w:tcBorders>
            <w:noWrap/>
          </w:tcPr>
          <w:p w:rsidR="00682A88" w:rsidRPr="00CF3673" w:rsidRDefault="00682A88" w:rsidP="00682A88">
            <w:pPr>
              <w:jc w:val="center"/>
            </w:pPr>
            <w:r w:rsidRPr="00CF3673">
              <w:t>5.0</w:t>
            </w:r>
          </w:p>
        </w:tc>
        <w:tc>
          <w:tcPr>
            <w:tcW w:w="236" w:type="dxa"/>
            <w:tcBorders>
              <w:right w:val="nil"/>
            </w:tcBorders>
          </w:tcPr>
          <w:p w:rsidR="00682A88" w:rsidRPr="00CF3673" w:rsidRDefault="00682A88" w:rsidP="00682A88">
            <w:pPr>
              <w:jc w:val="center"/>
            </w:pPr>
          </w:p>
        </w:tc>
        <w:tc>
          <w:tcPr>
            <w:tcW w:w="1197" w:type="dxa"/>
            <w:tcBorders>
              <w:left w:val="nil"/>
            </w:tcBorders>
          </w:tcPr>
          <w:p w:rsidR="00682A88" w:rsidRPr="00CF3673" w:rsidRDefault="00682A88" w:rsidP="00682A88">
            <w:pPr>
              <w:jc w:val="center"/>
            </w:pPr>
            <w:r w:rsidRPr="00CF3673">
              <w:t>110</w:t>
            </w:r>
          </w:p>
        </w:tc>
      </w:tr>
      <w:tr w:rsidR="00682A88" w:rsidRPr="00CF3673" w:rsidTr="00682A88">
        <w:trPr>
          <w:trHeight w:val="300"/>
          <w:jc w:val="center"/>
        </w:trPr>
        <w:tc>
          <w:tcPr>
            <w:tcW w:w="2855" w:type="dxa"/>
            <w:tcBorders>
              <w:bottom w:val="nil"/>
            </w:tcBorders>
            <w:noWrap/>
            <w:hideMark/>
          </w:tcPr>
          <w:p w:rsidR="00682A88" w:rsidRPr="00CF3673" w:rsidRDefault="00682A88" w:rsidP="00682A88">
            <w:r w:rsidRPr="00CF3673">
              <w:t>Têxteis</w:t>
            </w:r>
          </w:p>
        </w:tc>
        <w:tc>
          <w:tcPr>
            <w:tcW w:w="672" w:type="dxa"/>
            <w:tcBorders>
              <w:bottom w:val="nil"/>
            </w:tcBorders>
            <w:noWrap/>
            <w:hideMark/>
          </w:tcPr>
          <w:p w:rsidR="00682A88" w:rsidRPr="00CF3673" w:rsidRDefault="00682A88" w:rsidP="00682A88">
            <w:pPr>
              <w:jc w:val="center"/>
            </w:pPr>
            <w:r w:rsidRPr="00CF3673">
              <w:t>50.0</w:t>
            </w:r>
          </w:p>
        </w:tc>
        <w:tc>
          <w:tcPr>
            <w:tcW w:w="789" w:type="dxa"/>
            <w:tcBorders>
              <w:bottom w:val="nil"/>
            </w:tcBorders>
            <w:noWrap/>
            <w:hideMark/>
          </w:tcPr>
          <w:p w:rsidR="00682A88" w:rsidRPr="00CF3673" w:rsidRDefault="00682A88" w:rsidP="00682A88">
            <w:pPr>
              <w:jc w:val="center"/>
            </w:pPr>
            <w:r w:rsidRPr="00CF3673">
              <w:t>10.9</w:t>
            </w:r>
          </w:p>
        </w:tc>
        <w:tc>
          <w:tcPr>
            <w:tcW w:w="236" w:type="dxa"/>
            <w:tcBorders>
              <w:bottom w:val="nil"/>
            </w:tcBorders>
          </w:tcPr>
          <w:p w:rsidR="00682A88" w:rsidRPr="00CF3673" w:rsidRDefault="00682A88" w:rsidP="00682A88">
            <w:pPr>
              <w:jc w:val="center"/>
            </w:pPr>
          </w:p>
        </w:tc>
        <w:tc>
          <w:tcPr>
            <w:tcW w:w="672" w:type="dxa"/>
            <w:tcBorders>
              <w:bottom w:val="nil"/>
            </w:tcBorders>
            <w:noWrap/>
            <w:hideMark/>
          </w:tcPr>
          <w:p w:rsidR="00682A88" w:rsidRPr="00CF3673" w:rsidRDefault="00682A88" w:rsidP="00682A88">
            <w:pPr>
              <w:jc w:val="center"/>
            </w:pPr>
            <w:r w:rsidRPr="00CF3673">
              <w:t>33.3</w:t>
            </w:r>
          </w:p>
        </w:tc>
        <w:tc>
          <w:tcPr>
            <w:tcW w:w="789" w:type="dxa"/>
            <w:tcBorders>
              <w:bottom w:val="nil"/>
              <w:right w:val="nil"/>
            </w:tcBorders>
            <w:noWrap/>
            <w:hideMark/>
          </w:tcPr>
          <w:p w:rsidR="00682A88" w:rsidRPr="00CF3673" w:rsidRDefault="00682A88" w:rsidP="00682A88">
            <w:pPr>
              <w:jc w:val="center"/>
            </w:pPr>
            <w:r w:rsidRPr="00CF3673">
              <w:t>6.5</w:t>
            </w:r>
          </w:p>
        </w:tc>
        <w:tc>
          <w:tcPr>
            <w:tcW w:w="236" w:type="dxa"/>
            <w:tcBorders>
              <w:bottom w:val="nil"/>
              <w:right w:val="nil"/>
            </w:tcBorders>
          </w:tcPr>
          <w:p w:rsidR="00682A88" w:rsidRPr="00CF3673" w:rsidRDefault="00682A88" w:rsidP="00682A88">
            <w:pPr>
              <w:jc w:val="center"/>
            </w:pPr>
          </w:p>
        </w:tc>
        <w:tc>
          <w:tcPr>
            <w:tcW w:w="1197" w:type="dxa"/>
            <w:tcBorders>
              <w:left w:val="nil"/>
              <w:bottom w:val="nil"/>
            </w:tcBorders>
          </w:tcPr>
          <w:p w:rsidR="00682A88" w:rsidRPr="00CF3673" w:rsidRDefault="00682A88" w:rsidP="00682A88">
            <w:pPr>
              <w:jc w:val="center"/>
            </w:pPr>
            <w:r w:rsidRPr="00CF3673">
              <w:t>4</w:t>
            </w:r>
          </w:p>
        </w:tc>
      </w:tr>
      <w:tr w:rsidR="00682A88" w:rsidRPr="00CF3673" w:rsidTr="00682A88">
        <w:trPr>
          <w:trHeight w:val="300"/>
          <w:jc w:val="center"/>
        </w:trPr>
        <w:tc>
          <w:tcPr>
            <w:tcW w:w="2855" w:type="dxa"/>
            <w:tcBorders>
              <w:top w:val="nil"/>
              <w:bottom w:val="nil"/>
            </w:tcBorders>
            <w:noWrap/>
            <w:hideMark/>
          </w:tcPr>
          <w:p w:rsidR="00682A88" w:rsidRPr="00CF3673" w:rsidRDefault="00682A88" w:rsidP="00682A88">
            <w:r w:rsidRPr="00CF3673">
              <w:t>Vestuário e Calçados</w:t>
            </w:r>
          </w:p>
        </w:tc>
        <w:tc>
          <w:tcPr>
            <w:tcW w:w="672" w:type="dxa"/>
            <w:tcBorders>
              <w:top w:val="nil"/>
              <w:bottom w:val="nil"/>
            </w:tcBorders>
            <w:noWrap/>
            <w:hideMark/>
          </w:tcPr>
          <w:p w:rsidR="00682A88" w:rsidRPr="00CF3673" w:rsidRDefault="00682A88" w:rsidP="00682A88">
            <w:pPr>
              <w:jc w:val="center"/>
            </w:pPr>
            <w:r w:rsidRPr="00CF3673">
              <w:t>41.8</w:t>
            </w:r>
          </w:p>
        </w:tc>
        <w:tc>
          <w:tcPr>
            <w:tcW w:w="789" w:type="dxa"/>
            <w:tcBorders>
              <w:top w:val="nil"/>
              <w:bottom w:val="nil"/>
            </w:tcBorders>
            <w:noWrap/>
            <w:hideMark/>
          </w:tcPr>
          <w:p w:rsidR="00682A88" w:rsidRPr="00CF3673" w:rsidRDefault="00682A88" w:rsidP="00682A88">
            <w:pPr>
              <w:jc w:val="center"/>
            </w:pPr>
            <w:r w:rsidRPr="00CF3673">
              <w:t>8.6</w:t>
            </w:r>
          </w:p>
        </w:tc>
        <w:tc>
          <w:tcPr>
            <w:tcW w:w="236" w:type="dxa"/>
            <w:tcBorders>
              <w:top w:val="nil"/>
              <w:bottom w:val="nil"/>
            </w:tcBorders>
          </w:tcPr>
          <w:p w:rsidR="00682A88" w:rsidRPr="00CF3673" w:rsidRDefault="00682A88" w:rsidP="00682A88">
            <w:pPr>
              <w:jc w:val="center"/>
            </w:pPr>
          </w:p>
        </w:tc>
        <w:tc>
          <w:tcPr>
            <w:tcW w:w="672" w:type="dxa"/>
            <w:tcBorders>
              <w:top w:val="nil"/>
              <w:bottom w:val="nil"/>
            </w:tcBorders>
            <w:noWrap/>
            <w:hideMark/>
          </w:tcPr>
          <w:p w:rsidR="00682A88" w:rsidRPr="00CF3673" w:rsidRDefault="00682A88" w:rsidP="00682A88">
            <w:pPr>
              <w:jc w:val="center"/>
            </w:pPr>
            <w:r w:rsidRPr="00CF3673">
              <w:t>31.3</w:t>
            </w:r>
          </w:p>
        </w:tc>
        <w:tc>
          <w:tcPr>
            <w:tcW w:w="789" w:type="dxa"/>
            <w:tcBorders>
              <w:top w:val="nil"/>
              <w:bottom w:val="nil"/>
              <w:right w:val="nil"/>
            </w:tcBorders>
            <w:noWrap/>
            <w:hideMark/>
          </w:tcPr>
          <w:p w:rsidR="00682A88" w:rsidRPr="00CF3673" w:rsidRDefault="00682A88" w:rsidP="00682A88">
            <w:pPr>
              <w:jc w:val="center"/>
            </w:pPr>
            <w:r w:rsidRPr="00CF3673">
              <w:t>6.1</w:t>
            </w:r>
          </w:p>
        </w:tc>
        <w:tc>
          <w:tcPr>
            <w:tcW w:w="236" w:type="dxa"/>
            <w:tcBorders>
              <w:top w:val="nil"/>
              <w:bottom w:val="nil"/>
              <w:right w:val="nil"/>
            </w:tcBorders>
          </w:tcPr>
          <w:p w:rsidR="00682A88" w:rsidRPr="00CF3673" w:rsidRDefault="00682A88" w:rsidP="00682A88">
            <w:pPr>
              <w:jc w:val="center"/>
            </w:pPr>
          </w:p>
        </w:tc>
        <w:tc>
          <w:tcPr>
            <w:tcW w:w="1197" w:type="dxa"/>
            <w:tcBorders>
              <w:top w:val="nil"/>
              <w:left w:val="nil"/>
              <w:bottom w:val="nil"/>
            </w:tcBorders>
          </w:tcPr>
          <w:p w:rsidR="00682A88" w:rsidRPr="00CF3673" w:rsidRDefault="00682A88" w:rsidP="00682A88">
            <w:pPr>
              <w:jc w:val="center"/>
            </w:pPr>
            <w:r w:rsidRPr="00CF3673">
              <w:t>79</w:t>
            </w:r>
          </w:p>
        </w:tc>
      </w:tr>
      <w:tr w:rsidR="00682A88" w:rsidRPr="00CF3673" w:rsidTr="00682A88">
        <w:trPr>
          <w:trHeight w:val="300"/>
          <w:jc w:val="center"/>
        </w:trPr>
        <w:tc>
          <w:tcPr>
            <w:tcW w:w="2855" w:type="dxa"/>
            <w:tcBorders>
              <w:top w:val="nil"/>
              <w:bottom w:val="nil"/>
            </w:tcBorders>
            <w:noWrap/>
          </w:tcPr>
          <w:p w:rsidR="00682A88" w:rsidRPr="00CF3673" w:rsidRDefault="00682A88" w:rsidP="00682A88">
            <w:r w:rsidRPr="00CF3673">
              <w:t>Madeiras e Papel</w:t>
            </w:r>
          </w:p>
        </w:tc>
        <w:tc>
          <w:tcPr>
            <w:tcW w:w="672" w:type="dxa"/>
            <w:tcBorders>
              <w:top w:val="nil"/>
              <w:bottom w:val="nil"/>
            </w:tcBorders>
            <w:noWrap/>
          </w:tcPr>
          <w:p w:rsidR="00682A88" w:rsidRPr="00CF3673" w:rsidRDefault="00682A88" w:rsidP="00682A88">
            <w:pPr>
              <w:jc w:val="center"/>
            </w:pPr>
            <w:r w:rsidRPr="00CF3673">
              <w:t>18.8</w:t>
            </w:r>
          </w:p>
        </w:tc>
        <w:tc>
          <w:tcPr>
            <w:tcW w:w="789" w:type="dxa"/>
            <w:tcBorders>
              <w:top w:val="nil"/>
              <w:bottom w:val="nil"/>
            </w:tcBorders>
            <w:noWrap/>
          </w:tcPr>
          <w:p w:rsidR="00682A88" w:rsidRPr="00CF3673" w:rsidRDefault="00682A88" w:rsidP="00682A88">
            <w:pPr>
              <w:jc w:val="center"/>
            </w:pPr>
            <w:r w:rsidRPr="00CF3673">
              <w:t>3.4</w:t>
            </w:r>
          </w:p>
        </w:tc>
        <w:tc>
          <w:tcPr>
            <w:tcW w:w="236" w:type="dxa"/>
            <w:tcBorders>
              <w:top w:val="nil"/>
              <w:bottom w:val="nil"/>
            </w:tcBorders>
          </w:tcPr>
          <w:p w:rsidR="00682A88" w:rsidRPr="00CF3673" w:rsidRDefault="00682A88" w:rsidP="00682A88">
            <w:pPr>
              <w:jc w:val="center"/>
            </w:pPr>
          </w:p>
        </w:tc>
        <w:tc>
          <w:tcPr>
            <w:tcW w:w="672" w:type="dxa"/>
            <w:tcBorders>
              <w:top w:val="nil"/>
              <w:bottom w:val="nil"/>
            </w:tcBorders>
            <w:noWrap/>
          </w:tcPr>
          <w:p w:rsidR="00682A88" w:rsidRPr="00CF3673" w:rsidRDefault="00682A88" w:rsidP="00682A88">
            <w:pPr>
              <w:jc w:val="center"/>
            </w:pPr>
            <w:r w:rsidRPr="00CF3673">
              <w:t>16.1</w:t>
            </w:r>
          </w:p>
        </w:tc>
        <w:tc>
          <w:tcPr>
            <w:tcW w:w="789" w:type="dxa"/>
            <w:tcBorders>
              <w:top w:val="nil"/>
              <w:bottom w:val="nil"/>
              <w:right w:val="nil"/>
            </w:tcBorders>
            <w:noWrap/>
          </w:tcPr>
          <w:p w:rsidR="00682A88" w:rsidRPr="00CF3673" w:rsidRDefault="00682A88" w:rsidP="00682A88">
            <w:pPr>
              <w:jc w:val="center"/>
            </w:pPr>
            <w:r w:rsidRPr="00CF3673">
              <w:t>2.9</w:t>
            </w:r>
          </w:p>
        </w:tc>
        <w:tc>
          <w:tcPr>
            <w:tcW w:w="236" w:type="dxa"/>
            <w:tcBorders>
              <w:top w:val="nil"/>
              <w:bottom w:val="nil"/>
              <w:right w:val="nil"/>
            </w:tcBorders>
          </w:tcPr>
          <w:p w:rsidR="00682A88" w:rsidRPr="00CF3673" w:rsidRDefault="00682A88" w:rsidP="00682A88">
            <w:pPr>
              <w:jc w:val="center"/>
            </w:pPr>
          </w:p>
        </w:tc>
        <w:tc>
          <w:tcPr>
            <w:tcW w:w="1197" w:type="dxa"/>
            <w:tcBorders>
              <w:top w:val="nil"/>
              <w:left w:val="nil"/>
              <w:bottom w:val="nil"/>
            </w:tcBorders>
          </w:tcPr>
          <w:p w:rsidR="00682A88" w:rsidRPr="00CF3673" w:rsidRDefault="00682A88" w:rsidP="00682A88">
            <w:pPr>
              <w:jc w:val="center"/>
            </w:pPr>
            <w:r w:rsidRPr="00CF3673">
              <w:t>32</w:t>
            </w:r>
          </w:p>
        </w:tc>
      </w:tr>
      <w:tr w:rsidR="00682A88" w:rsidRPr="00CF3673" w:rsidTr="00682A88">
        <w:trPr>
          <w:trHeight w:val="300"/>
          <w:jc w:val="center"/>
        </w:trPr>
        <w:tc>
          <w:tcPr>
            <w:tcW w:w="2855" w:type="dxa"/>
            <w:tcBorders>
              <w:top w:val="nil"/>
            </w:tcBorders>
            <w:noWrap/>
            <w:hideMark/>
          </w:tcPr>
          <w:p w:rsidR="00682A88" w:rsidRPr="00CF3673" w:rsidRDefault="00682A88" w:rsidP="00682A88">
            <w:r w:rsidRPr="00CF3673">
              <w:t>Edição e impressão</w:t>
            </w:r>
          </w:p>
        </w:tc>
        <w:tc>
          <w:tcPr>
            <w:tcW w:w="672" w:type="dxa"/>
            <w:tcBorders>
              <w:top w:val="nil"/>
            </w:tcBorders>
            <w:noWrap/>
            <w:hideMark/>
          </w:tcPr>
          <w:p w:rsidR="00682A88" w:rsidRPr="00CF3673" w:rsidRDefault="00682A88" w:rsidP="00682A88">
            <w:pPr>
              <w:jc w:val="center"/>
            </w:pPr>
            <w:r w:rsidRPr="00CF3673">
              <w:t>25.0</w:t>
            </w:r>
          </w:p>
        </w:tc>
        <w:tc>
          <w:tcPr>
            <w:tcW w:w="789" w:type="dxa"/>
            <w:tcBorders>
              <w:top w:val="nil"/>
            </w:tcBorders>
            <w:noWrap/>
            <w:hideMark/>
          </w:tcPr>
          <w:p w:rsidR="00682A88" w:rsidRPr="00CF3673" w:rsidRDefault="00682A88" w:rsidP="00682A88">
            <w:pPr>
              <w:jc w:val="center"/>
            </w:pPr>
            <w:r w:rsidRPr="00CF3673">
              <w:t>4.7</w:t>
            </w:r>
          </w:p>
        </w:tc>
        <w:tc>
          <w:tcPr>
            <w:tcW w:w="236" w:type="dxa"/>
            <w:tcBorders>
              <w:top w:val="nil"/>
            </w:tcBorders>
          </w:tcPr>
          <w:p w:rsidR="00682A88" w:rsidRPr="00CF3673" w:rsidRDefault="00682A88" w:rsidP="00682A88">
            <w:pPr>
              <w:jc w:val="center"/>
            </w:pPr>
          </w:p>
        </w:tc>
        <w:tc>
          <w:tcPr>
            <w:tcW w:w="672" w:type="dxa"/>
            <w:tcBorders>
              <w:top w:val="nil"/>
            </w:tcBorders>
            <w:noWrap/>
            <w:hideMark/>
          </w:tcPr>
          <w:p w:rsidR="00682A88" w:rsidRPr="00CF3673" w:rsidRDefault="00682A88" w:rsidP="00682A88">
            <w:pPr>
              <w:jc w:val="center"/>
            </w:pPr>
            <w:r w:rsidRPr="00CF3673">
              <w:t>25.0</w:t>
            </w:r>
          </w:p>
        </w:tc>
        <w:tc>
          <w:tcPr>
            <w:tcW w:w="789" w:type="dxa"/>
            <w:tcBorders>
              <w:top w:val="nil"/>
              <w:right w:val="nil"/>
            </w:tcBorders>
            <w:noWrap/>
            <w:hideMark/>
          </w:tcPr>
          <w:p w:rsidR="00682A88" w:rsidRPr="00CF3673" w:rsidRDefault="00682A88" w:rsidP="00682A88">
            <w:pPr>
              <w:jc w:val="center"/>
            </w:pPr>
            <w:r w:rsidRPr="00CF3673">
              <w:t>4.7</w:t>
            </w:r>
          </w:p>
        </w:tc>
        <w:tc>
          <w:tcPr>
            <w:tcW w:w="236" w:type="dxa"/>
            <w:tcBorders>
              <w:top w:val="nil"/>
              <w:right w:val="nil"/>
            </w:tcBorders>
          </w:tcPr>
          <w:p w:rsidR="00682A88" w:rsidRPr="00CF3673" w:rsidRDefault="00682A88" w:rsidP="00682A88">
            <w:pPr>
              <w:jc w:val="center"/>
            </w:pPr>
          </w:p>
        </w:tc>
        <w:tc>
          <w:tcPr>
            <w:tcW w:w="1197" w:type="dxa"/>
            <w:tcBorders>
              <w:top w:val="nil"/>
              <w:left w:val="nil"/>
            </w:tcBorders>
          </w:tcPr>
          <w:p w:rsidR="00682A88" w:rsidRPr="00CF3673" w:rsidRDefault="00682A88" w:rsidP="00682A88">
            <w:pPr>
              <w:jc w:val="center"/>
            </w:pPr>
            <w:r w:rsidRPr="00CF3673">
              <w:t>4</w:t>
            </w:r>
          </w:p>
        </w:tc>
      </w:tr>
      <w:tr w:rsidR="00682A88" w:rsidRPr="00CF3673" w:rsidTr="00682A88">
        <w:trPr>
          <w:trHeight w:val="300"/>
          <w:jc w:val="center"/>
        </w:trPr>
        <w:tc>
          <w:tcPr>
            <w:tcW w:w="2855" w:type="dxa"/>
            <w:noWrap/>
            <w:hideMark/>
          </w:tcPr>
          <w:p w:rsidR="00682A88" w:rsidRPr="00CF3673" w:rsidRDefault="00682A88" w:rsidP="00682A88">
            <w:r w:rsidRPr="00CF3673">
              <w:t>Produtos Químicos, Borracha, Plásticos</w:t>
            </w:r>
          </w:p>
        </w:tc>
        <w:tc>
          <w:tcPr>
            <w:tcW w:w="672" w:type="dxa"/>
            <w:noWrap/>
            <w:hideMark/>
          </w:tcPr>
          <w:p w:rsidR="00682A88" w:rsidRPr="00CF3673" w:rsidRDefault="00682A88" w:rsidP="00682A88">
            <w:pPr>
              <w:jc w:val="center"/>
            </w:pPr>
            <w:r w:rsidRPr="00CF3673">
              <w:t>20.8</w:t>
            </w:r>
          </w:p>
        </w:tc>
        <w:tc>
          <w:tcPr>
            <w:tcW w:w="789" w:type="dxa"/>
            <w:noWrap/>
            <w:hideMark/>
          </w:tcPr>
          <w:p w:rsidR="00682A88" w:rsidRPr="00CF3673" w:rsidRDefault="00682A88" w:rsidP="00682A88">
            <w:pPr>
              <w:jc w:val="center"/>
            </w:pPr>
            <w:r w:rsidRPr="00CF3673">
              <w:t>3.8</w:t>
            </w:r>
          </w:p>
        </w:tc>
        <w:tc>
          <w:tcPr>
            <w:tcW w:w="236" w:type="dxa"/>
          </w:tcPr>
          <w:p w:rsidR="00682A88" w:rsidRPr="00CF3673" w:rsidRDefault="00682A88" w:rsidP="00682A88">
            <w:pPr>
              <w:jc w:val="center"/>
            </w:pPr>
          </w:p>
        </w:tc>
        <w:tc>
          <w:tcPr>
            <w:tcW w:w="672" w:type="dxa"/>
            <w:noWrap/>
            <w:hideMark/>
          </w:tcPr>
          <w:p w:rsidR="00682A88" w:rsidRPr="00CF3673" w:rsidRDefault="00682A88" w:rsidP="00682A88">
            <w:pPr>
              <w:jc w:val="center"/>
            </w:pPr>
            <w:r w:rsidRPr="00CF3673">
              <w:t>13.6</w:t>
            </w:r>
          </w:p>
        </w:tc>
        <w:tc>
          <w:tcPr>
            <w:tcW w:w="789" w:type="dxa"/>
            <w:tcBorders>
              <w:right w:val="nil"/>
            </w:tcBorders>
            <w:noWrap/>
            <w:hideMark/>
          </w:tcPr>
          <w:p w:rsidR="00682A88" w:rsidRPr="00CF3673" w:rsidRDefault="00682A88" w:rsidP="00682A88">
            <w:pPr>
              <w:jc w:val="center"/>
            </w:pPr>
            <w:r w:rsidRPr="00CF3673">
              <w:t>2.4</w:t>
            </w:r>
          </w:p>
        </w:tc>
        <w:tc>
          <w:tcPr>
            <w:tcW w:w="236" w:type="dxa"/>
            <w:tcBorders>
              <w:right w:val="nil"/>
            </w:tcBorders>
          </w:tcPr>
          <w:p w:rsidR="00682A88" w:rsidRPr="00CF3673" w:rsidRDefault="00682A88" w:rsidP="00682A88">
            <w:pPr>
              <w:jc w:val="center"/>
            </w:pPr>
          </w:p>
        </w:tc>
        <w:tc>
          <w:tcPr>
            <w:tcW w:w="1197" w:type="dxa"/>
            <w:tcBorders>
              <w:left w:val="nil"/>
            </w:tcBorders>
          </w:tcPr>
          <w:p w:rsidR="00682A88" w:rsidRPr="00CF3673" w:rsidRDefault="00682A88" w:rsidP="00682A88">
            <w:pPr>
              <w:jc w:val="center"/>
            </w:pPr>
            <w:r w:rsidRPr="00CF3673">
              <w:t>24</w:t>
            </w:r>
          </w:p>
        </w:tc>
      </w:tr>
      <w:tr w:rsidR="00682A88" w:rsidRPr="00CF3673" w:rsidTr="00682A88">
        <w:trPr>
          <w:trHeight w:val="300"/>
          <w:jc w:val="center"/>
        </w:trPr>
        <w:tc>
          <w:tcPr>
            <w:tcW w:w="2855" w:type="dxa"/>
            <w:noWrap/>
            <w:hideMark/>
          </w:tcPr>
          <w:p w:rsidR="00682A88" w:rsidRPr="00CF3673" w:rsidRDefault="00682A88" w:rsidP="00682A88">
            <w:r w:rsidRPr="00CF3673">
              <w:t>Minerais não metálicos</w:t>
            </w:r>
          </w:p>
        </w:tc>
        <w:tc>
          <w:tcPr>
            <w:tcW w:w="672" w:type="dxa"/>
            <w:noWrap/>
            <w:hideMark/>
          </w:tcPr>
          <w:p w:rsidR="00682A88" w:rsidRPr="00CF3673" w:rsidRDefault="00682A88" w:rsidP="00682A88">
            <w:pPr>
              <w:jc w:val="center"/>
            </w:pPr>
            <w:r w:rsidRPr="00CF3673">
              <w:t>16.7</w:t>
            </w:r>
          </w:p>
        </w:tc>
        <w:tc>
          <w:tcPr>
            <w:tcW w:w="789" w:type="dxa"/>
            <w:noWrap/>
            <w:hideMark/>
          </w:tcPr>
          <w:p w:rsidR="00682A88" w:rsidRPr="00CF3673" w:rsidRDefault="00682A88" w:rsidP="00682A88">
            <w:pPr>
              <w:jc w:val="center"/>
            </w:pPr>
            <w:r w:rsidRPr="00CF3673">
              <w:t>3.0</w:t>
            </w:r>
          </w:p>
        </w:tc>
        <w:tc>
          <w:tcPr>
            <w:tcW w:w="236" w:type="dxa"/>
          </w:tcPr>
          <w:p w:rsidR="00682A88" w:rsidRPr="00CF3673" w:rsidRDefault="00682A88" w:rsidP="00682A88">
            <w:pPr>
              <w:jc w:val="center"/>
            </w:pPr>
          </w:p>
        </w:tc>
        <w:tc>
          <w:tcPr>
            <w:tcW w:w="672" w:type="dxa"/>
            <w:noWrap/>
            <w:hideMark/>
          </w:tcPr>
          <w:p w:rsidR="00682A88" w:rsidRPr="00CF3673" w:rsidRDefault="00682A88" w:rsidP="00682A88">
            <w:pPr>
              <w:jc w:val="center"/>
            </w:pPr>
            <w:r w:rsidRPr="00CF3673">
              <w:t>16.7</w:t>
            </w:r>
          </w:p>
        </w:tc>
        <w:tc>
          <w:tcPr>
            <w:tcW w:w="789" w:type="dxa"/>
            <w:tcBorders>
              <w:right w:val="nil"/>
            </w:tcBorders>
            <w:noWrap/>
            <w:hideMark/>
          </w:tcPr>
          <w:p w:rsidR="00682A88" w:rsidRPr="00CF3673" w:rsidRDefault="00682A88" w:rsidP="00682A88">
            <w:pPr>
              <w:jc w:val="center"/>
            </w:pPr>
            <w:r w:rsidRPr="00CF3673">
              <w:t>3.0</w:t>
            </w:r>
          </w:p>
        </w:tc>
        <w:tc>
          <w:tcPr>
            <w:tcW w:w="236" w:type="dxa"/>
            <w:tcBorders>
              <w:right w:val="nil"/>
            </w:tcBorders>
          </w:tcPr>
          <w:p w:rsidR="00682A88" w:rsidRPr="00CF3673" w:rsidRDefault="00682A88" w:rsidP="00682A88">
            <w:pPr>
              <w:jc w:val="center"/>
            </w:pPr>
          </w:p>
        </w:tc>
        <w:tc>
          <w:tcPr>
            <w:tcW w:w="1197" w:type="dxa"/>
            <w:tcBorders>
              <w:left w:val="nil"/>
            </w:tcBorders>
          </w:tcPr>
          <w:p w:rsidR="00682A88" w:rsidRPr="00CF3673" w:rsidRDefault="00682A88" w:rsidP="00682A88">
            <w:pPr>
              <w:jc w:val="center"/>
            </w:pPr>
            <w:r w:rsidRPr="00CF3673">
              <w:t>12</w:t>
            </w:r>
          </w:p>
        </w:tc>
      </w:tr>
      <w:tr w:rsidR="00682A88" w:rsidRPr="00CF3673" w:rsidTr="00682A88">
        <w:trPr>
          <w:trHeight w:val="300"/>
          <w:jc w:val="center"/>
        </w:trPr>
        <w:tc>
          <w:tcPr>
            <w:tcW w:w="2855" w:type="dxa"/>
            <w:tcBorders>
              <w:bottom w:val="nil"/>
            </w:tcBorders>
            <w:noWrap/>
            <w:hideMark/>
          </w:tcPr>
          <w:p w:rsidR="00682A88" w:rsidRPr="00CF3673" w:rsidRDefault="00682A88" w:rsidP="00682A88">
            <w:r w:rsidRPr="00CF3673">
              <w:t>Produtos Metálicos</w:t>
            </w:r>
          </w:p>
        </w:tc>
        <w:tc>
          <w:tcPr>
            <w:tcW w:w="672" w:type="dxa"/>
            <w:tcBorders>
              <w:bottom w:val="nil"/>
            </w:tcBorders>
            <w:noWrap/>
            <w:hideMark/>
          </w:tcPr>
          <w:p w:rsidR="00682A88" w:rsidRPr="00CF3673" w:rsidRDefault="00682A88" w:rsidP="00682A88">
            <w:pPr>
              <w:jc w:val="center"/>
            </w:pPr>
            <w:r w:rsidRPr="00CF3673">
              <w:t>27.1</w:t>
            </w:r>
          </w:p>
        </w:tc>
        <w:tc>
          <w:tcPr>
            <w:tcW w:w="789" w:type="dxa"/>
            <w:tcBorders>
              <w:bottom w:val="nil"/>
            </w:tcBorders>
            <w:noWrap/>
            <w:hideMark/>
          </w:tcPr>
          <w:p w:rsidR="00682A88" w:rsidRPr="00CF3673" w:rsidRDefault="00682A88" w:rsidP="00682A88">
            <w:pPr>
              <w:jc w:val="center"/>
            </w:pPr>
            <w:r w:rsidRPr="00CF3673">
              <w:t>5.1</w:t>
            </w:r>
          </w:p>
        </w:tc>
        <w:tc>
          <w:tcPr>
            <w:tcW w:w="236" w:type="dxa"/>
            <w:tcBorders>
              <w:bottom w:val="nil"/>
            </w:tcBorders>
          </w:tcPr>
          <w:p w:rsidR="00682A88" w:rsidRPr="00CF3673" w:rsidRDefault="00682A88" w:rsidP="00682A88">
            <w:pPr>
              <w:jc w:val="center"/>
            </w:pPr>
          </w:p>
        </w:tc>
        <w:tc>
          <w:tcPr>
            <w:tcW w:w="672" w:type="dxa"/>
            <w:tcBorders>
              <w:bottom w:val="nil"/>
            </w:tcBorders>
            <w:noWrap/>
            <w:hideMark/>
          </w:tcPr>
          <w:p w:rsidR="00682A88" w:rsidRPr="00CF3673" w:rsidRDefault="00682A88" w:rsidP="00682A88">
            <w:pPr>
              <w:jc w:val="center"/>
            </w:pPr>
            <w:r w:rsidRPr="00CF3673">
              <w:t>17.6</w:t>
            </w:r>
          </w:p>
        </w:tc>
        <w:tc>
          <w:tcPr>
            <w:tcW w:w="789" w:type="dxa"/>
            <w:tcBorders>
              <w:bottom w:val="nil"/>
              <w:right w:val="nil"/>
            </w:tcBorders>
            <w:noWrap/>
            <w:hideMark/>
          </w:tcPr>
          <w:p w:rsidR="00682A88" w:rsidRPr="00CF3673" w:rsidRDefault="00682A88" w:rsidP="00682A88">
            <w:pPr>
              <w:jc w:val="center"/>
            </w:pPr>
            <w:r w:rsidRPr="00CF3673">
              <w:t>3.2</w:t>
            </w:r>
          </w:p>
        </w:tc>
        <w:tc>
          <w:tcPr>
            <w:tcW w:w="236" w:type="dxa"/>
            <w:tcBorders>
              <w:bottom w:val="nil"/>
              <w:right w:val="nil"/>
            </w:tcBorders>
          </w:tcPr>
          <w:p w:rsidR="00682A88" w:rsidRPr="00CF3673" w:rsidRDefault="00682A88" w:rsidP="00682A88">
            <w:pPr>
              <w:jc w:val="center"/>
            </w:pPr>
          </w:p>
        </w:tc>
        <w:tc>
          <w:tcPr>
            <w:tcW w:w="1197" w:type="dxa"/>
            <w:tcBorders>
              <w:left w:val="nil"/>
              <w:bottom w:val="nil"/>
            </w:tcBorders>
          </w:tcPr>
          <w:p w:rsidR="00682A88" w:rsidRPr="00CF3673" w:rsidRDefault="00682A88" w:rsidP="00682A88">
            <w:pPr>
              <w:jc w:val="center"/>
            </w:pPr>
            <w:r w:rsidRPr="00CF3673">
              <w:t>96</w:t>
            </w:r>
          </w:p>
        </w:tc>
      </w:tr>
      <w:tr w:rsidR="00682A88" w:rsidRPr="00CF3673" w:rsidTr="00682A88">
        <w:trPr>
          <w:trHeight w:val="300"/>
          <w:jc w:val="center"/>
        </w:trPr>
        <w:tc>
          <w:tcPr>
            <w:tcW w:w="2855" w:type="dxa"/>
            <w:tcBorders>
              <w:top w:val="nil"/>
              <w:bottom w:val="single" w:sz="4" w:space="0" w:color="auto"/>
            </w:tcBorders>
            <w:noWrap/>
            <w:hideMark/>
          </w:tcPr>
          <w:p w:rsidR="00682A88" w:rsidRPr="00CF3673" w:rsidRDefault="00682A88" w:rsidP="00682A88">
            <w:r w:rsidRPr="00CF3673">
              <w:t xml:space="preserve">Maquinaria, </w:t>
            </w:r>
            <w:proofErr w:type="spellStart"/>
            <w:r w:rsidRPr="00CF3673">
              <w:t>etc</w:t>
            </w:r>
            <w:proofErr w:type="spellEnd"/>
          </w:p>
        </w:tc>
        <w:tc>
          <w:tcPr>
            <w:tcW w:w="672" w:type="dxa"/>
            <w:tcBorders>
              <w:top w:val="nil"/>
              <w:bottom w:val="single" w:sz="4" w:space="0" w:color="auto"/>
            </w:tcBorders>
            <w:noWrap/>
            <w:hideMark/>
          </w:tcPr>
          <w:p w:rsidR="00682A88" w:rsidRPr="00CF3673" w:rsidRDefault="00682A88" w:rsidP="00682A88">
            <w:pPr>
              <w:jc w:val="center"/>
            </w:pPr>
            <w:r w:rsidRPr="00CF3673">
              <w:t>29.4</w:t>
            </w:r>
          </w:p>
        </w:tc>
        <w:tc>
          <w:tcPr>
            <w:tcW w:w="789" w:type="dxa"/>
            <w:tcBorders>
              <w:top w:val="nil"/>
              <w:bottom w:val="single" w:sz="4" w:space="0" w:color="auto"/>
            </w:tcBorders>
            <w:noWrap/>
            <w:hideMark/>
          </w:tcPr>
          <w:p w:rsidR="00682A88" w:rsidRPr="00CF3673" w:rsidRDefault="00682A88" w:rsidP="00682A88">
            <w:pPr>
              <w:jc w:val="center"/>
            </w:pPr>
            <w:r w:rsidRPr="00CF3673">
              <w:t>5.6</w:t>
            </w:r>
          </w:p>
        </w:tc>
        <w:tc>
          <w:tcPr>
            <w:tcW w:w="236" w:type="dxa"/>
            <w:tcBorders>
              <w:top w:val="nil"/>
              <w:bottom w:val="single" w:sz="4" w:space="0" w:color="auto"/>
            </w:tcBorders>
          </w:tcPr>
          <w:p w:rsidR="00682A88" w:rsidRPr="00CF3673" w:rsidRDefault="00682A88" w:rsidP="00682A88">
            <w:pPr>
              <w:jc w:val="center"/>
            </w:pPr>
          </w:p>
        </w:tc>
        <w:tc>
          <w:tcPr>
            <w:tcW w:w="672" w:type="dxa"/>
            <w:tcBorders>
              <w:top w:val="nil"/>
              <w:bottom w:val="single" w:sz="4" w:space="0" w:color="auto"/>
            </w:tcBorders>
            <w:noWrap/>
            <w:hideMark/>
          </w:tcPr>
          <w:p w:rsidR="00682A88" w:rsidRPr="00CF3673" w:rsidRDefault="00682A88" w:rsidP="00682A88">
            <w:pPr>
              <w:jc w:val="center"/>
            </w:pPr>
            <w:r w:rsidRPr="00CF3673">
              <w:t>29.4</w:t>
            </w:r>
          </w:p>
        </w:tc>
        <w:tc>
          <w:tcPr>
            <w:tcW w:w="789" w:type="dxa"/>
            <w:tcBorders>
              <w:top w:val="nil"/>
              <w:bottom w:val="single" w:sz="4" w:space="0" w:color="auto"/>
              <w:right w:val="nil"/>
            </w:tcBorders>
            <w:noWrap/>
            <w:hideMark/>
          </w:tcPr>
          <w:p w:rsidR="00682A88" w:rsidRPr="00CF3673" w:rsidRDefault="00682A88" w:rsidP="00682A88">
            <w:pPr>
              <w:jc w:val="center"/>
            </w:pPr>
            <w:r w:rsidRPr="00CF3673">
              <w:t>5.6</w:t>
            </w:r>
          </w:p>
        </w:tc>
        <w:tc>
          <w:tcPr>
            <w:tcW w:w="236" w:type="dxa"/>
            <w:tcBorders>
              <w:top w:val="nil"/>
              <w:bottom w:val="single" w:sz="4" w:space="0" w:color="auto"/>
              <w:right w:val="nil"/>
            </w:tcBorders>
          </w:tcPr>
          <w:p w:rsidR="00682A88" w:rsidRPr="00CF3673" w:rsidRDefault="00682A88" w:rsidP="00682A88">
            <w:pPr>
              <w:jc w:val="center"/>
            </w:pPr>
          </w:p>
        </w:tc>
        <w:tc>
          <w:tcPr>
            <w:tcW w:w="1197" w:type="dxa"/>
            <w:tcBorders>
              <w:top w:val="nil"/>
              <w:left w:val="nil"/>
              <w:bottom w:val="single" w:sz="4" w:space="0" w:color="auto"/>
            </w:tcBorders>
          </w:tcPr>
          <w:p w:rsidR="00682A88" w:rsidRPr="00CF3673" w:rsidRDefault="00682A88" w:rsidP="00682A88">
            <w:pPr>
              <w:jc w:val="center"/>
            </w:pPr>
            <w:r w:rsidRPr="00CF3673">
              <w:t>17</w:t>
            </w:r>
          </w:p>
        </w:tc>
      </w:tr>
      <w:tr w:rsidR="00682A88" w:rsidRPr="00CF3673" w:rsidTr="00682A88">
        <w:trPr>
          <w:trHeight w:val="300"/>
          <w:jc w:val="center"/>
        </w:trPr>
        <w:tc>
          <w:tcPr>
            <w:tcW w:w="2855" w:type="dxa"/>
            <w:tcBorders>
              <w:top w:val="single" w:sz="4" w:space="0" w:color="auto"/>
            </w:tcBorders>
            <w:noWrap/>
            <w:hideMark/>
          </w:tcPr>
          <w:p w:rsidR="00682A88" w:rsidRPr="00CF3673" w:rsidRDefault="00682A88" w:rsidP="00682A88">
            <w:r w:rsidRPr="00CF3673">
              <w:t>Mobiliário e indústrias transformadoras</w:t>
            </w:r>
          </w:p>
        </w:tc>
        <w:tc>
          <w:tcPr>
            <w:tcW w:w="672" w:type="dxa"/>
            <w:tcBorders>
              <w:top w:val="single" w:sz="4" w:space="0" w:color="auto"/>
            </w:tcBorders>
            <w:noWrap/>
            <w:hideMark/>
          </w:tcPr>
          <w:p w:rsidR="00682A88" w:rsidRPr="00CF3673" w:rsidRDefault="00682A88" w:rsidP="00682A88">
            <w:pPr>
              <w:jc w:val="center"/>
            </w:pPr>
            <w:r w:rsidRPr="00CF3673">
              <w:t>33.8</w:t>
            </w:r>
          </w:p>
        </w:tc>
        <w:tc>
          <w:tcPr>
            <w:tcW w:w="789" w:type="dxa"/>
            <w:tcBorders>
              <w:top w:val="single" w:sz="4" w:space="0" w:color="auto"/>
            </w:tcBorders>
            <w:noWrap/>
            <w:hideMark/>
          </w:tcPr>
          <w:p w:rsidR="00682A88" w:rsidRPr="00CF3673" w:rsidRDefault="00682A88" w:rsidP="00682A88">
            <w:pPr>
              <w:jc w:val="center"/>
            </w:pPr>
            <w:r w:rsidRPr="00CF3673">
              <w:t>6.6</w:t>
            </w:r>
          </w:p>
        </w:tc>
        <w:tc>
          <w:tcPr>
            <w:tcW w:w="236" w:type="dxa"/>
            <w:tcBorders>
              <w:top w:val="single" w:sz="4" w:space="0" w:color="auto"/>
            </w:tcBorders>
          </w:tcPr>
          <w:p w:rsidR="00682A88" w:rsidRPr="00CF3673" w:rsidRDefault="00682A88" w:rsidP="00682A88">
            <w:pPr>
              <w:jc w:val="center"/>
            </w:pPr>
          </w:p>
        </w:tc>
        <w:tc>
          <w:tcPr>
            <w:tcW w:w="672" w:type="dxa"/>
            <w:tcBorders>
              <w:top w:val="single" w:sz="4" w:space="0" w:color="auto"/>
            </w:tcBorders>
            <w:noWrap/>
            <w:hideMark/>
          </w:tcPr>
          <w:p w:rsidR="00682A88" w:rsidRPr="00CF3673" w:rsidRDefault="00682A88" w:rsidP="00682A88">
            <w:pPr>
              <w:jc w:val="center"/>
            </w:pPr>
            <w:r w:rsidRPr="00CF3673">
              <w:t>27.4</w:t>
            </w:r>
          </w:p>
        </w:tc>
        <w:tc>
          <w:tcPr>
            <w:tcW w:w="789" w:type="dxa"/>
            <w:tcBorders>
              <w:top w:val="single" w:sz="4" w:space="0" w:color="auto"/>
              <w:right w:val="nil"/>
            </w:tcBorders>
            <w:noWrap/>
            <w:hideMark/>
          </w:tcPr>
          <w:p w:rsidR="00682A88" w:rsidRPr="00CF3673" w:rsidRDefault="00682A88" w:rsidP="00682A88">
            <w:pPr>
              <w:jc w:val="center"/>
            </w:pPr>
            <w:r w:rsidRPr="00CF3673">
              <w:t>5.2</w:t>
            </w:r>
          </w:p>
        </w:tc>
        <w:tc>
          <w:tcPr>
            <w:tcW w:w="236" w:type="dxa"/>
            <w:tcBorders>
              <w:top w:val="single" w:sz="4" w:space="0" w:color="auto"/>
              <w:right w:val="nil"/>
            </w:tcBorders>
          </w:tcPr>
          <w:p w:rsidR="00682A88" w:rsidRPr="00CF3673" w:rsidRDefault="00682A88" w:rsidP="00682A88">
            <w:pPr>
              <w:jc w:val="center"/>
            </w:pPr>
          </w:p>
        </w:tc>
        <w:tc>
          <w:tcPr>
            <w:tcW w:w="1197" w:type="dxa"/>
            <w:tcBorders>
              <w:top w:val="single" w:sz="4" w:space="0" w:color="auto"/>
              <w:left w:val="nil"/>
            </w:tcBorders>
          </w:tcPr>
          <w:p w:rsidR="00682A88" w:rsidRPr="00CF3673" w:rsidRDefault="00682A88" w:rsidP="00682A88">
            <w:pPr>
              <w:jc w:val="center"/>
            </w:pPr>
            <w:r w:rsidRPr="00CF3673">
              <w:t>68</w:t>
            </w:r>
          </w:p>
        </w:tc>
      </w:tr>
      <w:tr w:rsidR="00682A88" w:rsidRPr="00CF3673" w:rsidTr="00AD45B9">
        <w:trPr>
          <w:trHeight w:val="300"/>
          <w:jc w:val="center"/>
        </w:trPr>
        <w:tc>
          <w:tcPr>
            <w:tcW w:w="7446" w:type="dxa"/>
            <w:gridSpan w:val="8"/>
            <w:tcBorders>
              <w:top w:val="double" w:sz="4" w:space="0" w:color="auto"/>
              <w:bottom w:val="nil"/>
            </w:tcBorders>
            <w:shd w:val="clear" w:color="auto" w:fill="auto"/>
            <w:noWrap/>
          </w:tcPr>
          <w:p w:rsidR="00682A88" w:rsidRPr="00CF3673" w:rsidRDefault="00682A88" w:rsidP="00682A88">
            <w:pPr>
              <w:pStyle w:val="Tablenote"/>
              <w:rPr>
                <w:b/>
                <w:lang w:val="pt-PT"/>
              </w:rPr>
            </w:pPr>
            <w:r w:rsidRPr="00CF3673">
              <w:rPr>
                <w:b/>
                <w:lang w:val="pt-PT"/>
              </w:rPr>
              <w:t>Nota:</w:t>
            </w:r>
            <w:r w:rsidRPr="00CF3673">
              <w:rPr>
                <w:lang w:val="pt-PT"/>
              </w:rPr>
              <w:t xml:space="preserve"> As 54 empresas ”não localizadas” são rotuladas como fechadas na definição da saída 1 e excluídas da análise na definição da saída 2. A observação ”outro” para a propriedade legal foi removida. *Nº de </w:t>
            </w:r>
            <w:r w:rsidR="006A4724" w:rsidRPr="00CF3673">
              <w:rPr>
                <w:lang w:val="pt-PT"/>
              </w:rPr>
              <w:t>observações</w:t>
            </w:r>
            <w:r w:rsidRPr="00CF3673">
              <w:rPr>
                <w:lang w:val="pt-PT"/>
              </w:rPr>
              <w:t xml:space="preserve">, indica o número de </w:t>
            </w:r>
            <w:r w:rsidR="006A4724" w:rsidRPr="00CF3673">
              <w:rPr>
                <w:lang w:val="pt-PT"/>
              </w:rPr>
              <w:t>observações</w:t>
            </w:r>
            <w:r w:rsidRPr="00CF3673">
              <w:rPr>
                <w:lang w:val="pt-PT"/>
              </w:rPr>
              <w:t xml:space="preserve"> para a definição da coluna 1.</w:t>
            </w:r>
          </w:p>
        </w:tc>
      </w:tr>
      <w:tr w:rsidR="00682A88" w:rsidRPr="00CF3673" w:rsidTr="00AD45B9">
        <w:trPr>
          <w:trHeight w:val="300"/>
          <w:jc w:val="center"/>
        </w:trPr>
        <w:tc>
          <w:tcPr>
            <w:tcW w:w="7446" w:type="dxa"/>
            <w:gridSpan w:val="8"/>
            <w:tcBorders>
              <w:top w:val="nil"/>
              <w:bottom w:val="nil"/>
            </w:tcBorders>
            <w:shd w:val="clear" w:color="auto" w:fill="auto"/>
            <w:noWrap/>
          </w:tcPr>
          <w:p w:rsidR="00682A88" w:rsidRPr="00CF3673" w:rsidRDefault="00682A88" w:rsidP="00AD45B9">
            <w:pPr>
              <w:pStyle w:val="Tablenote"/>
              <w:rPr>
                <w:b/>
                <w:lang w:val="pt-PT"/>
              </w:rPr>
            </w:pPr>
            <w:r w:rsidRPr="00CF3673">
              <w:rPr>
                <w:b/>
                <w:lang w:val="pt-PT"/>
              </w:rPr>
              <w:t>Fonte:</w:t>
            </w:r>
            <w:r w:rsidRPr="00CF3673">
              <w:rPr>
                <w:lang w:val="pt-PT"/>
              </w:rPr>
              <w:t xml:space="preserve"> Cálculos </w:t>
            </w:r>
            <w:r w:rsidR="00AD45B9" w:rsidRPr="00CF3673">
              <w:rPr>
                <w:lang w:val="pt-PT"/>
              </w:rPr>
              <w:t xml:space="preserve">autores </w:t>
            </w:r>
            <w:r w:rsidRPr="00CF3673">
              <w:rPr>
                <w:lang w:val="pt-PT"/>
              </w:rPr>
              <w:t>usando IIM 2012, DNEAP (2006) e ICA (2009).</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A Tabela 3.8 apresenta uma análise da probabilidade de saída condicionando a características da empresa (modelo </w:t>
      </w:r>
      <w:proofErr w:type="spellStart"/>
      <w:r w:rsidRPr="00CF3673">
        <w:rPr>
          <w:i/>
        </w:rPr>
        <w:t>probit</w:t>
      </w:r>
      <w:proofErr w:type="spellEnd"/>
      <w:r w:rsidRPr="00CF3673">
        <w:t xml:space="preserve">). A dimensão da empresa, a formalidade e a propriedade estrangeira não têm nenhum efeito significativo sobre a probabilidade de saída. Empresas mais velhas são um pouco menos propensas a sair na segunda especificação, em linha com a literatura sobre a dinâmica das empresas (ver, por exemplo </w:t>
      </w:r>
      <w:proofErr w:type="spellStart"/>
      <w:r w:rsidRPr="00CF3673">
        <w:t>Bigsten</w:t>
      </w:r>
      <w:proofErr w:type="spellEnd"/>
      <w:r w:rsidRPr="00CF3673">
        <w:t xml:space="preserve"> e </w:t>
      </w:r>
      <w:proofErr w:type="spellStart"/>
      <w:r w:rsidRPr="00CF3673">
        <w:t>Söderbom</w:t>
      </w:r>
      <w:proofErr w:type="spellEnd"/>
      <w:r w:rsidRPr="00CF3673">
        <w:t>, 2006). As empresas administradas por gestores com um diploma universitário têm uma taxa de saída mais elevada do que outras empresas. Ambas as parcerias e sociedades de responsabilidade limitada têm uma probabilidade significativamente menor do que sair em nome individual. Outras províncias parecem ter probabilidades de saída um pouco mais baixas do que Maputo (especialmente Nacala, que é excluída, porque não há saídas confirmadas), mas as diferenças são na sua maioria pequenas e insignificantes.</w:t>
      </w:r>
    </w:p>
    <w:p w:rsidR="00AD45B9" w:rsidRPr="00CF3673" w:rsidRDefault="00AD45B9" w:rsidP="00682A88">
      <w:pPr>
        <w:spacing w:line="360" w:lineRule="auto"/>
        <w:jc w:val="both"/>
      </w:pPr>
    </w:p>
    <w:p w:rsidR="00682A88" w:rsidRPr="00CF3673" w:rsidRDefault="00682A88" w:rsidP="00682A88">
      <w:pPr>
        <w:pStyle w:val="TableTitle"/>
        <w:rPr>
          <w:lang w:val="pt-PT"/>
        </w:rPr>
      </w:pPr>
      <w:r w:rsidRPr="00CF3673">
        <w:rPr>
          <w:lang w:val="pt-PT"/>
        </w:rPr>
        <w:lastRenderedPageBreak/>
        <w:t xml:space="preserve">Tabela 3.8: </w:t>
      </w:r>
      <w:r w:rsidR="00AD45B9" w:rsidRPr="00CF3673">
        <w:rPr>
          <w:lang w:val="pt-PT"/>
        </w:rPr>
        <w:t xml:space="preserve">Determinantes de </w:t>
      </w:r>
      <w:r w:rsidR="006A4724" w:rsidRPr="00CF3673">
        <w:rPr>
          <w:lang w:val="pt-PT"/>
        </w:rPr>
        <w:t>saída</w:t>
      </w:r>
      <w:r w:rsidRPr="00CF3673">
        <w:rPr>
          <w:i/>
          <w:lang w:val="pt-PT"/>
        </w:rPr>
        <w:t xml:space="preserve">, </w:t>
      </w:r>
      <w:proofErr w:type="spellStart"/>
      <w:r w:rsidRPr="00CF3673">
        <w:rPr>
          <w:i/>
          <w:lang w:val="pt-PT"/>
        </w:rPr>
        <w:t>probit</w:t>
      </w:r>
      <w:proofErr w:type="spellEnd"/>
    </w:p>
    <w:tbl>
      <w:tblPr>
        <w:tblW w:w="0" w:type="auto"/>
        <w:jc w:val="center"/>
        <w:tblInd w:w="-188" w:type="dxa"/>
        <w:tblCellMar>
          <w:left w:w="144" w:type="dxa"/>
          <w:right w:w="144" w:type="dxa"/>
        </w:tblCellMar>
        <w:tblLook w:val="0000" w:firstRow="0" w:lastRow="0" w:firstColumn="0" w:lastColumn="0" w:noHBand="0" w:noVBand="0"/>
      </w:tblPr>
      <w:tblGrid>
        <w:gridCol w:w="2148"/>
        <w:gridCol w:w="1960"/>
        <w:gridCol w:w="2012"/>
      </w:tblGrid>
      <w:tr w:rsidR="00682A88" w:rsidRPr="00CF3673" w:rsidTr="00682A88">
        <w:trPr>
          <w:jc w:val="center"/>
        </w:trPr>
        <w:tc>
          <w:tcPr>
            <w:tcW w:w="2148" w:type="dxa"/>
            <w:tcBorders>
              <w:top w:val="double" w:sz="4" w:space="0" w:color="auto"/>
              <w:left w:val="nil"/>
              <w:bottom w:val="nil"/>
              <w:right w:val="nil"/>
            </w:tcBorders>
          </w:tcPr>
          <w:p w:rsidR="00682A88" w:rsidRPr="00CF3673" w:rsidRDefault="00682A88" w:rsidP="00682A88">
            <w:pPr>
              <w:widowControl w:val="0"/>
              <w:autoSpaceDE w:val="0"/>
              <w:autoSpaceDN w:val="0"/>
              <w:adjustRightInd w:val="0"/>
              <w:spacing w:before="66" w:after="66" w:line="240" w:lineRule="auto"/>
              <w:rPr>
                <w:rFonts w:ascii="Calibri" w:hAnsi="Calibri" w:cs="Calibri"/>
                <w:sz w:val="20"/>
                <w:szCs w:val="20"/>
              </w:rPr>
            </w:pPr>
          </w:p>
        </w:tc>
        <w:tc>
          <w:tcPr>
            <w:tcW w:w="1960" w:type="dxa"/>
            <w:tcBorders>
              <w:top w:val="double" w:sz="4" w:space="0" w:color="auto"/>
              <w:left w:val="nil"/>
              <w:bottom w:val="nil"/>
              <w:right w:val="nil"/>
            </w:tcBorders>
          </w:tcPr>
          <w:p w:rsidR="00682A88" w:rsidRPr="00CF3673" w:rsidRDefault="00D23BA9" w:rsidP="00D23BA9">
            <w:pPr>
              <w:widowControl w:val="0"/>
              <w:autoSpaceDE w:val="0"/>
              <w:autoSpaceDN w:val="0"/>
              <w:adjustRightInd w:val="0"/>
              <w:spacing w:before="66" w:after="66" w:line="240" w:lineRule="auto"/>
              <w:rPr>
                <w:rFonts w:ascii="Calibri" w:hAnsi="Calibri" w:cs="Calibri"/>
                <w:sz w:val="20"/>
                <w:szCs w:val="20"/>
              </w:rPr>
            </w:pPr>
            <w:r w:rsidRPr="00CF3673">
              <w:rPr>
                <w:rFonts w:ascii="Calibri" w:hAnsi="Calibri" w:cs="Calibri"/>
                <w:sz w:val="20"/>
                <w:szCs w:val="20"/>
              </w:rPr>
              <w:t xml:space="preserve">Saída </w:t>
            </w:r>
            <w:proofErr w:type="spellStart"/>
            <w:r w:rsidR="00682A88" w:rsidRPr="00CF3673">
              <w:rPr>
                <w:rFonts w:ascii="Calibri" w:hAnsi="Calibri" w:cs="Calibri"/>
                <w:sz w:val="20"/>
                <w:szCs w:val="20"/>
              </w:rPr>
              <w:t>def</w:t>
            </w:r>
            <w:proofErr w:type="spellEnd"/>
            <w:r w:rsidR="00682A88" w:rsidRPr="00CF3673">
              <w:rPr>
                <w:rFonts w:ascii="Calibri" w:hAnsi="Calibri" w:cs="Calibri"/>
                <w:sz w:val="20"/>
                <w:szCs w:val="20"/>
              </w:rPr>
              <w:t>. 1</w:t>
            </w:r>
          </w:p>
        </w:tc>
        <w:tc>
          <w:tcPr>
            <w:tcW w:w="2012" w:type="dxa"/>
            <w:tcBorders>
              <w:top w:val="double" w:sz="4" w:space="0" w:color="auto"/>
              <w:left w:val="nil"/>
              <w:bottom w:val="nil"/>
              <w:right w:val="nil"/>
            </w:tcBorders>
          </w:tcPr>
          <w:p w:rsidR="00682A88" w:rsidRPr="00CF3673" w:rsidRDefault="006A4724" w:rsidP="00D23BA9">
            <w:pPr>
              <w:widowControl w:val="0"/>
              <w:autoSpaceDE w:val="0"/>
              <w:autoSpaceDN w:val="0"/>
              <w:adjustRightInd w:val="0"/>
              <w:spacing w:before="66" w:after="66" w:line="240" w:lineRule="auto"/>
              <w:rPr>
                <w:rFonts w:ascii="Calibri" w:hAnsi="Calibri" w:cs="Calibri"/>
                <w:sz w:val="20"/>
                <w:szCs w:val="20"/>
              </w:rPr>
            </w:pPr>
            <w:r w:rsidRPr="00CF3673">
              <w:rPr>
                <w:rFonts w:ascii="Calibri" w:hAnsi="Calibri" w:cs="Calibri"/>
                <w:sz w:val="20"/>
                <w:szCs w:val="20"/>
              </w:rPr>
              <w:t>Saída</w:t>
            </w:r>
            <w:r w:rsidR="00D23BA9" w:rsidRPr="00CF3673">
              <w:rPr>
                <w:rFonts w:ascii="Calibri" w:hAnsi="Calibri" w:cs="Calibri"/>
                <w:sz w:val="20"/>
                <w:szCs w:val="20"/>
              </w:rPr>
              <w:t xml:space="preserve"> </w:t>
            </w:r>
            <w:proofErr w:type="spellStart"/>
            <w:r w:rsidR="00682A88" w:rsidRPr="00CF3673">
              <w:rPr>
                <w:rFonts w:ascii="Calibri" w:hAnsi="Calibri" w:cs="Calibri"/>
                <w:sz w:val="20"/>
                <w:szCs w:val="20"/>
              </w:rPr>
              <w:t>def</w:t>
            </w:r>
            <w:proofErr w:type="spellEnd"/>
            <w:r w:rsidR="00682A88" w:rsidRPr="00CF3673">
              <w:rPr>
                <w:rFonts w:ascii="Calibri" w:hAnsi="Calibri" w:cs="Calibri"/>
                <w:sz w:val="20"/>
                <w:szCs w:val="20"/>
              </w:rPr>
              <w:t>. 2</w:t>
            </w:r>
          </w:p>
        </w:tc>
      </w:tr>
      <w:tr w:rsidR="00682A88" w:rsidRPr="00CF3673" w:rsidTr="00682A88">
        <w:trPr>
          <w:jc w:val="center"/>
        </w:trPr>
        <w:tc>
          <w:tcPr>
            <w:tcW w:w="2148" w:type="dxa"/>
            <w:tcBorders>
              <w:top w:val="single" w:sz="6" w:space="0" w:color="auto"/>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Log(tamanho da empresa)</w:t>
            </w:r>
          </w:p>
        </w:tc>
        <w:tc>
          <w:tcPr>
            <w:tcW w:w="1960"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-0.043</w:t>
            </w:r>
          </w:p>
        </w:tc>
        <w:tc>
          <w:tcPr>
            <w:tcW w:w="2012" w:type="dxa"/>
            <w:tcBorders>
              <w:top w:val="single" w:sz="6" w:space="0" w:color="auto"/>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0.008</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(1.30)</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(0.25)</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Log(idade da empresa)</w:t>
            </w: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-0.072**</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-0.041</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(2.48)</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(1.48)</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eastAsia="Times New Roman" w:hAnsi="Calibri" w:cs="Times New Roman"/>
                <w:sz w:val="20"/>
                <w:szCs w:val="20"/>
                <w:lang w:eastAsia="zh-CN"/>
              </w:rPr>
              <w:t>Formal</w:t>
            </w: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-0.002</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-0.048</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(0.03)</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(0.64)</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Ensino Universitário</w:t>
            </w: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0.179**</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0.087</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(2.45)</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(1.23)</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Propriedade Estrangeira</w:t>
            </w: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-0.052</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-0.022</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(0.76)</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(0.35)</w:t>
            </w:r>
          </w:p>
        </w:tc>
      </w:tr>
      <w:tr w:rsidR="00682A88" w:rsidRPr="00CF3673" w:rsidTr="00682A88">
        <w:trPr>
          <w:jc w:val="center"/>
        </w:trPr>
        <w:tc>
          <w:tcPr>
            <w:tcW w:w="2148" w:type="dxa"/>
            <w:tcBorders>
              <w:top w:val="single" w:sz="6" w:space="0" w:color="auto"/>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 xml:space="preserve">Parceria </w:t>
            </w:r>
          </w:p>
        </w:tc>
        <w:tc>
          <w:tcPr>
            <w:tcW w:w="1960"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-0.057</w:t>
            </w:r>
          </w:p>
        </w:tc>
        <w:tc>
          <w:tcPr>
            <w:tcW w:w="2012" w:type="dxa"/>
            <w:tcBorders>
              <w:top w:val="single" w:sz="6" w:space="0" w:color="auto"/>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-0.080</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(0.94)</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(1.36)</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Responsabilidade limitada</w:t>
            </w: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-0.111</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-0.117</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(1.36)</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(1.63)</w:t>
            </w:r>
          </w:p>
        </w:tc>
      </w:tr>
      <w:tr w:rsidR="00682A88" w:rsidRPr="00CF3673" w:rsidTr="00682A88">
        <w:trPr>
          <w:jc w:val="center"/>
        </w:trPr>
        <w:tc>
          <w:tcPr>
            <w:tcW w:w="2148" w:type="dxa"/>
            <w:tcBorders>
              <w:top w:val="single" w:sz="6" w:space="0" w:color="auto"/>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Matola</w:t>
            </w:r>
          </w:p>
        </w:tc>
        <w:tc>
          <w:tcPr>
            <w:tcW w:w="1960"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0.060</w:t>
            </w:r>
          </w:p>
        </w:tc>
        <w:tc>
          <w:tcPr>
            <w:tcW w:w="2012" w:type="dxa"/>
            <w:tcBorders>
              <w:top w:val="single" w:sz="6" w:space="0" w:color="auto"/>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-0.083</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(0.60)</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(0.98)</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Beira</w:t>
            </w: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-0.033</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-0.011</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(0.39)</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(0.14)</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Nampula</w:t>
            </w: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0.003</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-0.054</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(0.04)</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(0.75)</w:t>
            </w:r>
          </w:p>
        </w:tc>
      </w:tr>
      <w:tr w:rsidR="00682A88" w:rsidRPr="00CF3673" w:rsidTr="00682A88">
        <w:trPr>
          <w:jc w:val="center"/>
        </w:trPr>
        <w:tc>
          <w:tcPr>
            <w:tcW w:w="2148" w:type="dxa"/>
            <w:tcBorders>
              <w:top w:val="nil"/>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Chimoio</w:t>
            </w:r>
          </w:p>
        </w:tc>
        <w:tc>
          <w:tcPr>
            <w:tcW w:w="1960" w:type="dxa"/>
            <w:tcBorders>
              <w:top w:val="nil"/>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-0.081</w:t>
            </w:r>
          </w:p>
        </w:tc>
        <w:tc>
          <w:tcPr>
            <w:tcW w:w="2012" w:type="dxa"/>
            <w:tcBorders>
              <w:top w:val="nil"/>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-0.041</w:t>
            </w:r>
          </w:p>
        </w:tc>
      </w:tr>
      <w:tr w:rsidR="00682A88" w:rsidRPr="00CF3673" w:rsidTr="00682A88">
        <w:trPr>
          <w:jc w:val="center"/>
        </w:trPr>
        <w:tc>
          <w:tcPr>
            <w:tcW w:w="2148" w:type="dxa"/>
            <w:tcBorders>
              <w:top w:val="nil"/>
              <w:left w:val="nil"/>
              <w:bottom w:val="single" w:sz="6" w:space="0" w:color="auto"/>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
        </w:tc>
        <w:tc>
          <w:tcPr>
            <w:tcW w:w="1960" w:type="dxa"/>
            <w:tcBorders>
              <w:top w:val="nil"/>
              <w:left w:val="nil"/>
              <w:bottom w:val="single" w:sz="6" w:space="0" w:color="auto"/>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(0.38)</w:t>
            </w:r>
          </w:p>
        </w:tc>
        <w:tc>
          <w:tcPr>
            <w:tcW w:w="2012" w:type="dxa"/>
            <w:tcBorders>
              <w:top w:val="nil"/>
              <w:left w:val="nil"/>
              <w:bottom w:val="single" w:sz="6" w:space="0" w:color="auto"/>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(0.21)</w:t>
            </w:r>
          </w:p>
        </w:tc>
      </w:tr>
      <w:tr w:rsidR="00682A88" w:rsidRPr="00CF3673" w:rsidTr="00682A88">
        <w:trPr>
          <w:jc w:val="center"/>
        </w:trPr>
        <w:tc>
          <w:tcPr>
            <w:tcW w:w="2148" w:type="dxa"/>
            <w:tcBorders>
              <w:top w:val="single" w:sz="6" w:space="0" w:color="auto"/>
              <w:left w:val="nil"/>
              <w:bottom w:val="nil"/>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i/>
                <w:sz w:val="20"/>
                <w:szCs w:val="20"/>
              </w:rPr>
            </w:pPr>
            <w:r w:rsidRPr="00CF3673">
              <w:rPr>
                <w:rFonts w:ascii="Calibri" w:hAnsi="Calibri" w:cs="Calibri"/>
                <w:i/>
                <w:sz w:val="20"/>
                <w:szCs w:val="20"/>
              </w:rPr>
              <w:t xml:space="preserve">Sector </w:t>
            </w:r>
            <w:proofErr w:type="spellStart"/>
            <w:r w:rsidRPr="00CF3673">
              <w:rPr>
                <w:rFonts w:ascii="Calibri" w:hAnsi="Calibri" w:cs="Calibri"/>
                <w:i/>
                <w:sz w:val="20"/>
                <w:szCs w:val="20"/>
              </w:rPr>
              <w:t>dummies</w:t>
            </w:r>
            <w:proofErr w:type="spellEnd"/>
          </w:p>
        </w:tc>
        <w:tc>
          <w:tcPr>
            <w:tcW w:w="1960" w:type="dxa"/>
            <w:tcBorders>
              <w:top w:val="single" w:sz="6" w:space="0" w:color="auto"/>
              <w:left w:val="nil"/>
              <w:bottom w:val="nil"/>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c>
          <w:tcPr>
            <w:tcW w:w="2012" w:type="dxa"/>
            <w:tcBorders>
              <w:top w:val="single" w:sz="6" w:space="0" w:color="auto"/>
              <w:left w:val="nil"/>
              <w:bottom w:val="nil"/>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r>
      <w:tr w:rsidR="00682A88" w:rsidRPr="00CF3673" w:rsidTr="00682A88">
        <w:trPr>
          <w:jc w:val="center"/>
        </w:trPr>
        <w:tc>
          <w:tcPr>
            <w:tcW w:w="2148" w:type="dxa"/>
            <w:tcBorders>
              <w:left w:val="nil"/>
              <w:bottom w:val="single" w:sz="6" w:space="0" w:color="auto"/>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proofErr w:type="spellStart"/>
            <w:r w:rsidRPr="00CF3673">
              <w:rPr>
                <w:rFonts w:ascii="Calibri" w:hAnsi="Calibri" w:cs="Calibri"/>
                <w:sz w:val="20"/>
                <w:szCs w:val="20"/>
              </w:rPr>
              <w:t>Pseudo</w:t>
            </w:r>
            <w:proofErr w:type="spellEnd"/>
            <w:r w:rsidRPr="00CF3673">
              <w:rPr>
                <w:rFonts w:ascii="Calibri" w:hAnsi="Calibri" w:cs="Calibri"/>
                <w:sz w:val="20"/>
                <w:szCs w:val="20"/>
              </w:rPr>
              <w:t xml:space="preserve"> R^2</w:t>
            </w:r>
          </w:p>
        </w:tc>
        <w:tc>
          <w:tcPr>
            <w:tcW w:w="1960" w:type="dxa"/>
            <w:tcBorders>
              <w:left w:val="nil"/>
              <w:bottom w:val="single" w:sz="6" w:space="0" w:color="auto"/>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0.07</w:t>
            </w:r>
          </w:p>
        </w:tc>
        <w:tc>
          <w:tcPr>
            <w:tcW w:w="2012" w:type="dxa"/>
            <w:tcBorders>
              <w:left w:val="nil"/>
              <w:bottom w:val="single" w:sz="6" w:space="0" w:color="auto"/>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0.05</w:t>
            </w:r>
          </w:p>
        </w:tc>
      </w:tr>
      <w:tr w:rsidR="00682A88" w:rsidRPr="00CF3673" w:rsidTr="00682A88">
        <w:trPr>
          <w:jc w:val="center"/>
        </w:trPr>
        <w:tc>
          <w:tcPr>
            <w:tcW w:w="2148" w:type="dxa"/>
            <w:tcBorders>
              <w:top w:val="single" w:sz="6" w:space="0" w:color="auto"/>
              <w:left w:val="nil"/>
              <w:bottom w:val="double" w:sz="4" w:space="0" w:color="auto"/>
              <w:right w:val="nil"/>
            </w:tcBorders>
          </w:tcPr>
          <w:p w:rsidR="00682A88" w:rsidRPr="00CF3673" w:rsidRDefault="00682A88" w:rsidP="00682A88">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Número de obs.</w:t>
            </w:r>
          </w:p>
        </w:tc>
        <w:tc>
          <w:tcPr>
            <w:tcW w:w="1960" w:type="dxa"/>
            <w:tcBorders>
              <w:top w:val="single" w:sz="6" w:space="0" w:color="auto"/>
              <w:left w:val="nil"/>
              <w:bottom w:val="double" w:sz="4" w:space="0" w:color="auto"/>
              <w:right w:val="nil"/>
            </w:tcBorders>
          </w:tcPr>
          <w:p w:rsidR="00682A88" w:rsidRPr="00CF3673" w:rsidRDefault="00682A88" w:rsidP="00682A88">
            <w:pPr>
              <w:widowControl w:val="0"/>
              <w:tabs>
                <w:tab w:val="decimal" w:pos="619"/>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413</w:t>
            </w:r>
          </w:p>
        </w:tc>
        <w:tc>
          <w:tcPr>
            <w:tcW w:w="2012" w:type="dxa"/>
            <w:tcBorders>
              <w:top w:val="single" w:sz="6" w:space="0" w:color="auto"/>
              <w:left w:val="nil"/>
              <w:bottom w:val="double" w:sz="4" w:space="0" w:color="auto"/>
              <w:right w:val="nil"/>
            </w:tcBorders>
          </w:tcPr>
          <w:p w:rsidR="00682A88" w:rsidRPr="00CF3673" w:rsidRDefault="00682A88" w:rsidP="00682A88">
            <w:pPr>
              <w:widowControl w:val="0"/>
              <w:tabs>
                <w:tab w:val="decimal" w:pos="733"/>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364</w:t>
            </w:r>
          </w:p>
        </w:tc>
      </w:tr>
      <w:tr w:rsidR="00682A88" w:rsidRPr="00CF3673" w:rsidTr="00682A88">
        <w:trPr>
          <w:jc w:val="center"/>
        </w:trPr>
        <w:tc>
          <w:tcPr>
            <w:tcW w:w="6120" w:type="dxa"/>
            <w:gridSpan w:val="3"/>
            <w:tcBorders>
              <w:top w:val="double" w:sz="4" w:space="0" w:color="auto"/>
              <w:left w:val="nil"/>
            </w:tcBorders>
          </w:tcPr>
          <w:p w:rsidR="00682A88" w:rsidRPr="00CF3673" w:rsidRDefault="00682A88" w:rsidP="006A4724">
            <w:pPr>
              <w:pStyle w:val="Tablenote"/>
              <w:rPr>
                <w:sz w:val="20"/>
                <w:szCs w:val="20"/>
                <w:lang w:val="pt-PT"/>
              </w:rPr>
            </w:pPr>
            <w:r w:rsidRPr="00CF3673">
              <w:rPr>
                <w:b/>
                <w:lang w:val="pt-PT"/>
              </w:rPr>
              <w:t>Nota</w:t>
            </w:r>
            <w:r w:rsidRPr="00CF3673">
              <w:rPr>
                <w:lang w:val="pt-PT"/>
              </w:rPr>
              <w:t xml:space="preserve">: </w:t>
            </w:r>
            <w:proofErr w:type="spellStart"/>
            <w:r w:rsidRPr="00CF3673">
              <w:rPr>
                <w:lang w:val="pt-PT"/>
              </w:rPr>
              <w:t>Probit</w:t>
            </w:r>
            <w:proofErr w:type="spellEnd"/>
            <w:r w:rsidRPr="00CF3673">
              <w:rPr>
                <w:lang w:val="pt-PT"/>
              </w:rPr>
              <w:t xml:space="preserve"> – variável dependente: exit. Efeitos Marginais. </w:t>
            </w:r>
            <w:proofErr w:type="spellStart"/>
            <w:r w:rsidR="006A5FED" w:rsidRPr="00CF3673">
              <w:rPr>
                <w:lang w:val="pt-PT"/>
              </w:rPr>
              <w:t>Heteroscedacidade</w:t>
            </w:r>
            <w:proofErr w:type="spellEnd"/>
            <w:r w:rsidR="006A5FED" w:rsidRPr="00CF3673">
              <w:rPr>
                <w:lang w:val="pt-PT"/>
              </w:rPr>
              <w:t>, consistente</w:t>
            </w:r>
            <w:r w:rsidRPr="00CF3673">
              <w:rPr>
                <w:lang w:val="pt-PT"/>
              </w:rPr>
              <w:t xml:space="preserve"> t-</w:t>
            </w:r>
            <w:proofErr w:type="spellStart"/>
            <w:r w:rsidR="006A5FED" w:rsidRPr="00CF3673">
              <w:rPr>
                <w:lang w:val="pt-PT"/>
              </w:rPr>
              <w:t>e</w:t>
            </w:r>
            <w:r w:rsidRPr="00CF3673">
              <w:rPr>
                <w:lang w:val="pt-PT"/>
              </w:rPr>
              <w:t>statistic</w:t>
            </w:r>
            <w:r w:rsidR="006A5FED" w:rsidRPr="00CF3673">
              <w:rPr>
                <w:lang w:val="pt-PT"/>
              </w:rPr>
              <w:t>a</w:t>
            </w:r>
            <w:r w:rsidRPr="00CF3673">
              <w:rPr>
                <w:lang w:val="pt-PT"/>
              </w:rPr>
              <w:t>s</w:t>
            </w:r>
            <w:proofErr w:type="spellEnd"/>
            <w:r w:rsidRPr="00CF3673">
              <w:rPr>
                <w:lang w:val="pt-PT"/>
              </w:rPr>
              <w:t xml:space="preserve"> </w:t>
            </w:r>
            <w:r w:rsidR="006A5FED" w:rsidRPr="00CF3673">
              <w:rPr>
                <w:lang w:val="pt-PT"/>
              </w:rPr>
              <w:t xml:space="preserve">entre </w:t>
            </w:r>
            <w:r w:rsidRPr="00CF3673">
              <w:rPr>
                <w:lang w:val="pt-PT"/>
              </w:rPr>
              <w:t>parent</w:t>
            </w:r>
            <w:r w:rsidR="006A5FED" w:rsidRPr="00CF3673">
              <w:rPr>
                <w:lang w:val="pt-PT"/>
              </w:rPr>
              <w:t>eses</w:t>
            </w:r>
            <w:r w:rsidRPr="00CF3673">
              <w:rPr>
                <w:lang w:val="pt-PT"/>
              </w:rPr>
              <w:t xml:space="preserve">. *, ** </w:t>
            </w:r>
            <w:r w:rsidR="006A5FED" w:rsidRPr="00CF3673">
              <w:rPr>
                <w:lang w:val="pt-PT"/>
              </w:rPr>
              <w:t>e</w:t>
            </w:r>
            <w:r w:rsidRPr="00CF3673">
              <w:rPr>
                <w:lang w:val="pt-PT"/>
              </w:rPr>
              <w:t xml:space="preserve"> *** indica </w:t>
            </w:r>
            <w:r w:rsidR="006A4724" w:rsidRPr="00CF3673">
              <w:rPr>
                <w:lang w:val="pt-PT"/>
              </w:rPr>
              <w:t>significância</w:t>
            </w:r>
            <w:r w:rsidRPr="00CF3673">
              <w:rPr>
                <w:lang w:val="pt-PT"/>
              </w:rPr>
              <w:t xml:space="preserve"> </w:t>
            </w:r>
            <w:r w:rsidR="006A5FED" w:rsidRPr="00CF3673">
              <w:rPr>
                <w:lang w:val="pt-PT"/>
              </w:rPr>
              <w:t>ao nível</w:t>
            </w:r>
            <w:r w:rsidRPr="00CF3673">
              <w:rPr>
                <w:lang w:val="pt-PT"/>
              </w:rPr>
              <w:t xml:space="preserve"> 10 </w:t>
            </w:r>
            <w:r w:rsidR="006A5FED" w:rsidRPr="00CF3673">
              <w:rPr>
                <w:lang w:val="pt-PT"/>
              </w:rPr>
              <w:t>%</w:t>
            </w:r>
            <w:r w:rsidRPr="00CF3673">
              <w:rPr>
                <w:lang w:val="pt-PT"/>
              </w:rPr>
              <w:t>, 5</w:t>
            </w:r>
            <w:r w:rsidR="006A5FED" w:rsidRPr="00CF3673">
              <w:rPr>
                <w:lang w:val="pt-PT"/>
              </w:rPr>
              <w:t>%</w:t>
            </w:r>
            <w:r w:rsidRPr="00CF3673">
              <w:rPr>
                <w:lang w:val="pt-PT"/>
              </w:rPr>
              <w:t xml:space="preserve">t. </w:t>
            </w:r>
            <w:r w:rsidR="006A5FED" w:rsidRPr="00CF3673">
              <w:rPr>
                <w:lang w:val="pt-PT"/>
              </w:rPr>
              <w:t xml:space="preserve">e </w:t>
            </w:r>
            <w:r w:rsidRPr="00CF3673">
              <w:rPr>
                <w:lang w:val="pt-PT"/>
              </w:rPr>
              <w:t>1</w:t>
            </w:r>
            <w:r w:rsidR="006A5FED" w:rsidRPr="00CF3673">
              <w:rPr>
                <w:lang w:val="pt-PT"/>
              </w:rPr>
              <w:t>%</w:t>
            </w:r>
            <w:r w:rsidR="006A4724" w:rsidRPr="00CF3673">
              <w:rPr>
                <w:lang w:val="pt-PT"/>
              </w:rPr>
              <w:t xml:space="preserve">. </w:t>
            </w:r>
            <w:r w:rsidRPr="00CF3673">
              <w:rPr>
                <w:lang w:val="pt-PT"/>
              </w:rPr>
              <w:t>respectiv</w:t>
            </w:r>
            <w:r w:rsidR="006A5FED" w:rsidRPr="00CF3673">
              <w:rPr>
                <w:lang w:val="pt-PT"/>
              </w:rPr>
              <w:t>amente</w:t>
            </w:r>
            <w:r w:rsidRPr="00CF3673">
              <w:rPr>
                <w:lang w:val="pt-PT"/>
              </w:rPr>
              <w:t xml:space="preserve">. Base: Informal, </w:t>
            </w:r>
            <w:r w:rsidR="006A5FED" w:rsidRPr="00CF3673">
              <w:rPr>
                <w:lang w:val="pt-PT"/>
              </w:rPr>
              <w:t>Menos do que educação universitária</w:t>
            </w:r>
            <w:r w:rsidRPr="00CF3673">
              <w:rPr>
                <w:lang w:val="pt-PT"/>
              </w:rPr>
              <w:t xml:space="preserve">, </w:t>
            </w:r>
            <w:r w:rsidR="006A5FED" w:rsidRPr="00CF3673">
              <w:rPr>
                <w:lang w:val="pt-PT"/>
              </w:rPr>
              <w:t xml:space="preserve">Detida por </w:t>
            </w:r>
            <w:r w:rsidR="006A4724" w:rsidRPr="00CF3673">
              <w:rPr>
                <w:lang w:val="pt-PT"/>
              </w:rPr>
              <w:t>moçambicanos</w:t>
            </w:r>
            <w:r w:rsidRPr="00CF3673">
              <w:rPr>
                <w:lang w:val="pt-PT"/>
              </w:rPr>
              <w:t xml:space="preserve">, </w:t>
            </w:r>
            <w:r w:rsidR="006A5FED" w:rsidRPr="00CF3673">
              <w:rPr>
                <w:lang w:val="pt-PT"/>
              </w:rPr>
              <w:t>propriedade individual</w:t>
            </w:r>
            <w:r w:rsidRPr="00CF3673">
              <w:rPr>
                <w:lang w:val="pt-PT"/>
              </w:rPr>
              <w:t xml:space="preserve">, Maputo, </w:t>
            </w:r>
            <w:r w:rsidR="006A5FED" w:rsidRPr="00CF3673">
              <w:rPr>
                <w:lang w:val="pt-PT"/>
              </w:rPr>
              <w:t xml:space="preserve">Sector da </w:t>
            </w:r>
            <w:r w:rsidR="006A4724" w:rsidRPr="00CF3673">
              <w:rPr>
                <w:lang w:val="pt-PT"/>
              </w:rPr>
              <w:t>Alimentação</w:t>
            </w:r>
            <w:r w:rsidR="006A5FED" w:rsidRPr="00CF3673">
              <w:rPr>
                <w:lang w:val="pt-PT"/>
              </w:rPr>
              <w:t xml:space="preserve"> e</w:t>
            </w:r>
            <w:r w:rsidRPr="00CF3673">
              <w:rPr>
                <w:lang w:val="pt-PT"/>
              </w:rPr>
              <w:t xml:space="preserve"> T</w:t>
            </w:r>
            <w:r w:rsidR="006A5FED" w:rsidRPr="00CF3673">
              <w:rPr>
                <w:lang w:val="pt-PT"/>
              </w:rPr>
              <w:t>abaco</w:t>
            </w:r>
            <w:r w:rsidRPr="00CF3673">
              <w:rPr>
                <w:lang w:val="pt-PT"/>
              </w:rPr>
              <w:t xml:space="preserve"> (ISIC 15 </w:t>
            </w:r>
            <w:proofErr w:type="spellStart"/>
            <w:r w:rsidRPr="00CF3673">
              <w:rPr>
                <w:lang w:val="pt-PT"/>
              </w:rPr>
              <w:t>and</w:t>
            </w:r>
            <w:proofErr w:type="spellEnd"/>
            <w:r w:rsidRPr="00CF3673">
              <w:rPr>
                <w:lang w:val="pt-PT"/>
              </w:rPr>
              <w:t xml:space="preserve"> 16)</w:t>
            </w:r>
          </w:p>
        </w:tc>
      </w:tr>
      <w:tr w:rsidR="00682A88" w:rsidRPr="00CF3673" w:rsidTr="00682A88">
        <w:trPr>
          <w:jc w:val="center"/>
        </w:trPr>
        <w:tc>
          <w:tcPr>
            <w:tcW w:w="6120" w:type="dxa"/>
            <w:gridSpan w:val="3"/>
            <w:tcBorders>
              <w:left w:val="nil"/>
            </w:tcBorders>
          </w:tcPr>
          <w:p w:rsidR="00682A88" w:rsidRPr="00CF3673" w:rsidRDefault="00682A88" w:rsidP="00682A88">
            <w:pPr>
              <w:pStyle w:val="Tablenote"/>
              <w:rPr>
                <w:lang w:val="pt-PT"/>
              </w:rPr>
            </w:pPr>
            <w:r w:rsidRPr="00CF3673">
              <w:rPr>
                <w:b/>
                <w:lang w:val="pt-PT"/>
              </w:rPr>
              <w:t>Fonte:</w:t>
            </w:r>
            <w:r w:rsidRPr="00CF3673">
              <w:rPr>
                <w:lang w:val="pt-PT"/>
              </w:rPr>
              <w:t xml:space="preserve"> Cálculos próprios usando IIM 2012, DNEAP (2006) e ICA (2009).</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Como os valores muito baixos ² - </w:t>
      </w:r>
      <w:proofErr w:type="spellStart"/>
      <w:r w:rsidRPr="00CF3673">
        <w:t>pseudo</w:t>
      </w:r>
      <w:proofErr w:type="spellEnd"/>
      <w:r w:rsidRPr="00CF3673">
        <w:t xml:space="preserve"> R, não são capazes de explicar a saída da empresa quando condicionado em características observáveis. Os únicos resultados significativos (usando a definição de saída 1 ) eram mais velhos que as empresas que tendem a ter taxas de saída mais baixas e as empresas com gestores com formação universitária parecem ter taxas de saída mais elevadas, mas em geral podemos concluir que os determinantes de saída tradicionais têm baixo poder explicativo, no caso de Moçambique.</w:t>
      </w:r>
    </w:p>
    <w:p w:rsidR="006A5FED" w:rsidRPr="00CF3673" w:rsidRDefault="006A5FED" w:rsidP="00682A88">
      <w:pPr>
        <w:spacing w:line="360" w:lineRule="auto"/>
        <w:jc w:val="both"/>
      </w:pPr>
    </w:p>
    <w:p w:rsidR="006A5FED" w:rsidRPr="00CF3673" w:rsidRDefault="006A5FED" w:rsidP="00682A88">
      <w:pPr>
        <w:spacing w:line="360" w:lineRule="auto"/>
        <w:jc w:val="both"/>
      </w:pPr>
    </w:p>
    <w:p w:rsidR="00682A88" w:rsidRPr="00CF3673" w:rsidRDefault="00682A88" w:rsidP="00682A88">
      <w:pPr>
        <w:spacing w:line="360" w:lineRule="auto"/>
        <w:jc w:val="both"/>
        <w:rPr>
          <w:b/>
          <w:u w:val="single"/>
        </w:rPr>
      </w:pPr>
      <w:r w:rsidRPr="00CF3673">
        <w:rPr>
          <w:b/>
          <w:u w:val="single"/>
        </w:rPr>
        <w:lastRenderedPageBreak/>
        <w:t>3.3 . Restrições ao crescimento</w:t>
      </w:r>
    </w:p>
    <w:p w:rsidR="00682A88" w:rsidRPr="00CF3673" w:rsidRDefault="00682A88" w:rsidP="00682A88">
      <w:pPr>
        <w:spacing w:line="360" w:lineRule="auto"/>
        <w:jc w:val="both"/>
      </w:pPr>
      <w:r w:rsidRPr="00CF3673">
        <w:t>As empresas da nossa amostra foram convidadas a listar as restrições que constituíram obstáculos para as empresas e, em caso afirmativo, para avaliar a gravidade da restrição , dando-lhe um valor de 0 a 4, onde 0 = nenhum obstáculo , 1 = ligeiro obstáculo , 2 = obstáculo moderado, 3 = grande obstáculo , e 4 = grave obstáculo.</w:t>
      </w:r>
    </w:p>
    <w:p w:rsidR="00682A88" w:rsidRPr="00CF3673" w:rsidRDefault="00682A88" w:rsidP="00682A88">
      <w:pPr>
        <w:spacing w:line="360" w:lineRule="auto"/>
        <w:jc w:val="both"/>
      </w:pPr>
      <w:r w:rsidRPr="00CF3673">
        <w:t xml:space="preserve">Os resultados deste exercício subjectivo devem ser interpretados com cautela, no entanto, uma vez que reflectem a forma como o gestor percebe a situação da sua empresa. Deve-se também ter em mente que este indicador não pode necessariamente ser considerado como uma medida precisa do "o que é errado" com o ambiente de negócios em Moçambique. Imagine, por exemplo, que empresas de alta tecnologia ou </w:t>
      </w:r>
      <w:r w:rsidR="006A4724" w:rsidRPr="00CF3673">
        <w:t>indústrias</w:t>
      </w:r>
      <w:r w:rsidRPr="00CF3673">
        <w:t xml:space="preserve"> avançadas não são localizadas em Moçambique por causa de uma força de trabalho pouco qualificada. Uma vez que estas empresas não fazem parte da população actual de empresas, não é possível entrevistá-las, mesmo que elas constituam uma parte importante da população potencial de empresas - </w:t>
      </w:r>
      <w:r w:rsidR="006A4724" w:rsidRPr="00CF3673">
        <w:t>fenómeno</w:t>
      </w:r>
      <w:r w:rsidRPr="00CF3673">
        <w:t xml:space="preserve"> também conhecido como </w:t>
      </w:r>
      <w:r w:rsidR="006A4724" w:rsidRPr="00CF3673">
        <w:t>selecção</w:t>
      </w:r>
      <w:r w:rsidRPr="00CF3673">
        <w:t xml:space="preserve"> da amostra. Com esta ressalva, a avaliação subjectiva das restrições ainda pode fornecer algumas </w:t>
      </w:r>
      <w:r w:rsidR="006A4724" w:rsidRPr="00CF3673">
        <w:t>orientações</w:t>
      </w:r>
      <w:r w:rsidRPr="00CF3673">
        <w:t xml:space="preserve"> sobre a forma como a população actual de empresas vê o ambiente de negócios.</w:t>
      </w:r>
    </w:p>
    <w:p w:rsidR="00682A88" w:rsidRPr="00CF3673" w:rsidRDefault="00682A88" w:rsidP="00682A88">
      <w:pPr>
        <w:spacing w:line="360" w:lineRule="auto"/>
        <w:jc w:val="both"/>
      </w:pPr>
      <w:r w:rsidRPr="00CF3673">
        <w:t>A Tabela 3.9 apresenta como percepções dos constrangimentos têm desenvolvido ao longo do tempo usando o IFC (2003), DNEAP (2006) e os dados IIM 2012</w:t>
      </w:r>
      <w:r w:rsidRPr="00CF3673">
        <w:rPr>
          <w:rStyle w:val="FootnoteReference"/>
        </w:rPr>
        <w:footnoteReference w:id="18"/>
      </w:r>
      <w:r w:rsidRPr="00CF3673">
        <w:t xml:space="preserve">. Um painel desequilibrado é usado, o que significa que </w:t>
      </w:r>
      <w:r w:rsidR="006A5FED" w:rsidRPr="00CF3673">
        <w:t>as mesmas empresas não são seguidas</w:t>
      </w:r>
      <w:r w:rsidRPr="00CF3673">
        <w:t xml:space="preserve"> ao longo do </w:t>
      </w:r>
      <w:r w:rsidR="006A5FED" w:rsidRPr="00CF3673">
        <w:t>tempo.</w:t>
      </w:r>
      <w:r w:rsidRPr="00CF3673">
        <w:t xml:space="preserve"> Várias </w:t>
      </w:r>
      <w:r w:rsidR="006A4724" w:rsidRPr="00CF3673">
        <w:t>observações</w:t>
      </w:r>
      <w:r w:rsidRPr="00CF3673">
        <w:t xml:space="preserve"> estão em ordem</w:t>
      </w:r>
      <w:r w:rsidRPr="00CF3673">
        <w:rPr>
          <w:rStyle w:val="FootnoteReference"/>
        </w:rPr>
        <w:footnoteReference w:id="19"/>
      </w:r>
      <w:r w:rsidRPr="00CF3673">
        <w:t>.</w:t>
      </w:r>
    </w:p>
    <w:p w:rsidR="00682A88" w:rsidRPr="00CF3673" w:rsidRDefault="00682A88" w:rsidP="00682A88">
      <w:pPr>
        <w:spacing w:line="360" w:lineRule="auto"/>
        <w:jc w:val="both"/>
      </w:pPr>
      <w:r w:rsidRPr="00CF3673">
        <w:t xml:space="preserve">Em primeiro lugar, parece haver uma tendência geral para </w:t>
      </w:r>
      <w:r w:rsidR="006A5FED" w:rsidRPr="00CF3673">
        <w:t xml:space="preserve">abrandar </w:t>
      </w:r>
      <w:r w:rsidRPr="00CF3673">
        <w:t xml:space="preserve">as restrições para reduzirem entre 2003-2006 e novamente entre 2006-2012. Isso deve significar que as empresas geralmente se sentem menos constrangidas. Quatro constrangimentos sofreram uma grande queda no percentual de empresas que os viam como grandes ou graves constrangimentos; 1) Paradoxalmente, enquanto as empresas se sentem consideravelmente menos constrangidas pelas acesso ao financiamento do que em 2006, ele ainda está no topo da lista das restrições - Capítulo 9 trata das restrições de crédito com mais detalhes, 2) a instabilidade macroeconómica tornou-se menos restritiva, 3) as empresas sentiram muito menos </w:t>
      </w:r>
      <w:r w:rsidR="006A4724" w:rsidRPr="00CF3673">
        <w:t>limitações</w:t>
      </w:r>
      <w:r w:rsidRPr="00CF3673">
        <w:t xml:space="preserve"> por </w:t>
      </w:r>
      <w:r w:rsidR="006A4724" w:rsidRPr="00CF3673">
        <w:t>regulamentações</w:t>
      </w:r>
      <w:r w:rsidRPr="00CF3673">
        <w:t xml:space="preserve"> trabalhistas em 2012, que é provável que seja um efeito da nova Lei do </w:t>
      </w:r>
      <w:r w:rsidRPr="00CF3673">
        <w:lastRenderedPageBreak/>
        <w:t>Trabalho introduzida em 2007</w:t>
      </w:r>
      <w:r w:rsidRPr="00CF3673">
        <w:rPr>
          <w:rStyle w:val="FootnoteReference"/>
        </w:rPr>
        <w:footnoteReference w:id="20"/>
      </w:r>
      <w:r w:rsidRPr="00CF3673">
        <w:t xml:space="preserve"> - no capítulo 4 , as questões do emprego são examinadas em detalhe, e 4) o número de empresas restritas por </w:t>
      </w:r>
      <w:r w:rsidR="006A4724" w:rsidRPr="00CF3673">
        <w:t>electricidade</w:t>
      </w:r>
      <w:r w:rsidRPr="00CF3673">
        <w:t xml:space="preserve"> é substancialmente menor em relação a 2006 , de acordo com as reduções constantes na falta de energia, especialmente no sul do país (ver, por exemplo EDM, 2010).</w:t>
      </w:r>
    </w:p>
    <w:p w:rsidR="00682A88" w:rsidRPr="00CF3673" w:rsidRDefault="006A5FED" w:rsidP="00682A88">
      <w:pPr>
        <w:pStyle w:val="TableTitle"/>
        <w:rPr>
          <w:lang w:val="pt-PT"/>
        </w:rPr>
      </w:pPr>
      <w:r w:rsidRPr="00CF3673">
        <w:rPr>
          <w:lang w:val="pt-PT"/>
        </w:rPr>
        <w:t>T</w:t>
      </w:r>
      <w:r w:rsidR="00682A88" w:rsidRPr="00CF3673">
        <w:rPr>
          <w:lang w:val="pt-PT"/>
        </w:rPr>
        <w:t>abela 3.9: Percentagem</w:t>
      </w:r>
      <w:r w:rsidRPr="00CF3673">
        <w:rPr>
          <w:lang w:val="pt-PT"/>
        </w:rPr>
        <w:t xml:space="preserve"> das percepções </w:t>
      </w:r>
      <w:r w:rsidR="00682A88" w:rsidRPr="00CF3673">
        <w:rPr>
          <w:lang w:val="pt-PT"/>
        </w:rPr>
        <w:t xml:space="preserve">de empresas </w:t>
      </w:r>
      <w:r w:rsidRPr="00CF3673">
        <w:rPr>
          <w:lang w:val="pt-PT"/>
        </w:rPr>
        <w:t xml:space="preserve">sobre </w:t>
      </w:r>
      <w:r w:rsidR="00682A88" w:rsidRPr="00CF3673">
        <w:rPr>
          <w:lang w:val="pt-PT"/>
        </w:rPr>
        <w:t>factores restri</w:t>
      </w:r>
      <w:r w:rsidRPr="00CF3673">
        <w:rPr>
          <w:lang w:val="pt-PT"/>
        </w:rPr>
        <w:t>tivos</w:t>
      </w:r>
      <w:r w:rsidR="00682A88" w:rsidRPr="00CF3673">
        <w:rPr>
          <w:lang w:val="pt-PT"/>
        </w:rPr>
        <w:t xml:space="preserve"> 2003-2012, painel desequilibrado, % de empresas</w:t>
      </w:r>
    </w:p>
    <w:tbl>
      <w:tblPr>
        <w:tblW w:w="7173" w:type="dxa"/>
        <w:jc w:val="center"/>
        <w:tblInd w:w="3856" w:type="dxa"/>
        <w:tblCellMar>
          <w:left w:w="0" w:type="dxa"/>
          <w:right w:w="0" w:type="dxa"/>
        </w:tblCellMar>
        <w:tblLook w:val="0000" w:firstRow="0" w:lastRow="0" w:firstColumn="0" w:lastColumn="0" w:noHBand="0" w:noVBand="0"/>
      </w:tblPr>
      <w:tblGrid>
        <w:gridCol w:w="4129"/>
        <w:gridCol w:w="1126"/>
        <w:gridCol w:w="569"/>
        <w:gridCol w:w="1349"/>
      </w:tblGrid>
      <w:tr w:rsidR="00682A88" w:rsidRPr="00CF3673" w:rsidTr="00682A88">
        <w:trPr>
          <w:trHeight w:val="391"/>
          <w:jc w:val="center"/>
        </w:trPr>
        <w:tc>
          <w:tcPr>
            <w:tcW w:w="0" w:type="auto"/>
            <w:tcBorders>
              <w:top w:val="double" w:sz="4" w:space="0" w:color="auto"/>
              <w:left w:val="nil"/>
              <w:bottom w:val="single" w:sz="4" w:space="0" w:color="auto"/>
              <w:right w:val="nil"/>
            </w:tcBorders>
            <w:shd w:val="clear" w:color="auto" w:fill="auto"/>
            <w:noWrap/>
            <w:tcMar>
              <w:top w:w="15" w:type="dxa"/>
              <w:left w:w="15" w:type="dxa"/>
              <w:bottom w:w="0" w:type="dxa"/>
              <w:right w:w="15" w:type="dxa"/>
            </w:tcMar>
            <w:vAlign w:val="bottom"/>
          </w:tcPr>
          <w:p w:rsidR="00682A88" w:rsidRPr="00CF3673" w:rsidRDefault="00682A88" w:rsidP="00682A88">
            <w:pPr>
              <w:rPr>
                <w:noProof/>
                <w:sz w:val="20"/>
                <w:szCs w:val="20"/>
              </w:rPr>
            </w:pPr>
            <w:r w:rsidRPr="00CF3673">
              <w:rPr>
                <w:noProof/>
                <w:sz w:val="20"/>
                <w:szCs w:val="20"/>
              </w:rPr>
              <w:t> </w:t>
            </w:r>
          </w:p>
        </w:tc>
        <w:tc>
          <w:tcPr>
            <w:tcW w:w="1121" w:type="dxa"/>
            <w:tcBorders>
              <w:top w:val="double" w:sz="4" w:space="0" w:color="auto"/>
              <w:left w:val="nil"/>
              <w:bottom w:val="single" w:sz="4" w:space="0" w:color="auto"/>
              <w:right w:val="nil"/>
            </w:tcBorders>
            <w:shd w:val="clear" w:color="auto" w:fill="auto"/>
            <w:noWrap/>
            <w:tcMar>
              <w:top w:w="15" w:type="dxa"/>
              <w:left w:w="15" w:type="dxa"/>
              <w:bottom w:w="0" w:type="dxa"/>
              <w:right w:w="15" w:type="dxa"/>
            </w:tcMar>
            <w:vAlign w:val="center"/>
          </w:tcPr>
          <w:p w:rsidR="00682A88" w:rsidRPr="00CF3673" w:rsidRDefault="00682A88" w:rsidP="00682A88">
            <w:pPr>
              <w:jc w:val="center"/>
              <w:rPr>
                <w:rFonts w:ascii="Calibri" w:hAnsi="Calibri"/>
                <w:noProof/>
                <w:sz w:val="20"/>
                <w:szCs w:val="20"/>
              </w:rPr>
            </w:pPr>
            <w:r w:rsidRPr="00CF3673">
              <w:rPr>
                <w:rFonts w:ascii="Calibri" w:hAnsi="Calibri"/>
                <w:noProof/>
                <w:sz w:val="20"/>
                <w:szCs w:val="20"/>
              </w:rPr>
              <w:t>2003</w:t>
            </w:r>
          </w:p>
        </w:tc>
        <w:tc>
          <w:tcPr>
            <w:tcW w:w="566" w:type="dxa"/>
            <w:tcBorders>
              <w:top w:val="double" w:sz="4" w:space="0" w:color="auto"/>
              <w:left w:val="nil"/>
              <w:bottom w:val="single" w:sz="4" w:space="0" w:color="auto"/>
              <w:right w:val="nil"/>
            </w:tcBorders>
            <w:shd w:val="clear" w:color="auto" w:fill="auto"/>
            <w:noWrap/>
            <w:tcMar>
              <w:top w:w="15" w:type="dxa"/>
              <w:left w:w="15" w:type="dxa"/>
              <w:bottom w:w="0" w:type="dxa"/>
              <w:right w:w="15" w:type="dxa"/>
            </w:tcMar>
            <w:vAlign w:val="center"/>
          </w:tcPr>
          <w:p w:rsidR="00682A88" w:rsidRPr="00CF3673" w:rsidRDefault="00682A88" w:rsidP="00682A88">
            <w:pPr>
              <w:jc w:val="center"/>
              <w:rPr>
                <w:rFonts w:ascii="Calibri" w:hAnsi="Calibri"/>
                <w:noProof/>
                <w:sz w:val="20"/>
                <w:szCs w:val="20"/>
              </w:rPr>
            </w:pPr>
            <w:r w:rsidRPr="00CF3673">
              <w:rPr>
                <w:rFonts w:ascii="Calibri" w:hAnsi="Calibri"/>
                <w:noProof/>
                <w:sz w:val="20"/>
                <w:szCs w:val="20"/>
              </w:rPr>
              <w:t>2006</w:t>
            </w:r>
          </w:p>
        </w:tc>
        <w:tc>
          <w:tcPr>
            <w:tcW w:w="1342" w:type="dxa"/>
            <w:tcBorders>
              <w:top w:val="double" w:sz="4" w:space="0" w:color="auto"/>
              <w:left w:val="nil"/>
              <w:bottom w:val="single" w:sz="4" w:space="0" w:color="auto"/>
              <w:right w:val="nil"/>
            </w:tcBorders>
            <w:shd w:val="clear" w:color="auto" w:fill="auto"/>
            <w:noWrap/>
            <w:tcMar>
              <w:top w:w="15" w:type="dxa"/>
              <w:left w:w="15" w:type="dxa"/>
              <w:bottom w:w="0" w:type="dxa"/>
              <w:right w:w="15" w:type="dxa"/>
            </w:tcMar>
            <w:vAlign w:val="center"/>
          </w:tcPr>
          <w:p w:rsidR="00682A88" w:rsidRPr="00CF3673" w:rsidRDefault="00682A88" w:rsidP="00682A88">
            <w:pPr>
              <w:jc w:val="center"/>
              <w:rPr>
                <w:rFonts w:ascii="Calibri" w:hAnsi="Calibri"/>
                <w:noProof/>
                <w:sz w:val="20"/>
                <w:szCs w:val="20"/>
              </w:rPr>
            </w:pPr>
            <w:r w:rsidRPr="00CF3673">
              <w:rPr>
                <w:rFonts w:ascii="Calibri" w:hAnsi="Calibri"/>
                <w:noProof/>
                <w:sz w:val="20"/>
                <w:szCs w:val="20"/>
              </w:rPr>
              <w:t>2012</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Acesso ao crédito estrangeiro</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73.3</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38.7</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54.6</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Acesso ao crédito interno</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75.1</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60.5</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53.8</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Custo de financiamento (ex. Taxas de juro)</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83.6</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72.5</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52.6</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Acesso à terra</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26.7</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15.9</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51.9</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Corrupção geral</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64.4</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45.0</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47.2</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Crime, roubo e desordem</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54.4</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33.1</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45.8</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Administração aduaneira e regulação do comércio</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49.4</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37.8</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42.5</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A5FED">
            <w:pPr>
              <w:spacing w:after="0"/>
              <w:rPr>
                <w:rFonts w:ascii="Calibri" w:hAnsi="Calibri"/>
                <w:sz w:val="20"/>
                <w:szCs w:val="20"/>
              </w:rPr>
            </w:pPr>
            <w:r w:rsidRPr="00CF3673">
              <w:rPr>
                <w:rFonts w:ascii="Calibri" w:hAnsi="Calibri"/>
                <w:sz w:val="20"/>
                <w:szCs w:val="20"/>
              </w:rPr>
              <w:t>Instabilidade Macroeconómica (</w:t>
            </w:r>
            <w:proofErr w:type="spellStart"/>
            <w:r w:rsidRPr="00CF3673">
              <w:rPr>
                <w:rFonts w:ascii="Calibri" w:hAnsi="Calibri"/>
                <w:sz w:val="20"/>
                <w:szCs w:val="20"/>
              </w:rPr>
              <w:t>infl</w:t>
            </w:r>
            <w:proofErr w:type="spellEnd"/>
            <w:r w:rsidRPr="00CF3673">
              <w:rPr>
                <w:rFonts w:ascii="Calibri" w:hAnsi="Calibri"/>
                <w:sz w:val="20"/>
                <w:szCs w:val="20"/>
              </w:rPr>
              <w:t xml:space="preserve">., </w:t>
            </w:r>
            <w:proofErr w:type="spellStart"/>
            <w:r w:rsidR="006A5FED" w:rsidRPr="00CF3673">
              <w:rPr>
                <w:rFonts w:ascii="Calibri" w:hAnsi="Calibri"/>
                <w:sz w:val="20"/>
                <w:szCs w:val="20"/>
              </w:rPr>
              <w:t>tax</w:t>
            </w:r>
            <w:proofErr w:type="spellEnd"/>
            <w:r w:rsidR="006A5FED" w:rsidRPr="00CF3673">
              <w:rPr>
                <w:rFonts w:ascii="Calibri" w:hAnsi="Calibri"/>
                <w:sz w:val="20"/>
                <w:szCs w:val="20"/>
              </w:rPr>
              <w:t xml:space="preserve"> de </w:t>
            </w:r>
            <w:proofErr w:type="spellStart"/>
            <w:r w:rsidR="006A5FED" w:rsidRPr="00CF3673">
              <w:rPr>
                <w:rFonts w:ascii="Calibri" w:hAnsi="Calibri"/>
                <w:sz w:val="20"/>
                <w:szCs w:val="20"/>
              </w:rPr>
              <w:t>camb</w:t>
            </w:r>
            <w:proofErr w:type="spellEnd"/>
            <w:r w:rsidRPr="00CF3673">
              <w:rPr>
                <w:rFonts w:ascii="Calibri" w:hAnsi="Calibri"/>
                <w:sz w:val="20"/>
                <w:szCs w:val="20"/>
              </w:rPr>
              <w:t>)</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63.0</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62.5</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42.1</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Incerteza/Instabilidade política e económica</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57.8</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43.3</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41.3</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 xml:space="preserve">Práticas </w:t>
            </w:r>
            <w:r w:rsidR="006A4724" w:rsidRPr="00CF3673">
              <w:rPr>
                <w:rFonts w:ascii="Calibri" w:hAnsi="Calibri"/>
                <w:sz w:val="20"/>
                <w:szCs w:val="20"/>
              </w:rPr>
              <w:t>anti concorrenciais</w:t>
            </w:r>
            <w:r w:rsidRPr="00CF3673">
              <w:rPr>
                <w:rFonts w:ascii="Calibri" w:hAnsi="Calibri"/>
                <w:sz w:val="20"/>
                <w:szCs w:val="20"/>
              </w:rPr>
              <w:t xml:space="preserve"> (ex. monopólio)</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60.4</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31.0</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40.0</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Taxas/ Impostos</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54.9</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51.1</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33.2</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Transporte</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27.3</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26.9</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31.8</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Administração Tributária</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47.3</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36.2</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31.6</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Licenciamento e registo de empresas</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28.3</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10.7</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31.1</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Habilidades e educação de trabalhadores</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33.9</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33.8</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29.2</w:t>
            </w:r>
          </w:p>
        </w:tc>
      </w:tr>
      <w:tr w:rsidR="00682A88" w:rsidRPr="00CF3673" w:rsidTr="00682A88">
        <w:trPr>
          <w:trHeight w:val="249"/>
          <w:jc w:val="center"/>
        </w:trPr>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A4724" w:rsidP="006A4724">
            <w:pPr>
              <w:spacing w:after="0"/>
              <w:rPr>
                <w:rFonts w:ascii="Calibri" w:hAnsi="Calibri"/>
                <w:sz w:val="20"/>
                <w:szCs w:val="20"/>
              </w:rPr>
            </w:pPr>
            <w:r w:rsidRPr="00CF3673">
              <w:rPr>
                <w:rFonts w:ascii="Calibri" w:hAnsi="Calibri"/>
                <w:sz w:val="20"/>
                <w:szCs w:val="20"/>
              </w:rPr>
              <w:t>Regulamentações</w:t>
            </w:r>
            <w:r w:rsidR="00682A88" w:rsidRPr="00CF3673">
              <w:rPr>
                <w:rFonts w:ascii="Calibri" w:hAnsi="Calibri"/>
                <w:sz w:val="20"/>
                <w:szCs w:val="20"/>
              </w:rPr>
              <w:t xml:space="preserve"> </w:t>
            </w:r>
            <w:r w:rsidRPr="00CF3673">
              <w:rPr>
                <w:rFonts w:ascii="Calibri" w:hAnsi="Calibri"/>
                <w:sz w:val="20"/>
                <w:szCs w:val="20"/>
              </w:rPr>
              <w:t>de trabalho</w:t>
            </w:r>
          </w:p>
        </w:tc>
        <w:tc>
          <w:tcPr>
            <w:tcW w:w="1121"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37.9</w:t>
            </w:r>
          </w:p>
        </w:tc>
        <w:tc>
          <w:tcPr>
            <w:tcW w:w="566"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47.5</w:t>
            </w:r>
          </w:p>
        </w:tc>
        <w:tc>
          <w:tcPr>
            <w:tcW w:w="1342" w:type="dxa"/>
            <w:tcBorders>
              <w:top w:val="nil"/>
              <w:left w:val="nil"/>
              <w:bottom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29.0</w:t>
            </w:r>
          </w:p>
        </w:tc>
      </w:tr>
      <w:tr w:rsidR="00682A88" w:rsidRPr="00CF3673" w:rsidTr="00682A88">
        <w:trPr>
          <w:trHeight w:val="249"/>
          <w:jc w:val="center"/>
        </w:trPr>
        <w:tc>
          <w:tcPr>
            <w:tcW w:w="0" w:type="auto"/>
            <w:tcBorders>
              <w:top w:val="nil"/>
              <w:left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rPr>
                <w:rFonts w:ascii="Calibri" w:hAnsi="Calibri"/>
                <w:sz w:val="20"/>
                <w:szCs w:val="20"/>
              </w:rPr>
            </w:pPr>
            <w:r w:rsidRPr="00CF3673">
              <w:rPr>
                <w:rFonts w:ascii="Calibri" w:hAnsi="Calibri"/>
                <w:sz w:val="20"/>
                <w:szCs w:val="20"/>
              </w:rPr>
              <w:t>Electricidade</w:t>
            </w:r>
          </w:p>
        </w:tc>
        <w:tc>
          <w:tcPr>
            <w:tcW w:w="1121" w:type="dxa"/>
            <w:tcBorders>
              <w:top w:val="nil"/>
              <w:left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b/>
                <w:bCs/>
                <w:sz w:val="20"/>
                <w:szCs w:val="20"/>
              </w:rPr>
            </w:pPr>
            <w:r w:rsidRPr="00CF3673">
              <w:rPr>
                <w:rFonts w:ascii="Calibri" w:hAnsi="Calibri"/>
                <w:b/>
                <w:bCs/>
                <w:sz w:val="20"/>
                <w:szCs w:val="20"/>
              </w:rPr>
              <w:t>64.7</w:t>
            </w:r>
          </w:p>
        </w:tc>
        <w:tc>
          <w:tcPr>
            <w:tcW w:w="566" w:type="dxa"/>
            <w:tcBorders>
              <w:top w:val="nil"/>
              <w:left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45.0</w:t>
            </w:r>
          </w:p>
        </w:tc>
        <w:tc>
          <w:tcPr>
            <w:tcW w:w="1342" w:type="dxa"/>
            <w:tcBorders>
              <w:top w:val="nil"/>
              <w:left w:val="nil"/>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22.2</w:t>
            </w:r>
          </w:p>
        </w:tc>
      </w:tr>
      <w:tr w:rsidR="00682A88" w:rsidRPr="00CF3673" w:rsidTr="00682A88">
        <w:trPr>
          <w:trHeight w:val="249"/>
          <w:jc w:val="center"/>
        </w:trPr>
        <w:tc>
          <w:tcPr>
            <w:tcW w:w="0" w:type="auto"/>
            <w:tcBorders>
              <w:top w:val="nil"/>
              <w:left w:val="nil"/>
              <w:bottom w:val="double" w:sz="4" w:space="0" w:color="auto"/>
              <w:right w:val="nil"/>
            </w:tcBorders>
            <w:shd w:val="clear" w:color="auto" w:fill="auto"/>
            <w:noWrap/>
            <w:tcMar>
              <w:top w:w="15" w:type="dxa"/>
              <w:left w:w="15" w:type="dxa"/>
              <w:bottom w:w="0" w:type="dxa"/>
              <w:right w:w="15" w:type="dxa"/>
            </w:tcMar>
            <w:vAlign w:val="bottom"/>
          </w:tcPr>
          <w:p w:rsidR="00682A88" w:rsidRPr="00CF3673" w:rsidRDefault="006A4724" w:rsidP="00682A88">
            <w:pPr>
              <w:spacing w:after="0"/>
              <w:rPr>
                <w:rFonts w:ascii="Calibri" w:hAnsi="Calibri"/>
                <w:sz w:val="20"/>
                <w:szCs w:val="20"/>
              </w:rPr>
            </w:pPr>
            <w:r w:rsidRPr="00CF3673">
              <w:rPr>
                <w:rFonts w:ascii="Calibri" w:hAnsi="Calibri"/>
                <w:sz w:val="20"/>
                <w:szCs w:val="20"/>
              </w:rPr>
              <w:t>Telecomunicações</w:t>
            </w:r>
          </w:p>
        </w:tc>
        <w:tc>
          <w:tcPr>
            <w:tcW w:w="1121" w:type="dxa"/>
            <w:tcBorders>
              <w:top w:val="nil"/>
              <w:left w:val="nil"/>
              <w:bottom w:val="double" w:sz="4" w:space="0" w:color="auto"/>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20.9</w:t>
            </w:r>
          </w:p>
        </w:tc>
        <w:tc>
          <w:tcPr>
            <w:tcW w:w="566" w:type="dxa"/>
            <w:tcBorders>
              <w:top w:val="nil"/>
              <w:left w:val="nil"/>
              <w:bottom w:val="double" w:sz="4" w:space="0" w:color="auto"/>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15.1</w:t>
            </w:r>
          </w:p>
        </w:tc>
        <w:tc>
          <w:tcPr>
            <w:tcW w:w="1342" w:type="dxa"/>
            <w:tcBorders>
              <w:top w:val="nil"/>
              <w:left w:val="nil"/>
              <w:bottom w:val="double" w:sz="4" w:space="0" w:color="auto"/>
              <w:right w:val="nil"/>
            </w:tcBorders>
            <w:shd w:val="clear" w:color="auto" w:fill="auto"/>
            <w:noWrap/>
            <w:tcMar>
              <w:top w:w="15" w:type="dxa"/>
              <w:left w:w="15" w:type="dxa"/>
              <w:bottom w:w="0" w:type="dxa"/>
              <w:right w:w="15" w:type="dxa"/>
            </w:tcMar>
            <w:vAlign w:val="bottom"/>
          </w:tcPr>
          <w:p w:rsidR="00682A88" w:rsidRPr="00CF3673" w:rsidRDefault="00682A88" w:rsidP="00682A88">
            <w:pPr>
              <w:spacing w:after="0"/>
              <w:jc w:val="center"/>
              <w:rPr>
                <w:rFonts w:ascii="Calibri" w:hAnsi="Calibri"/>
                <w:sz w:val="20"/>
                <w:szCs w:val="20"/>
              </w:rPr>
            </w:pPr>
            <w:r w:rsidRPr="00CF3673">
              <w:rPr>
                <w:rFonts w:ascii="Calibri" w:hAnsi="Calibri"/>
                <w:sz w:val="20"/>
                <w:szCs w:val="20"/>
              </w:rPr>
              <w:t>9.6</w:t>
            </w:r>
          </w:p>
        </w:tc>
      </w:tr>
      <w:tr w:rsidR="00682A88" w:rsidRPr="00CF3673" w:rsidTr="00682A88">
        <w:trPr>
          <w:trHeight w:val="263"/>
          <w:jc w:val="center"/>
        </w:trPr>
        <w:tc>
          <w:tcPr>
            <w:tcW w:w="7173" w:type="dxa"/>
            <w:gridSpan w:val="4"/>
            <w:tcBorders>
              <w:top w:val="double" w:sz="4" w:space="0" w:color="auto"/>
              <w:left w:val="nil"/>
              <w:right w:val="nil"/>
            </w:tcBorders>
            <w:shd w:val="clear" w:color="auto" w:fill="auto"/>
            <w:noWrap/>
            <w:tcMar>
              <w:top w:w="15" w:type="dxa"/>
              <w:left w:w="15" w:type="dxa"/>
              <w:bottom w:w="0" w:type="dxa"/>
              <w:right w:w="15" w:type="dxa"/>
            </w:tcMar>
            <w:vAlign w:val="bottom"/>
          </w:tcPr>
          <w:p w:rsidR="00682A88" w:rsidRPr="00CF3673" w:rsidRDefault="00682A88" w:rsidP="00682A88">
            <w:pPr>
              <w:pStyle w:val="Tablenote"/>
              <w:rPr>
                <w:color w:val="000000"/>
                <w:sz w:val="20"/>
                <w:lang w:val="pt-PT"/>
              </w:rPr>
            </w:pPr>
            <w:r w:rsidRPr="00CF3673">
              <w:rPr>
                <w:b/>
                <w:noProof/>
                <w:lang w:val="pt-PT"/>
              </w:rPr>
              <w:t>Nota</w:t>
            </w:r>
            <w:r w:rsidRPr="00CF3673">
              <w:rPr>
                <w:noProof/>
                <w:lang w:val="pt-PT"/>
              </w:rPr>
              <w:t>: Factores problemáticos para funcionamento e crescimento das empresas (%. responderam “grande obbstáculo” ou “sério obstáculo”). Números em negrito indicam que a restrição está entre os cinco primeiros no ano indicado. Painel não balanceado, ou seja, não seguindo as mesmas empresas ao longo do tempo. 192 observacções em 2003, 141 observacções em 2006 e 761 observacções em 2012.</w:t>
            </w:r>
          </w:p>
        </w:tc>
      </w:tr>
      <w:tr w:rsidR="00682A88" w:rsidRPr="00CF3673" w:rsidTr="00682A88">
        <w:trPr>
          <w:trHeight w:val="263"/>
          <w:jc w:val="center"/>
        </w:trPr>
        <w:tc>
          <w:tcPr>
            <w:tcW w:w="7173" w:type="dxa"/>
            <w:gridSpan w:val="4"/>
            <w:tcBorders>
              <w:left w:val="nil"/>
              <w:right w:val="nil"/>
            </w:tcBorders>
            <w:shd w:val="clear" w:color="auto" w:fill="auto"/>
            <w:noWrap/>
            <w:tcMar>
              <w:top w:w="15" w:type="dxa"/>
              <w:left w:w="15" w:type="dxa"/>
              <w:bottom w:w="0" w:type="dxa"/>
              <w:right w:w="15" w:type="dxa"/>
            </w:tcMar>
            <w:vAlign w:val="bottom"/>
          </w:tcPr>
          <w:p w:rsidR="00682A88" w:rsidRPr="00CF3673" w:rsidRDefault="00682A88" w:rsidP="006A5FED">
            <w:pPr>
              <w:pStyle w:val="Tablenote"/>
              <w:rPr>
                <w:noProof/>
                <w:lang w:val="pt-PT"/>
              </w:rPr>
            </w:pPr>
            <w:r w:rsidRPr="00CF3673">
              <w:rPr>
                <w:b/>
                <w:noProof/>
                <w:lang w:val="pt-PT"/>
              </w:rPr>
              <w:t xml:space="preserve">Fonte: </w:t>
            </w:r>
            <w:r w:rsidRPr="00CF3673">
              <w:rPr>
                <w:noProof/>
                <w:lang w:val="pt-PT"/>
              </w:rPr>
              <w:t>Cálculos</w:t>
            </w:r>
            <w:r w:rsidR="006A5FED" w:rsidRPr="00CF3673">
              <w:rPr>
                <w:noProof/>
                <w:lang w:val="pt-PT"/>
              </w:rPr>
              <w:t xml:space="preserve"> dos autores</w:t>
            </w:r>
            <w:r w:rsidRPr="00CF3673">
              <w:rPr>
                <w:noProof/>
                <w:lang w:val="pt-PT"/>
              </w:rPr>
              <w:t xml:space="preserve"> usando IIM 2012, DNEAP (2006) e IFC (2003).</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Por outro lado, a corrupção em geral tornou-se mais uma restrição, desde 2006, agora constituindo uma das restrições mais severas - vamos olhar mais para subornos e corrupção no capítulo 10</w:t>
      </w:r>
      <w:r w:rsidRPr="00CF3673">
        <w:rPr>
          <w:rStyle w:val="FootnoteReference"/>
        </w:rPr>
        <w:footnoteReference w:id="21"/>
      </w:r>
      <w:r w:rsidRPr="00CF3673">
        <w:t xml:space="preserve">. E o acesso à terra disparou como um constrangimento, com mais de metade das empresas em 2012 se sentindo muito </w:t>
      </w:r>
      <w:r w:rsidRPr="00CF3673">
        <w:lastRenderedPageBreak/>
        <w:t xml:space="preserve">constrangidas por isso. Este resultado é impulsionado por empresas em Maputo, Matola e Beira, enquanto a questão é muito menos urgente em cidades menores. Isto deve-se, provavelmente, a uma combinação da rápida urbanização, </w:t>
      </w:r>
      <w:r w:rsidR="006A4724" w:rsidRPr="00CF3673">
        <w:t>infra-estrutura</w:t>
      </w:r>
      <w:r w:rsidRPr="00CF3673">
        <w:t xml:space="preserve"> inadequada e especulação da terra urbana. </w:t>
      </w:r>
    </w:p>
    <w:p w:rsidR="00682A88" w:rsidRPr="00CF3673" w:rsidRDefault="00682A88" w:rsidP="00682A88">
      <w:pPr>
        <w:spacing w:line="360" w:lineRule="auto"/>
        <w:jc w:val="both"/>
      </w:pPr>
      <w:r w:rsidRPr="00CF3673">
        <w:t>Finalmente, note que apenas muito poucas empresas percebem/reconhecem  habilidades e educação dos trabalhadores como uma restrição, o  que é um pouco surpreendente, dado o baixo nível de educação da força de trabalho moçambicana. Voltaremos a esta questão na Secção 4.3.</w:t>
      </w:r>
    </w:p>
    <w:p w:rsidR="00682A88" w:rsidRPr="00CF3673" w:rsidRDefault="00682A88" w:rsidP="00682A88">
      <w:pPr>
        <w:spacing w:line="360" w:lineRule="auto"/>
        <w:jc w:val="both"/>
      </w:pPr>
      <w:r w:rsidRPr="00CF3673">
        <w:t xml:space="preserve">Na Tabela 3.10 os constrangimentos percebidos são tabulados somente para as empresas presentes em ambos DNEAP06 e IIM12 (painel equilibrado; 76 empresas) . Elas confirmam amplamente as tendências encontradas no painel desequilibrado. No entanto, elas também apontam para constrangimentos relacionados ao comércio internacional como sendo premente. O painel equilibrado de DNEAP06 está muito inclinado para Maputo e a preocupação com as </w:t>
      </w:r>
      <w:r w:rsidR="006A4724" w:rsidRPr="00CF3673">
        <w:t>importações</w:t>
      </w:r>
      <w:r w:rsidRPr="00CF3673">
        <w:t xml:space="preserve"> ilegais poderiam reflectir a concorrência dos comerciantes de fronteira informais, os chamados </w:t>
      </w:r>
      <w:proofErr w:type="spellStart"/>
      <w:r w:rsidRPr="00CF3673">
        <w:rPr>
          <w:i/>
        </w:rPr>
        <w:t>mukheristas</w:t>
      </w:r>
      <w:proofErr w:type="spellEnd"/>
      <w:r w:rsidRPr="00CF3673">
        <w:t xml:space="preserve"> .</w:t>
      </w:r>
    </w:p>
    <w:p w:rsidR="00682A88" w:rsidRPr="00CF3673" w:rsidRDefault="00682A88" w:rsidP="00682A88">
      <w:pPr>
        <w:pStyle w:val="TableTitle"/>
        <w:rPr>
          <w:lang w:val="pt-PT"/>
        </w:rPr>
      </w:pPr>
      <w:r w:rsidRPr="00CF3673">
        <w:rPr>
          <w:lang w:val="pt-PT"/>
        </w:rPr>
        <w:t>Tabela 3.10: Percentagem de</w:t>
      </w:r>
      <w:r w:rsidR="006A5FED" w:rsidRPr="00CF3673">
        <w:rPr>
          <w:lang w:val="pt-PT"/>
        </w:rPr>
        <w:t xml:space="preserve"> </w:t>
      </w:r>
      <w:r w:rsidR="006A4724" w:rsidRPr="00CF3673">
        <w:rPr>
          <w:lang w:val="pt-PT"/>
        </w:rPr>
        <w:t>percepções</w:t>
      </w:r>
      <w:r w:rsidR="006A5FED" w:rsidRPr="00CF3673">
        <w:rPr>
          <w:lang w:val="pt-PT"/>
        </w:rPr>
        <w:t xml:space="preserve"> das</w:t>
      </w:r>
      <w:r w:rsidRPr="00CF3673">
        <w:rPr>
          <w:lang w:val="pt-PT"/>
        </w:rPr>
        <w:t xml:space="preserve"> empresas </w:t>
      </w:r>
      <w:r w:rsidR="006A5FED" w:rsidRPr="00CF3673">
        <w:rPr>
          <w:lang w:val="pt-PT"/>
        </w:rPr>
        <w:t xml:space="preserve">sobre </w:t>
      </w:r>
      <w:r w:rsidRPr="00CF3673">
        <w:rPr>
          <w:lang w:val="pt-PT"/>
        </w:rPr>
        <w:t>restri</w:t>
      </w:r>
      <w:r w:rsidR="006A5FED" w:rsidRPr="00CF3673">
        <w:rPr>
          <w:lang w:val="pt-PT"/>
        </w:rPr>
        <w:t>tivos</w:t>
      </w:r>
      <w:r w:rsidRPr="00CF3673">
        <w:rPr>
          <w:lang w:val="pt-PT"/>
        </w:rPr>
        <w:t xml:space="preserve"> 2006-2012, painel equilibrado, % de empresas</w:t>
      </w:r>
    </w:p>
    <w:tbl>
      <w:tblPr>
        <w:tblStyle w:val="StandardTable"/>
        <w:tblW w:w="0" w:type="auto"/>
        <w:jc w:val="center"/>
        <w:tblInd w:w="-739" w:type="dxa"/>
        <w:tblLayout w:type="fixed"/>
        <w:tblLook w:val="04E0" w:firstRow="1" w:lastRow="1" w:firstColumn="1" w:lastColumn="0" w:noHBand="0" w:noVBand="1"/>
      </w:tblPr>
      <w:tblGrid>
        <w:gridCol w:w="4620"/>
        <w:gridCol w:w="622"/>
        <w:gridCol w:w="1038"/>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4620" w:type="dxa"/>
            <w:noWrap/>
            <w:vAlign w:val="bottom"/>
            <w:hideMark/>
          </w:tcPr>
          <w:p w:rsidR="00682A88" w:rsidRPr="00CF3673" w:rsidRDefault="00682A88" w:rsidP="00682A88">
            <w:pPr>
              <w:rPr>
                <w:color w:val="000000"/>
                <w:szCs w:val="20"/>
              </w:rPr>
            </w:pPr>
          </w:p>
        </w:tc>
        <w:tc>
          <w:tcPr>
            <w:tcW w:w="622" w:type="dxa"/>
            <w:noWrap/>
            <w:vAlign w:val="bottom"/>
            <w:hideMark/>
          </w:tcPr>
          <w:p w:rsidR="00682A88" w:rsidRPr="00CF3673" w:rsidRDefault="00682A88" w:rsidP="00682A88">
            <w:pPr>
              <w:jc w:val="center"/>
              <w:rPr>
                <w:color w:val="000000"/>
                <w:szCs w:val="20"/>
              </w:rPr>
            </w:pPr>
            <w:r w:rsidRPr="00CF3673">
              <w:rPr>
                <w:color w:val="000000"/>
                <w:szCs w:val="20"/>
              </w:rPr>
              <w:t>2006</w:t>
            </w:r>
          </w:p>
        </w:tc>
        <w:tc>
          <w:tcPr>
            <w:tcW w:w="1038" w:type="dxa"/>
            <w:noWrap/>
            <w:vAlign w:val="bottom"/>
            <w:hideMark/>
          </w:tcPr>
          <w:p w:rsidR="00682A88" w:rsidRPr="00CF3673" w:rsidRDefault="00682A88" w:rsidP="00682A88">
            <w:pPr>
              <w:jc w:val="center"/>
              <w:rPr>
                <w:color w:val="000000"/>
                <w:szCs w:val="20"/>
              </w:rPr>
            </w:pPr>
            <w:r w:rsidRPr="00CF3673">
              <w:rPr>
                <w:color w:val="000000"/>
                <w:szCs w:val="20"/>
              </w:rPr>
              <w:t>2012</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 xml:space="preserve">Concorrência de </w:t>
            </w:r>
            <w:r w:rsidR="006A4724" w:rsidRPr="00CF3673">
              <w:rPr>
                <w:rFonts w:ascii="Calibri" w:hAnsi="Calibri"/>
                <w:szCs w:val="20"/>
              </w:rPr>
              <w:t>importações</w:t>
            </w:r>
            <w:r w:rsidRPr="00CF3673">
              <w:rPr>
                <w:rFonts w:ascii="Calibri" w:hAnsi="Calibri"/>
                <w:szCs w:val="20"/>
              </w:rPr>
              <w:t xml:space="preserve"> ilegais/contrabando</w:t>
            </w:r>
          </w:p>
        </w:tc>
        <w:tc>
          <w:tcPr>
            <w:tcW w:w="622"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54.8</w:t>
            </w:r>
          </w:p>
        </w:tc>
        <w:tc>
          <w:tcPr>
            <w:tcW w:w="1038"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56.8</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Custo de financiamento (ex. taxas de juro)</w:t>
            </w:r>
          </w:p>
        </w:tc>
        <w:tc>
          <w:tcPr>
            <w:tcW w:w="622"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66.2</w:t>
            </w:r>
          </w:p>
        </w:tc>
        <w:tc>
          <w:tcPr>
            <w:tcW w:w="1038"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47.5</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Acesso à terra</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13.9</w:t>
            </w:r>
          </w:p>
        </w:tc>
        <w:tc>
          <w:tcPr>
            <w:tcW w:w="1038"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46.2</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Corrupção geral</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44.4</w:t>
            </w:r>
          </w:p>
        </w:tc>
        <w:tc>
          <w:tcPr>
            <w:tcW w:w="1038"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45.2</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Administração aduaneira e regulação do comércio</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36.8</w:t>
            </w:r>
          </w:p>
        </w:tc>
        <w:tc>
          <w:tcPr>
            <w:tcW w:w="1038"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44.7</w:t>
            </w:r>
          </w:p>
        </w:tc>
      </w:tr>
      <w:tr w:rsidR="00682A88" w:rsidRPr="00CF3673" w:rsidTr="00682A88">
        <w:trPr>
          <w:trHeight w:val="300"/>
          <w:jc w:val="center"/>
        </w:trPr>
        <w:tc>
          <w:tcPr>
            <w:tcW w:w="4620" w:type="dxa"/>
            <w:noWrap/>
            <w:vAlign w:val="bottom"/>
            <w:hideMark/>
          </w:tcPr>
          <w:p w:rsidR="00682A88" w:rsidRPr="00CF3673" w:rsidRDefault="006A4724" w:rsidP="006A5FED">
            <w:pPr>
              <w:rPr>
                <w:rFonts w:ascii="Calibri" w:hAnsi="Calibri"/>
                <w:szCs w:val="20"/>
              </w:rPr>
            </w:pPr>
            <w:r w:rsidRPr="00CF3673">
              <w:rPr>
                <w:rFonts w:ascii="Calibri" w:hAnsi="Calibri"/>
                <w:szCs w:val="20"/>
              </w:rPr>
              <w:t>Corrupção</w:t>
            </w:r>
            <w:r w:rsidR="006A5FED" w:rsidRPr="00CF3673">
              <w:rPr>
                <w:rFonts w:ascii="Calibri" w:hAnsi="Calibri"/>
                <w:szCs w:val="20"/>
              </w:rPr>
              <w:t xml:space="preserve"> relativa as alfandegas</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30.5</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43.2</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Acesso ao crédito estrangeiro</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35.5</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42.9</w:t>
            </w:r>
          </w:p>
        </w:tc>
      </w:tr>
      <w:tr w:rsidR="00682A88" w:rsidRPr="00CF3673" w:rsidTr="00682A88">
        <w:trPr>
          <w:trHeight w:val="300"/>
          <w:jc w:val="center"/>
        </w:trPr>
        <w:tc>
          <w:tcPr>
            <w:tcW w:w="4620" w:type="dxa"/>
            <w:noWrap/>
            <w:vAlign w:val="bottom"/>
            <w:hideMark/>
          </w:tcPr>
          <w:p w:rsidR="00682A88" w:rsidRPr="00CF3673" w:rsidRDefault="006A4724" w:rsidP="006A4724">
            <w:pPr>
              <w:rPr>
                <w:rFonts w:ascii="Calibri" w:hAnsi="Calibri"/>
                <w:szCs w:val="20"/>
              </w:rPr>
            </w:pPr>
            <w:r w:rsidRPr="00CF3673">
              <w:rPr>
                <w:rFonts w:ascii="Calibri" w:hAnsi="Calibri"/>
                <w:szCs w:val="20"/>
              </w:rPr>
              <w:t>Acesso aos serviço</w:t>
            </w:r>
            <w:r w:rsidR="00682A88" w:rsidRPr="00CF3673">
              <w:rPr>
                <w:rFonts w:ascii="Calibri" w:hAnsi="Calibri"/>
                <w:szCs w:val="20"/>
              </w:rPr>
              <w:t>s de apoio às empresas</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30.4</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39.4</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 xml:space="preserve">Práticas </w:t>
            </w:r>
            <w:r w:rsidR="006A4724" w:rsidRPr="00CF3673">
              <w:rPr>
                <w:rFonts w:ascii="Calibri" w:hAnsi="Calibri"/>
                <w:szCs w:val="20"/>
              </w:rPr>
              <w:t>anti concorrenciais</w:t>
            </w:r>
            <w:r w:rsidRPr="00CF3673">
              <w:rPr>
                <w:rFonts w:ascii="Calibri" w:hAnsi="Calibri"/>
                <w:szCs w:val="20"/>
              </w:rPr>
              <w:t xml:space="preserve"> (</w:t>
            </w:r>
            <w:proofErr w:type="spellStart"/>
            <w:r w:rsidRPr="00CF3673">
              <w:rPr>
                <w:rFonts w:ascii="Calibri" w:hAnsi="Calibri"/>
                <w:szCs w:val="20"/>
              </w:rPr>
              <w:t>ex.monopólio</w:t>
            </w:r>
            <w:proofErr w:type="spellEnd"/>
            <w:r w:rsidRPr="00CF3673">
              <w:rPr>
                <w:rFonts w:ascii="Calibri" w:hAnsi="Calibri"/>
                <w:szCs w:val="20"/>
              </w:rPr>
              <w:t>)</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26.4</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39.0</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Acesso ao crédito interno</w:t>
            </w:r>
          </w:p>
        </w:tc>
        <w:tc>
          <w:tcPr>
            <w:tcW w:w="622"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58.0</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38.7</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Transporte</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25.0</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38.7</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 xml:space="preserve">Acesso a </w:t>
            </w:r>
            <w:r w:rsidR="006A4724" w:rsidRPr="00CF3673">
              <w:rPr>
                <w:rFonts w:ascii="Calibri" w:hAnsi="Calibri"/>
                <w:szCs w:val="20"/>
              </w:rPr>
              <w:t>informações</w:t>
            </w:r>
            <w:r w:rsidRPr="00CF3673">
              <w:rPr>
                <w:rFonts w:ascii="Calibri" w:hAnsi="Calibri"/>
                <w:szCs w:val="20"/>
              </w:rPr>
              <w:t xml:space="preserve"> de mercado</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22.5</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36.6</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Abertura aos mercados internacionais</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17.9</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36.5</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Corrupção relacionada com inspecções</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34.7</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34.9</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Habilidades e educação de trabalhadores</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30.7</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34.8</w:t>
            </w:r>
          </w:p>
        </w:tc>
      </w:tr>
      <w:tr w:rsidR="00682A88" w:rsidRPr="00CF3673" w:rsidTr="00682A88">
        <w:trPr>
          <w:trHeight w:val="300"/>
          <w:jc w:val="center"/>
        </w:trPr>
        <w:tc>
          <w:tcPr>
            <w:tcW w:w="4620" w:type="dxa"/>
            <w:noWrap/>
            <w:vAlign w:val="bottom"/>
            <w:hideMark/>
          </w:tcPr>
          <w:p w:rsidR="00682A88" w:rsidRPr="00CF3673" w:rsidRDefault="00682A88" w:rsidP="006A4724">
            <w:pPr>
              <w:rPr>
                <w:rFonts w:ascii="Calibri" w:hAnsi="Calibri"/>
                <w:szCs w:val="20"/>
              </w:rPr>
            </w:pPr>
            <w:r w:rsidRPr="00CF3673">
              <w:rPr>
                <w:rFonts w:ascii="Calibri" w:hAnsi="Calibri"/>
                <w:szCs w:val="20"/>
              </w:rPr>
              <w:t>Instabilidade Macroeconómica (</w:t>
            </w:r>
            <w:r w:rsidR="006A4724" w:rsidRPr="00CF3673">
              <w:rPr>
                <w:rFonts w:ascii="Calibri" w:hAnsi="Calibri"/>
                <w:szCs w:val="20"/>
              </w:rPr>
              <w:t xml:space="preserve">taxa </w:t>
            </w:r>
            <w:proofErr w:type="spellStart"/>
            <w:r w:rsidRPr="00CF3673">
              <w:rPr>
                <w:rFonts w:ascii="Calibri" w:hAnsi="Calibri"/>
                <w:szCs w:val="20"/>
              </w:rPr>
              <w:t>infl.</w:t>
            </w:r>
            <w:r w:rsidR="006A4724" w:rsidRPr="00CF3673">
              <w:rPr>
                <w:rFonts w:ascii="Calibri" w:hAnsi="Calibri"/>
                <w:szCs w:val="20"/>
              </w:rPr>
              <w:t>e</w:t>
            </w:r>
            <w:proofErr w:type="spellEnd"/>
            <w:r w:rsidR="006A4724" w:rsidRPr="00CF3673">
              <w:rPr>
                <w:rFonts w:ascii="Calibri" w:hAnsi="Calibri"/>
                <w:szCs w:val="20"/>
              </w:rPr>
              <w:t xml:space="preserve"> câmbio</w:t>
            </w:r>
            <w:r w:rsidRPr="00CF3673">
              <w:rPr>
                <w:rFonts w:ascii="Calibri" w:hAnsi="Calibri"/>
                <w:szCs w:val="20"/>
              </w:rPr>
              <w:t>)</w:t>
            </w:r>
          </w:p>
        </w:tc>
        <w:tc>
          <w:tcPr>
            <w:tcW w:w="622"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61.6</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33.8</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 xml:space="preserve">Crime, roubo e </w:t>
            </w:r>
            <w:r w:rsidR="006A4724" w:rsidRPr="00CF3673">
              <w:rPr>
                <w:rFonts w:ascii="Calibri" w:hAnsi="Calibri"/>
                <w:szCs w:val="20"/>
              </w:rPr>
              <w:t>desordem</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30.7</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33.8</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Electricidade</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36.0</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33.3</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 xml:space="preserve">Instabilidade Política e </w:t>
            </w:r>
            <w:r w:rsidR="006A4724" w:rsidRPr="00CF3673">
              <w:rPr>
                <w:rFonts w:ascii="Calibri" w:hAnsi="Calibri"/>
                <w:szCs w:val="20"/>
              </w:rPr>
              <w:t>económica</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40.3</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32.8</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Impostos</w:t>
            </w:r>
          </w:p>
        </w:tc>
        <w:tc>
          <w:tcPr>
            <w:tcW w:w="622"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51.4</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28.4</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t xml:space="preserve">Corrupção </w:t>
            </w:r>
            <w:r w:rsidR="006A4724" w:rsidRPr="00CF3673">
              <w:rPr>
                <w:rFonts w:ascii="Calibri" w:hAnsi="Calibri"/>
                <w:szCs w:val="20"/>
              </w:rPr>
              <w:t>relativa</w:t>
            </w:r>
            <w:r w:rsidRPr="00CF3673">
              <w:rPr>
                <w:rFonts w:ascii="Calibri" w:hAnsi="Calibri"/>
                <w:szCs w:val="20"/>
              </w:rPr>
              <w:t xml:space="preserve"> a impostos</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26.4</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27.9</w:t>
            </w:r>
          </w:p>
        </w:tc>
      </w:tr>
      <w:tr w:rsidR="00682A88" w:rsidRPr="00CF3673" w:rsidTr="00682A88">
        <w:trPr>
          <w:trHeight w:val="300"/>
          <w:jc w:val="center"/>
        </w:trPr>
        <w:tc>
          <w:tcPr>
            <w:tcW w:w="4620" w:type="dxa"/>
            <w:noWrap/>
            <w:vAlign w:val="bottom"/>
            <w:hideMark/>
          </w:tcPr>
          <w:p w:rsidR="00682A88" w:rsidRPr="00CF3673" w:rsidRDefault="006A4724" w:rsidP="00682A88">
            <w:pPr>
              <w:rPr>
                <w:rFonts w:ascii="Calibri" w:hAnsi="Calibri"/>
                <w:szCs w:val="20"/>
              </w:rPr>
            </w:pPr>
            <w:r w:rsidRPr="00CF3673">
              <w:rPr>
                <w:rFonts w:ascii="Calibri" w:hAnsi="Calibri"/>
                <w:szCs w:val="20"/>
              </w:rPr>
              <w:t>Regulamentações</w:t>
            </w:r>
            <w:r w:rsidR="00682A88" w:rsidRPr="00CF3673">
              <w:rPr>
                <w:rFonts w:ascii="Calibri" w:hAnsi="Calibri"/>
                <w:szCs w:val="20"/>
              </w:rPr>
              <w:t xml:space="preserve"> trabalhistas</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44.0</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23.3</w:t>
            </w:r>
          </w:p>
        </w:tc>
      </w:tr>
      <w:tr w:rsidR="00682A88" w:rsidRPr="00CF3673" w:rsidTr="00682A88">
        <w:trPr>
          <w:trHeight w:val="300"/>
          <w:jc w:val="center"/>
        </w:trPr>
        <w:tc>
          <w:tcPr>
            <w:tcW w:w="4620" w:type="dxa"/>
            <w:noWrap/>
            <w:vAlign w:val="bottom"/>
            <w:hideMark/>
          </w:tcPr>
          <w:p w:rsidR="00682A88" w:rsidRPr="00CF3673" w:rsidRDefault="00682A88" w:rsidP="00682A88">
            <w:pPr>
              <w:rPr>
                <w:rFonts w:ascii="Calibri" w:hAnsi="Calibri"/>
                <w:szCs w:val="20"/>
              </w:rPr>
            </w:pPr>
            <w:r w:rsidRPr="00CF3673">
              <w:rPr>
                <w:rFonts w:ascii="Calibri" w:hAnsi="Calibri"/>
                <w:szCs w:val="20"/>
              </w:rPr>
              <w:lastRenderedPageBreak/>
              <w:t>Licenciamento e registo de empresas</w:t>
            </w:r>
          </w:p>
        </w:tc>
        <w:tc>
          <w:tcPr>
            <w:tcW w:w="622"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7.8</w:t>
            </w:r>
          </w:p>
        </w:tc>
        <w:tc>
          <w:tcPr>
            <w:tcW w:w="1038"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23.0</w:t>
            </w:r>
          </w:p>
        </w:tc>
      </w:tr>
      <w:tr w:rsidR="00682A88" w:rsidRPr="00CF3673" w:rsidTr="00682A88">
        <w:trPr>
          <w:trHeight w:val="300"/>
          <w:jc w:val="center"/>
        </w:trPr>
        <w:tc>
          <w:tcPr>
            <w:tcW w:w="4620" w:type="dxa"/>
            <w:tcBorders>
              <w:bottom w:val="nil"/>
            </w:tcBorders>
            <w:noWrap/>
            <w:vAlign w:val="bottom"/>
            <w:hideMark/>
          </w:tcPr>
          <w:p w:rsidR="00682A88" w:rsidRPr="00CF3673" w:rsidRDefault="00682A88" w:rsidP="00682A88">
            <w:pPr>
              <w:rPr>
                <w:rFonts w:ascii="Calibri" w:hAnsi="Calibri"/>
                <w:szCs w:val="20"/>
              </w:rPr>
            </w:pPr>
            <w:r w:rsidRPr="00CF3673">
              <w:rPr>
                <w:rFonts w:ascii="Calibri" w:hAnsi="Calibri"/>
                <w:szCs w:val="20"/>
              </w:rPr>
              <w:t>Administração tributária</w:t>
            </w:r>
          </w:p>
        </w:tc>
        <w:tc>
          <w:tcPr>
            <w:tcW w:w="622" w:type="dxa"/>
            <w:tcBorders>
              <w:bottom w:val="nil"/>
            </w:tcBorders>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32.4</w:t>
            </w:r>
          </w:p>
        </w:tc>
        <w:tc>
          <w:tcPr>
            <w:tcW w:w="1038" w:type="dxa"/>
            <w:tcBorders>
              <w:bottom w:val="nil"/>
            </w:tcBorders>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20.0</w:t>
            </w:r>
          </w:p>
        </w:tc>
      </w:tr>
      <w:tr w:rsidR="00682A88" w:rsidRPr="00CF3673" w:rsidTr="00682A88">
        <w:trPr>
          <w:trHeight w:val="300"/>
          <w:jc w:val="center"/>
        </w:trPr>
        <w:tc>
          <w:tcPr>
            <w:tcW w:w="4620" w:type="dxa"/>
            <w:tcBorders>
              <w:top w:val="nil"/>
              <w:bottom w:val="single" w:sz="4" w:space="0" w:color="auto"/>
            </w:tcBorders>
            <w:noWrap/>
            <w:vAlign w:val="bottom"/>
            <w:hideMark/>
          </w:tcPr>
          <w:p w:rsidR="00682A88" w:rsidRPr="00CF3673" w:rsidRDefault="006A4724" w:rsidP="00682A88">
            <w:pPr>
              <w:rPr>
                <w:rFonts w:ascii="Calibri" w:hAnsi="Calibri"/>
                <w:szCs w:val="20"/>
              </w:rPr>
            </w:pPr>
            <w:r w:rsidRPr="00CF3673">
              <w:rPr>
                <w:rFonts w:ascii="Calibri" w:hAnsi="Calibri"/>
                <w:szCs w:val="20"/>
              </w:rPr>
              <w:t>Telecomunicações</w:t>
            </w:r>
          </w:p>
        </w:tc>
        <w:tc>
          <w:tcPr>
            <w:tcW w:w="622" w:type="dxa"/>
            <w:tcBorders>
              <w:top w:val="nil"/>
              <w:bottom w:val="single" w:sz="4" w:space="0" w:color="auto"/>
            </w:tcBorders>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9.5</w:t>
            </w:r>
          </w:p>
        </w:tc>
        <w:tc>
          <w:tcPr>
            <w:tcW w:w="1038" w:type="dxa"/>
            <w:tcBorders>
              <w:top w:val="nil"/>
              <w:bottom w:val="single" w:sz="4" w:space="0" w:color="auto"/>
            </w:tcBorders>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17.8</w:t>
            </w:r>
          </w:p>
        </w:tc>
      </w:tr>
      <w:tr w:rsidR="00682A88" w:rsidRPr="00CF3673" w:rsidTr="00682A88">
        <w:trPr>
          <w:trHeight w:val="300"/>
          <w:jc w:val="center"/>
        </w:trPr>
        <w:tc>
          <w:tcPr>
            <w:tcW w:w="4620" w:type="dxa"/>
            <w:tcBorders>
              <w:top w:val="single" w:sz="4" w:space="0" w:color="auto"/>
              <w:bottom w:val="double" w:sz="4" w:space="0" w:color="auto"/>
            </w:tcBorders>
            <w:noWrap/>
            <w:vAlign w:val="bottom"/>
            <w:hideMark/>
          </w:tcPr>
          <w:p w:rsidR="00682A88" w:rsidRPr="00CF3673" w:rsidRDefault="00682A88" w:rsidP="00682A88">
            <w:pPr>
              <w:rPr>
                <w:color w:val="000000"/>
                <w:szCs w:val="20"/>
              </w:rPr>
            </w:pPr>
            <w:r w:rsidRPr="00CF3673">
              <w:rPr>
                <w:color w:val="000000"/>
                <w:szCs w:val="20"/>
              </w:rPr>
              <w:t>Nº de obs.</w:t>
            </w:r>
          </w:p>
        </w:tc>
        <w:tc>
          <w:tcPr>
            <w:tcW w:w="622" w:type="dxa"/>
            <w:tcBorders>
              <w:top w:val="single" w:sz="4" w:space="0" w:color="auto"/>
              <w:bottom w:val="double" w:sz="4" w:space="0" w:color="auto"/>
            </w:tcBorders>
            <w:noWrap/>
            <w:vAlign w:val="bottom"/>
            <w:hideMark/>
          </w:tcPr>
          <w:p w:rsidR="00682A88" w:rsidRPr="00CF3673" w:rsidRDefault="00682A88" w:rsidP="00682A88">
            <w:pPr>
              <w:jc w:val="center"/>
              <w:rPr>
                <w:color w:val="000000"/>
                <w:szCs w:val="20"/>
              </w:rPr>
            </w:pPr>
            <w:r w:rsidRPr="00CF3673">
              <w:rPr>
                <w:color w:val="000000"/>
                <w:szCs w:val="20"/>
              </w:rPr>
              <w:t>75</w:t>
            </w:r>
          </w:p>
        </w:tc>
        <w:tc>
          <w:tcPr>
            <w:tcW w:w="1038" w:type="dxa"/>
            <w:tcBorders>
              <w:top w:val="single" w:sz="4" w:space="0" w:color="auto"/>
              <w:bottom w:val="double" w:sz="4" w:space="0" w:color="auto"/>
            </w:tcBorders>
            <w:noWrap/>
            <w:vAlign w:val="bottom"/>
            <w:hideMark/>
          </w:tcPr>
          <w:p w:rsidR="00682A88" w:rsidRPr="00CF3673" w:rsidRDefault="00682A88" w:rsidP="00682A88">
            <w:pPr>
              <w:jc w:val="center"/>
              <w:rPr>
                <w:color w:val="000000"/>
                <w:szCs w:val="20"/>
              </w:rPr>
            </w:pPr>
            <w:r w:rsidRPr="00CF3673">
              <w:rPr>
                <w:color w:val="000000"/>
                <w:szCs w:val="20"/>
              </w:rPr>
              <w:t>75</w:t>
            </w:r>
          </w:p>
        </w:tc>
      </w:tr>
      <w:tr w:rsidR="00682A88" w:rsidRPr="00CF3673" w:rsidTr="00682A88">
        <w:trPr>
          <w:trHeight w:val="300"/>
          <w:jc w:val="center"/>
        </w:trPr>
        <w:tc>
          <w:tcPr>
            <w:tcW w:w="6280" w:type="dxa"/>
            <w:gridSpan w:val="3"/>
            <w:tcBorders>
              <w:top w:val="double" w:sz="4" w:space="0" w:color="auto"/>
              <w:bottom w:val="nil"/>
            </w:tcBorders>
            <w:noWrap/>
            <w:vAlign w:val="bottom"/>
          </w:tcPr>
          <w:p w:rsidR="00682A88" w:rsidRPr="00CF3673" w:rsidRDefault="00682A88" w:rsidP="00682A88">
            <w:pPr>
              <w:pStyle w:val="Tablenote"/>
              <w:rPr>
                <w:color w:val="000000"/>
                <w:sz w:val="20"/>
                <w:lang w:val="pt-PT"/>
              </w:rPr>
            </w:pPr>
            <w:r w:rsidRPr="00CF3673">
              <w:rPr>
                <w:b/>
                <w:noProof/>
                <w:lang w:val="pt-PT"/>
              </w:rPr>
              <w:t>Nota</w:t>
            </w:r>
            <w:r w:rsidRPr="00CF3673">
              <w:rPr>
                <w:noProof/>
                <w:lang w:val="pt-PT"/>
              </w:rPr>
              <w:t xml:space="preserve">: Factores problemáticos para funcionamento e crescimento das empresas (%. responderam “grande obstáculo”ou “sério obstáculo”). Números em negrito indicam que a restrição classificada entre os cinco primeiros no ano indicado. Painel equilibrado, ou seja, seguindo as mesmas empresas ao longo do tempo. </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jc w:val="center"/>
        </w:trPr>
        <w:tc>
          <w:tcPr>
            <w:tcW w:w="6280" w:type="dxa"/>
            <w:gridSpan w:val="3"/>
            <w:tcBorders>
              <w:top w:val="nil"/>
              <w:bottom w:val="nil"/>
            </w:tcBorders>
            <w:noWrap/>
            <w:vAlign w:val="bottom"/>
          </w:tcPr>
          <w:p w:rsidR="00682A88" w:rsidRPr="00CF3673" w:rsidRDefault="00682A88" w:rsidP="006A5FED">
            <w:pPr>
              <w:pStyle w:val="Tablenote"/>
              <w:rPr>
                <w:noProof/>
                <w:lang w:val="pt-PT"/>
              </w:rPr>
            </w:pPr>
            <w:r w:rsidRPr="00CF3673">
              <w:rPr>
                <w:b/>
                <w:noProof/>
                <w:lang w:val="pt-PT"/>
              </w:rPr>
              <w:t xml:space="preserve">Fonte: </w:t>
            </w:r>
            <w:r w:rsidRPr="00CF3673">
              <w:rPr>
                <w:noProof/>
                <w:lang w:val="pt-PT"/>
              </w:rPr>
              <w:t>Cálculos</w:t>
            </w:r>
            <w:r w:rsidR="006A5FED" w:rsidRPr="00CF3673">
              <w:rPr>
                <w:noProof/>
                <w:lang w:val="pt-PT"/>
              </w:rPr>
              <w:t xml:space="preserve"> dos autores</w:t>
            </w:r>
            <w:r w:rsidRPr="00CF3673">
              <w:rPr>
                <w:noProof/>
                <w:lang w:val="pt-PT"/>
              </w:rPr>
              <w:t xml:space="preserve"> usando IIM 2012 e DNEAP (2006).</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A administração aduaneira e a corrupção relacionadas com as alfândegas são vistos como restrições graves, o que é claramente uma questão para os actuais e potenciais exportadores de Moçambique e, como Moçambique serve como um</w:t>
      </w:r>
      <w:r w:rsidR="00FF7A4B" w:rsidRPr="00CF3673">
        <w:t>a plataforma/rota</w:t>
      </w:r>
      <w:r w:rsidRPr="00CF3673">
        <w:t xml:space="preserve"> de transporte para mercadorias da África do Sul , Zimbabwe , Zâmbia e Malawi, tendo procedimentos aduaneiros difíceis e/ou propensos à corrupção não é o ideal . Nós investigamos questões relacionadas com o comércio no Capítulo 7.</w:t>
      </w:r>
    </w:p>
    <w:p w:rsidR="00682A88" w:rsidRPr="00CF3673" w:rsidRDefault="00682A88" w:rsidP="00682A88">
      <w:pPr>
        <w:spacing w:line="360" w:lineRule="auto"/>
        <w:jc w:val="both"/>
      </w:pPr>
      <w:r w:rsidRPr="00CF3673">
        <w:t xml:space="preserve">Uma forma de analisar a importância das restrições mencionadas aqui é comparar as percepções e restrições, em 2006, das empresas que fecharam para baixo para as empresas que foram </w:t>
      </w:r>
      <w:proofErr w:type="spellStart"/>
      <w:r w:rsidRPr="00CF3673">
        <w:t>re</w:t>
      </w:r>
      <w:proofErr w:type="spellEnd"/>
      <w:r w:rsidRPr="00CF3673">
        <w:t>- entrevistadas em 2012. Fazemos isso na Tabela 3.11. Enquanto as empresas que fecharam eram essencialmente limitadas pelas mesmas questões que as empresas sobreviventes, elas se sentiram mais constrangidas pelos mesmos factores, especialmente de crédito, do que as empresas que foram entrevistados em 2012.</w:t>
      </w:r>
    </w:p>
    <w:p w:rsidR="00682A88" w:rsidRPr="00CF3673" w:rsidRDefault="00682A88" w:rsidP="00682A88">
      <w:pPr>
        <w:spacing w:line="360" w:lineRule="auto"/>
        <w:jc w:val="both"/>
      </w:pPr>
      <w:r w:rsidRPr="00CF3673">
        <w:t xml:space="preserve">Há duas </w:t>
      </w:r>
      <w:r w:rsidR="006A4724" w:rsidRPr="00CF3673">
        <w:t>interpretações</w:t>
      </w:r>
      <w:r w:rsidR="00FF7A4B" w:rsidRPr="00CF3673">
        <w:t xml:space="preserve"> possíveis desta constatação</w:t>
      </w:r>
      <w:r w:rsidRPr="00CF3673">
        <w:t>. Uma delas é que as empresas menos produtivas e menos bem geridas têm mais dificuldade para obter crédito porque não oferecem oportunidades de investimento rentáveis. Estas empresas serão mais propensas a fechar, como são improdutivos. Outra interpretação é que as empresas fecham porque elas têm muitas restrições de crédito, ou seja, elas precisavam de crédito para continuar seus negócios e ter saído, porque eles não conseguiram obtê-lo. Vamos olhar mais para a ligação entre as restrições de crédito percebidos e reais no Capítulo 9.</w:t>
      </w:r>
    </w:p>
    <w:p w:rsidR="00234D0F" w:rsidRPr="00CF3673" w:rsidRDefault="00682A88" w:rsidP="00682A88">
      <w:pPr>
        <w:pStyle w:val="TableTitle"/>
        <w:rPr>
          <w:lang w:val="pt-PT"/>
        </w:rPr>
      </w:pPr>
      <w:r w:rsidRPr="00CF3673">
        <w:rPr>
          <w:lang w:val="pt-PT"/>
        </w:rPr>
        <w:t xml:space="preserve">Tabela 3.11: Percentagem de empresas restritas em 2006 pelo estado de saída em 2012 </w:t>
      </w:r>
    </w:p>
    <w:tbl>
      <w:tblPr>
        <w:tblStyle w:val="StandardTable"/>
        <w:tblW w:w="0" w:type="auto"/>
        <w:jc w:val="center"/>
        <w:tblLayout w:type="fixed"/>
        <w:tblLook w:val="04E0" w:firstRow="1" w:lastRow="1" w:firstColumn="1" w:lastColumn="0" w:noHBand="0" w:noVBand="1"/>
      </w:tblPr>
      <w:tblGrid>
        <w:gridCol w:w="3881"/>
        <w:gridCol w:w="1639"/>
        <w:gridCol w:w="1838"/>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3881" w:type="dxa"/>
            <w:noWrap/>
            <w:vAlign w:val="bottom"/>
            <w:hideMark/>
          </w:tcPr>
          <w:p w:rsidR="00682A88" w:rsidRPr="00CF3673" w:rsidRDefault="00682A88" w:rsidP="00682A88">
            <w:pPr>
              <w:rPr>
                <w:color w:val="000000"/>
                <w:szCs w:val="20"/>
              </w:rPr>
            </w:pPr>
          </w:p>
        </w:tc>
        <w:tc>
          <w:tcPr>
            <w:tcW w:w="1639" w:type="dxa"/>
            <w:noWrap/>
            <w:vAlign w:val="bottom"/>
            <w:hideMark/>
          </w:tcPr>
          <w:p w:rsidR="00682A88" w:rsidRPr="00CF3673" w:rsidRDefault="00682A88" w:rsidP="00682A88">
            <w:pPr>
              <w:jc w:val="center"/>
              <w:rPr>
                <w:color w:val="000000"/>
                <w:szCs w:val="20"/>
              </w:rPr>
            </w:pPr>
            <w:r w:rsidRPr="00CF3673">
              <w:rPr>
                <w:color w:val="000000"/>
                <w:szCs w:val="20"/>
              </w:rPr>
              <w:t>Declarada Encerrada</w:t>
            </w:r>
          </w:p>
        </w:tc>
        <w:tc>
          <w:tcPr>
            <w:tcW w:w="1838" w:type="dxa"/>
            <w:noWrap/>
            <w:vAlign w:val="bottom"/>
            <w:hideMark/>
          </w:tcPr>
          <w:p w:rsidR="00682A88" w:rsidRPr="00CF3673" w:rsidRDefault="00682A88" w:rsidP="00682A88">
            <w:pPr>
              <w:jc w:val="center"/>
              <w:rPr>
                <w:color w:val="000000"/>
                <w:szCs w:val="20"/>
              </w:rPr>
            </w:pPr>
            <w:r w:rsidRPr="00CF3673">
              <w:rPr>
                <w:color w:val="000000"/>
                <w:szCs w:val="20"/>
              </w:rPr>
              <w:t>Entrevistada em 2012</w:t>
            </w:r>
          </w:p>
        </w:tc>
      </w:tr>
      <w:tr w:rsidR="00682A88" w:rsidRPr="00CF3673" w:rsidTr="00682A88">
        <w:trPr>
          <w:trHeight w:val="300"/>
          <w:jc w:val="center"/>
        </w:trPr>
        <w:tc>
          <w:tcPr>
            <w:tcW w:w="3881" w:type="dxa"/>
            <w:noWrap/>
            <w:vAlign w:val="bottom"/>
            <w:hideMark/>
          </w:tcPr>
          <w:p w:rsidR="00682A88" w:rsidRPr="00CF3673" w:rsidRDefault="00682A88" w:rsidP="00682A88">
            <w:pPr>
              <w:rPr>
                <w:rFonts w:ascii="Calibri" w:hAnsi="Calibri"/>
              </w:rPr>
            </w:pPr>
            <w:r w:rsidRPr="00CF3673">
              <w:rPr>
                <w:rFonts w:ascii="Calibri" w:hAnsi="Calibri"/>
              </w:rPr>
              <w:t>Custo de financiamento (ex. taxas de juro)</w:t>
            </w:r>
          </w:p>
        </w:tc>
        <w:tc>
          <w:tcPr>
            <w:tcW w:w="1639" w:type="dxa"/>
            <w:noWrap/>
            <w:vAlign w:val="bottom"/>
            <w:hideMark/>
          </w:tcPr>
          <w:p w:rsidR="00682A88" w:rsidRPr="00CF3673" w:rsidRDefault="00682A88" w:rsidP="00682A88">
            <w:pPr>
              <w:jc w:val="center"/>
              <w:rPr>
                <w:rFonts w:ascii="Calibri" w:hAnsi="Calibri"/>
                <w:b/>
                <w:bCs/>
              </w:rPr>
            </w:pPr>
            <w:r w:rsidRPr="00CF3673">
              <w:rPr>
                <w:rFonts w:ascii="Calibri" w:hAnsi="Calibri"/>
                <w:b/>
                <w:bCs/>
              </w:rPr>
              <w:t>89.3</w:t>
            </w:r>
          </w:p>
        </w:tc>
        <w:tc>
          <w:tcPr>
            <w:tcW w:w="1838" w:type="dxa"/>
            <w:noWrap/>
            <w:vAlign w:val="bottom"/>
            <w:hideMark/>
          </w:tcPr>
          <w:p w:rsidR="00682A88" w:rsidRPr="00CF3673" w:rsidRDefault="00682A88" w:rsidP="00682A88">
            <w:pPr>
              <w:jc w:val="center"/>
              <w:rPr>
                <w:rFonts w:ascii="Calibri" w:hAnsi="Calibri"/>
                <w:b/>
                <w:bCs/>
              </w:rPr>
            </w:pPr>
            <w:r w:rsidRPr="00CF3673">
              <w:rPr>
                <w:rFonts w:ascii="Calibri" w:hAnsi="Calibri"/>
                <w:b/>
                <w:bCs/>
              </w:rPr>
              <w:t>66.2</w:t>
            </w:r>
          </w:p>
        </w:tc>
      </w:tr>
      <w:tr w:rsidR="00682A88" w:rsidRPr="00CF3673" w:rsidTr="00682A88">
        <w:trPr>
          <w:trHeight w:val="300"/>
          <w:jc w:val="center"/>
        </w:trPr>
        <w:tc>
          <w:tcPr>
            <w:tcW w:w="3881" w:type="dxa"/>
            <w:noWrap/>
            <w:vAlign w:val="bottom"/>
            <w:hideMark/>
          </w:tcPr>
          <w:p w:rsidR="00682A88" w:rsidRPr="00CF3673" w:rsidRDefault="00682A88" w:rsidP="00234D0F">
            <w:pPr>
              <w:rPr>
                <w:rFonts w:ascii="Calibri" w:hAnsi="Calibri"/>
              </w:rPr>
            </w:pPr>
            <w:r w:rsidRPr="00CF3673">
              <w:rPr>
                <w:rFonts w:ascii="Calibri" w:hAnsi="Calibri"/>
              </w:rPr>
              <w:t>Instabilidade macroeconómica (</w:t>
            </w:r>
            <w:proofErr w:type="spellStart"/>
            <w:r w:rsidRPr="00CF3673">
              <w:rPr>
                <w:rFonts w:ascii="Calibri" w:hAnsi="Calibri"/>
              </w:rPr>
              <w:t>infl</w:t>
            </w:r>
            <w:proofErr w:type="spellEnd"/>
            <w:r w:rsidRPr="00CF3673">
              <w:rPr>
                <w:rFonts w:ascii="Calibri" w:hAnsi="Calibri"/>
              </w:rPr>
              <w:t xml:space="preserve">., </w:t>
            </w:r>
            <w:proofErr w:type="spellStart"/>
            <w:r w:rsidR="00234D0F" w:rsidRPr="00CF3673">
              <w:rPr>
                <w:rFonts w:ascii="Calibri" w:hAnsi="Calibri"/>
              </w:rPr>
              <w:t>tax</w:t>
            </w:r>
            <w:proofErr w:type="spellEnd"/>
            <w:r w:rsidR="00234D0F" w:rsidRPr="00CF3673">
              <w:rPr>
                <w:rFonts w:ascii="Calibri" w:hAnsi="Calibri"/>
              </w:rPr>
              <w:t xml:space="preserve"> de cambio</w:t>
            </w:r>
            <w:r w:rsidRPr="00CF3673">
              <w:rPr>
                <w:rFonts w:ascii="Calibri" w:hAnsi="Calibri"/>
              </w:rPr>
              <w:t>)</w:t>
            </w:r>
          </w:p>
        </w:tc>
        <w:tc>
          <w:tcPr>
            <w:tcW w:w="1639" w:type="dxa"/>
            <w:noWrap/>
            <w:vAlign w:val="bottom"/>
            <w:hideMark/>
          </w:tcPr>
          <w:p w:rsidR="00682A88" w:rsidRPr="00CF3673" w:rsidRDefault="00682A88" w:rsidP="00682A88">
            <w:pPr>
              <w:jc w:val="center"/>
              <w:rPr>
                <w:rFonts w:ascii="Calibri" w:hAnsi="Calibri"/>
                <w:b/>
                <w:bCs/>
              </w:rPr>
            </w:pPr>
            <w:r w:rsidRPr="00CF3673">
              <w:rPr>
                <w:rFonts w:ascii="Calibri" w:hAnsi="Calibri"/>
                <w:b/>
                <w:bCs/>
              </w:rPr>
              <w:t>70.4</w:t>
            </w:r>
          </w:p>
        </w:tc>
        <w:tc>
          <w:tcPr>
            <w:tcW w:w="1838" w:type="dxa"/>
            <w:noWrap/>
            <w:vAlign w:val="bottom"/>
            <w:hideMark/>
          </w:tcPr>
          <w:p w:rsidR="00682A88" w:rsidRPr="00CF3673" w:rsidRDefault="00682A88" w:rsidP="00682A88">
            <w:pPr>
              <w:jc w:val="center"/>
              <w:rPr>
                <w:rFonts w:ascii="Calibri" w:hAnsi="Calibri"/>
                <w:b/>
                <w:bCs/>
              </w:rPr>
            </w:pPr>
            <w:r w:rsidRPr="00CF3673">
              <w:rPr>
                <w:rFonts w:ascii="Calibri" w:hAnsi="Calibri"/>
                <w:b/>
                <w:bCs/>
              </w:rPr>
              <w:t>61.6</w:t>
            </w:r>
          </w:p>
        </w:tc>
      </w:tr>
      <w:tr w:rsidR="00682A88" w:rsidRPr="00CF3673" w:rsidTr="00682A88">
        <w:trPr>
          <w:trHeight w:val="300"/>
          <w:jc w:val="center"/>
        </w:trPr>
        <w:tc>
          <w:tcPr>
            <w:tcW w:w="3881" w:type="dxa"/>
            <w:noWrap/>
            <w:vAlign w:val="bottom"/>
            <w:hideMark/>
          </w:tcPr>
          <w:p w:rsidR="00682A88" w:rsidRPr="00CF3673" w:rsidRDefault="00682A88" w:rsidP="00682A88">
            <w:pPr>
              <w:rPr>
                <w:rFonts w:ascii="Calibri" w:hAnsi="Calibri"/>
              </w:rPr>
            </w:pPr>
            <w:r w:rsidRPr="00CF3673">
              <w:rPr>
                <w:rFonts w:ascii="Calibri" w:hAnsi="Calibri"/>
              </w:rPr>
              <w:t>Acesso ao crédito interno</w:t>
            </w:r>
          </w:p>
        </w:tc>
        <w:tc>
          <w:tcPr>
            <w:tcW w:w="1639" w:type="dxa"/>
            <w:noWrap/>
            <w:vAlign w:val="bottom"/>
            <w:hideMark/>
          </w:tcPr>
          <w:p w:rsidR="00682A88" w:rsidRPr="00CF3673" w:rsidRDefault="00682A88" w:rsidP="00682A88">
            <w:pPr>
              <w:jc w:val="center"/>
              <w:rPr>
                <w:rFonts w:ascii="Calibri" w:hAnsi="Calibri"/>
                <w:b/>
                <w:bCs/>
              </w:rPr>
            </w:pPr>
            <w:r w:rsidRPr="00CF3673">
              <w:rPr>
                <w:rFonts w:ascii="Calibri" w:hAnsi="Calibri"/>
                <w:b/>
                <w:bCs/>
              </w:rPr>
              <w:t>84.6</w:t>
            </w:r>
          </w:p>
        </w:tc>
        <w:tc>
          <w:tcPr>
            <w:tcW w:w="1838" w:type="dxa"/>
            <w:noWrap/>
            <w:vAlign w:val="bottom"/>
            <w:hideMark/>
          </w:tcPr>
          <w:p w:rsidR="00682A88" w:rsidRPr="00CF3673" w:rsidRDefault="00682A88" w:rsidP="00682A88">
            <w:pPr>
              <w:jc w:val="center"/>
              <w:rPr>
                <w:rFonts w:ascii="Calibri" w:hAnsi="Calibri"/>
                <w:b/>
                <w:bCs/>
              </w:rPr>
            </w:pPr>
            <w:r w:rsidRPr="00CF3673">
              <w:rPr>
                <w:rFonts w:ascii="Calibri" w:hAnsi="Calibri"/>
                <w:b/>
                <w:bCs/>
              </w:rPr>
              <w:t>58.0</w:t>
            </w:r>
          </w:p>
        </w:tc>
      </w:tr>
      <w:tr w:rsidR="00682A88" w:rsidRPr="00CF3673" w:rsidTr="00682A88">
        <w:trPr>
          <w:trHeight w:val="300"/>
          <w:jc w:val="center"/>
        </w:trPr>
        <w:tc>
          <w:tcPr>
            <w:tcW w:w="3881" w:type="dxa"/>
            <w:noWrap/>
            <w:vAlign w:val="bottom"/>
            <w:hideMark/>
          </w:tcPr>
          <w:p w:rsidR="00682A88" w:rsidRPr="00CF3673" w:rsidRDefault="00682A88" w:rsidP="00682A88">
            <w:pPr>
              <w:rPr>
                <w:rFonts w:ascii="Calibri" w:hAnsi="Calibri"/>
              </w:rPr>
            </w:pPr>
            <w:r w:rsidRPr="00CF3673">
              <w:rPr>
                <w:rFonts w:ascii="Calibri" w:hAnsi="Calibri"/>
              </w:rPr>
              <w:t xml:space="preserve">Concorrência de </w:t>
            </w:r>
            <w:r w:rsidR="006A4724" w:rsidRPr="00CF3673">
              <w:rPr>
                <w:rFonts w:ascii="Calibri" w:hAnsi="Calibri"/>
              </w:rPr>
              <w:t>importações</w:t>
            </w:r>
            <w:r w:rsidRPr="00CF3673">
              <w:rPr>
                <w:rFonts w:ascii="Calibri" w:hAnsi="Calibri"/>
              </w:rPr>
              <w:t xml:space="preserve"> ilegais/contrabando</w:t>
            </w:r>
          </w:p>
        </w:tc>
        <w:tc>
          <w:tcPr>
            <w:tcW w:w="1639" w:type="dxa"/>
            <w:noWrap/>
            <w:vAlign w:val="bottom"/>
            <w:hideMark/>
          </w:tcPr>
          <w:p w:rsidR="00682A88" w:rsidRPr="00CF3673" w:rsidRDefault="00682A88" w:rsidP="00682A88">
            <w:pPr>
              <w:jc w:val="center"/>
              <w:rPr>
                <w:rFonts w:ascii="Calibri" w:hAnsi="Calibri"/>
                <w:b/>
                <w:bCs/>
              </w:rPr>
            </w:pPr>
            <w:r w:rsidRPr="00CF3673">
              <w:rPr>
                <w:rFonts w:ascii="Calibri" w:hAnsi="Calibri"/>
                <w:b/>
                <w:bCs/>
              </w:rPr>
              <w:t>68.2</w:t>
            </w:r>
          </w:p>
        </w:tc>
        <w:tc>
          <w:tcPr>
            <w:tcW w:w="1838" w:type="dxa"/>
            <w:noWrap/>
            <w:vAlign w:val="bottom"/>
            <w:hideMark/>
          </w:tcPr>
          <w:p w:rsidR="00682A88" w:rsidRPr="00CF3673" w:rsidRDefault="00682A88" w:rsidP="00682A88">
            <w:pPr>
              <w:jc w:val="center"/>
              <w:rPr>
                <w:rFonts w:ascii="Calibri" w:hAnsi="Calibri"/>
                <w:b/>
                <w:bCs/>
              </w:rPr>
            </w:pPr>
            <w:r w:rsidRPr="00CF3673">
              <w:rPr>
                <w:rFonts w:ascii="Calibri" w:hAnsi="Calibri"/>
                <w:b/>
                <w:bCs/>
              </w:rPr>
              <w:t>54.8</w:t>
            </w:r>
          </w:p>
        </w:tc>
      </w:tr>
      <w:tr w:rsidR="00682A88" w:rsidRPr="00CF3673" w:rsidTr="00682A88">
        <w:trPr>
          <w:trHeight w:val="300"/>
          <w:jc w:val="center"/>
        </w:trPr>
        <w:tc>
          <w:tcPr>
            <w:tcW w:w="3881" w:type="dxa"/>
            <w:noWrap/>
            <w:vAlign w:val="bottom"/>
            <w:hideMark/>
          </w:tcPr>
          <w:p w:rsidR="00682A88" w:rsidRPr="00CF3673" w:rsidRDefault="00682A88" w:rsidP="00682A88">
            <w:pPr>
              <w:rPr>
                <w:rFonts w:ascii="Calibri" w:hAnsi="Calibri"/>
              </w:rPr>
            </w:pPr>
            <w:r w:rsidRPr="00CF3673">
              <w:rPr>
                <w:rFonts w:ascii="Calibri" w:hAnsi="Calibri"/>
              </w:rPr>
              <w:t>Impostos</w:t>
            </w:r>
          </w:p>
        </w:tc>
        <w:tc>
          <w:tcPr>
            <w:tcW w:w="1639" w:type="dxa"/>
            <w:noWrap/>
            <w:vAlign w:val="bottom"/>
            <w:hideMark/>
          </w:tcPr>
          <w:p w:rsidR="00682A88" w:rsidRPr="00CF3673" w:rsidRDefault="00682A88" w:rsidP="00682A88">
            <w:pPr>
              <w:jc w:val="center"/>
              <w:rPr>
                <w:rFonts w:ascii="Calibri" w:hAnsi="Calibri"/>
              </w:rPr>
            </w:pPr>
            <w:r w:rsidRPr="00CF3673">
              <w:rPr>
                <w:rFonts w:ascii="Calibri" w:hAnsi="Calibri"/>
              </w:rPr>
              <w:t>46.4</w:t>
            </w:r>
          </w:p>
        </w:tc>
        <w:tc>
          <w:tcPr>
            <w:tcW w:w="1838" w:type="dxa"/>
            <w:noWrap/>
            <w:vAlign w:val="bottom"/>
            <w:hideMark/>
          </w:tcPr>
          <w:p w:rsidR="00682A88" w:rsidRPr="00CF3673" w:rsidRDefault="00682A88" w:rsidP="00682A88">
            <w:pPr>
              <w:jc w:val="center"/>
              <w:rPr>
                <w:rFonts w:ascii="Calibri" w:hAnsi="Calibri"/>
                <w:b/>
                <w:bCs/>
              </w:rPr>
            </w:pPr>
            <w:r w:rsidRPr="00CF3673">
              <w:rPr>
                <w:rFonts w:ascii="Calibri" w:hAnsi="Calibri"/>
                <w:b/>
                <w:bCs/>
              </w:rPr>
              <w:t>51.4</w:t>
            </w:r>
          </w:p>
        </w:tc>
      </w:tr>
      <w:tr w:rsidR="00682A88" w:rsidRPr="00CF3673" w:rsidTr="00682A88">
        <w:trPr>
          <w:trHeight w:val="300"/>
          <w:jc w:val="center"/>
        </w:trPr>
        <w:tc>
          <w:tcPr>
            <w:tcW w:w="3881" w:type="dxa"/>
            <w:noWrap/>
            <w:vAlign w:val="bottom"/>
            <w:hideMark/>
          </w:tcPr>
          <w:p w:rsidR="00682A88" w:rsidRPr="00CF3673" w:rsidRDefault="00682A88" w:rsidP="00682A88">
            <w:pPr>
              <w:rPr>
                <w:rFonts w:ascii="Calibri" w:hAnsi="Calibri"/>
              </w:rPr>
            </w:pPr>
            <w:r w:rsidRPr="00CF3673">
              <w:rPr>
                <w:rFonts w:ascii="Calibri" w:hAnsi="Calibri"/>
              </w:rPr>
              <w:t>Corrupção geral</w:t>
            </w:r>
          </w:p>
        </w:tc>
        <w:tc>
          <w:tcPr>
            <w:tcW w:w="1639" w:type="dxa"/>
            <w:noWrap/>
            <w:vAlign w:val="bottom"/>
            <w:hideMark/>
          </w:tcPr>
          <w:p w:rsidR="00682A88" w:rsidRPr="00CF3673" w:rsidRDefault="00682A88" w:rsidP="00682A88">
            <w:pPr>
              <w:jc w:val="center"/>
              <w:rPr>
                <w:rFonts w:ascii="Calibri" w:hAnsi="Calibri"/>
              </w:rPr>
            </w:pPr>
            <w:r w:rsidRPr="00CF3673">
              <w:rPr>
                <w:rFonts w:ascii="Calibri" w:hAnsi="Calibri"/>
              </w:rPr>
              <w:t>47.8</w:t>
            </w:r>
          </w:p>
        </w:tc>
        <w:tc>
          <w:tcPr>
            <w:tcW w:w="1838" w:type="dxa"/>
            <w:noWrap/>
            <w:vAlign w:val="bottom"/>
            <w:hideMark/>
          </w:tcPr>
          <w:p w:rsidR="00682A88" w:rsidRPr="00CF3673" w:rsidRDefault="00682A88" w:rsidP="00682A88">
            <w:pPr>
              <w:jc w:val="center"/>
              <w:rPr>
                <w:rFonts w:ascii="Calibri" w:hAnsi="Calibri"/>
              </w:rPr>
            </w:pPr>
            <w:r w:rsidRPr="00CF3673">
              <w:rPr>
                <w:rFonts w:ascii="Calibri" w:hAnsi="Calibri"/>
              </w:rPr>
              <w:t>44.4</w:t>
            </w:r>
          </w:p>
        </w:tc>
      </w:tr>
      <w:tr w:rsidR="00682A88" w:rsidRPr="00CF3673" w:rsidTr="00682A88">
        <w:trPr>
          <w:trHeight w:val="300"/>
          <w:jc w:val="center"/>
        </w:trPr>
        <w:tc>
          <w:tcPr>
            <w:tcW w:w="3881" w:type="dxa"/>
            <w:noWrap/>
            <w:vAlign w:val="bottom"/>
            <w:hideMark/>
          </w:tcPr>
          <w:p w:rsidR="00682A88" w:rsidRPr="00CF3673" w:rsidRDefault="006A4724" w:rsidP="00682A88">
            <w:pPr>
              <w:rPr>
                <w:rFonts w:ascii="Calibri" w:hAnsi="Calibri"/>
              </w:rPr>
            </w:pPr>
            <w:r w:rsidRPr="00CF3673">
              <w:rPr>
                <w:rFonts w:ascii="Calibri" w:hAnsi="Calibri"/>
              </w:rPr>
              <w:lastRenderedPageBreak/>
              <w:t>Regulamentações</w:t>
            </w:r>
            <w:r w:rsidR="00682A88" w:rsidRPr="00CF3673">
              <w:rPr>
                <w:rFonts w:ascii="Calibri" w:hAnsi="Calibri"/>
              </w:rPr>
              <w:t xml:space="preserve"> trabalhistas</w:t>
            </w:r>
          </w:p>
        </w:tc>
        <w:tc>
          <w:tcPr>
            <w:tcW w:w="1639" w:type="dxa"/>
            <w:noWrap/>
            <w:vAlign w:val="bottom"/>
            <w:hideMark/>
          </w:tcPr>
          <w:p w:rsidR="00682A88" w:rsidRPr="00CF3673" w:rsidRDefault="00682A88" w:rsidP="00682A88">
            <w:pPr>
              <w:jc w:val="center"/>
              <w:rPr>
                <w:rFonts w:ascii="Calibri" w:hAnsi="Calibri"/>
              </w:rPr>
            </w:pPr>
            <w:r w:rsidRPr="00CF3673">
              <w:rPr>
                <w:rFonts w:ascii="Calibri" w:hAnsi="Calibri"/>
              </w:rPr>
              <w:t>42.9</w:t>
            </w:r>
          </w:p>
        </w:tc>
        <w:tc>
          <w:tcPr>
            <w:tcW w:w="1838" w:type="dxa"/>
            <w:noWrap/>
            <w:vAlign w:val="bottom"/>
            <w:hideMark/>
          </w:tcPr>
          <w:p w:rsidR="00682A88" w:rsidRPr="00CF3673" w:rsidRDefault="00682A88" w:rsidP="00682A88">
            <w:pPr>
              <w:jc w:val="center"/>
              <w:rPr>
                <w:rFonts w:ascii="Calibri" w:hAnsi="Calibri"/>
              </w:rPr>
            </w:pPr>
            <w:r w:rsidRPr="00CF3673">
              <w:rPr>
                <w:rFonts w:ascii="Calibri" w:hAnsi="Calibri"/>
              </w:rPr>
              <w:t>44.0</w:t>
            </w:r>
          </w:p>
        </w:tc>
      </w:tr>
      <w:tr w:rsidR="00682A88" w:rsidRPr="00CF3673" w:rsidTr="00682A88">
        <w:trPr>
          <w:trHeight w:val="300"/>
          <w:jc w:val="center"/>
        </w:trPr>
        <w:tc>
          <w:tcPr>
            <w:tcW w:w="3881" w:type="dxa"/>
            <w:noWrap/>
            <w:vAlign w:val="bottom"/>
            <w:hideMark/>
          </w:tcPr>
          <w:p w:rsidR="00682A88" w:rsidRPr="00CF3673" w:rsidRDefault="00682A88" w:rsidP="00682A88">
            <w:pPr>
              <w:rPr>
                <w:rFonts w:ascii="Calibri" w:hAnsi="Calibri"/>
              </w:rPr>
            </w:pPr>
            <w:r w:rsidRPr="00CF3673">
              <w:rPr>
                <w:rFonts w:ascii="Calibri" w:hAnsi="Calibri"/>
              </w:rPr>
              <w:t>Instabilidade económica e política</w:t>
            </w:r>
          </w:p>
        </w:tc>
        <w:tc>
          <w:tcPr>
            <w:tcW w:w="1639" w:type="dxa"/>
            <w:noWrap/>
            <w:vAlign w:val="bottom"/>
            <w:hideMark/>
          </w:tcPr>
          <w:p w:rsidR="00682A88" w:rsidRPr="00CF3673" w:rsidRDefault="00682A88" w:rsidP="00682A88">
            <w:pPr>
              <w:jc w:val="center"/>
              <w:rPr>
                <w:rFonts w:ascii="Calibri" w:hAnsi="Calibri"/>
              </w:rPr>
            </w:pPr>
            <w:r w:rsidRPr="00CF3673">
              <w:rPr>
                <w:rFonts w:ascii="Calibri" w:hAnsi="Calibri"/>
              </w:rPr>
              <w:t>59.3</w:t>
            </w:r>
          </w:p>
        </w:tc>
        <w:tc>
          <w:tcPr>
            <w:tcW w:w="1838" w:type="dxa"/>
            <w:noWrap/>
            <w:vAlign w:val="bottom"/>
            <w:hideMark/>
          </w:tcPr>
          <w:p w:rsidR="00682A88" w:rsidRPr="00CF3673" w:rsidRDefault="00682A88" w:rsidP="00682A88">
            <w:pPr>
              <w:jc w:val="center"/>
              <w:rPr>
                <w:rFonts w:ascii="Calibri" w:hAnsi="Calibri"/>
              </w:rPr>
            </w:pPr>
            <w:r w:rsidRPr="00CF3673">
              <w:rPr>
                <w:rFonts w:ascii="Calibri" w:hAnsi="Calibri"/>
              </w:rPr>
              <w:t>40.3</w:t>
            </w:r>
          </w:p>
        </w:tc>
      </w:tr>
      <w:tr w:rsidR="00682A88" w:rsidRPr="00CF3673" w:rsidTr="00682A88">
        <w:trPr>
          <w:trHeight w:val="300"/>
          <w:jc w:val="center"/>
        </w:trPr>
        <w:tc>
          <w:tcPr>
            <w:tcW w:w="3881" w:type="dxa"/>
            <w:noWrap/>
            <w:vAlign w:val="bottom"/>
            <w:hideMark/>
          </w:tcPr>
          <w:p w:rsidR="00682A88" w:rsidRPr="00CF3673" w:rsidRDefault="00682A88" w:rsidP="00682A88">
            <w:pPr>
              <w:rPr>
                <w:rFonts w:ascii="Calibri" w:hAnsi="Calibri"/>
              </w:rPr>
            </w:pPr>
            <w:r w:rsidRPr="00CF3673">
              <w:rPr>
                <w:rFonts w:ascii="Calibri" w:hAnsi="Calibri"/>
              </w:rPr>
              <w:t>Administração aduaneira e regulação do comércio</w:t>
            </w:r>
          </w:p>
        </w:tc>
        <w:tc>
          <w:tcPr>
            <w:tcW w:w="1639" w:type="dxa"/>
            <w:noWrap/>
            <w:vAlign w:val="bottom"/>
            <w:hideMark/>
          </w:tcPr>
          <w:p w:rsidR="00682A88" w:rsidRPr="00CF3673" w:rsidRDefault="00682A88" w:rsidP="00682A88">
            <w:pPr>
              <w:jc w:val="center"/>
              <w:rPr>
                <w:rFonts w:ascii="Calibri" w:hAnsi="Calibri"/>
              </w:rPr>
            </w:pPr>
            <w:r w:rsidRPr="00CF3673">
              <w:rPr>
                <w:rFonts w:ascii="Calibri" w:hAnsi="Calibri"/>
              </w:rPr>
              <w:t>36.0</w:t>
            </w:r>
          </w:p>
        </w:tc>
        <w:tc>
          <w:tcPr>
            <w:tcW w:w="1838" w:type="dxa"/>
            <w:noWrap/>
            <w:vAlign w:val="bottom"/>
            <w:hideMark/>
          </w:tcPr>
          <w:p w:rsidR="00682A88" w:rsidRPr="00CF3673" w:rsidRDefault="00682A88" w:rsidP="00682A88">
            <w:pPr>
              <w:jc w:val="center"/>
              <w:rPr>
                <w:rFonts w:ascii="Calibri" w:hAnsi="Calibri"/>
              </w:rPr>
            </w:pPr>
            <w:r w:rsidRPr="00CF3673">
              <w:rPr>
                <w:rFonts w:ascii="Calibri" w:hAnsi="Calibri"/>
              </w:rPr>
              <w:t>36.8</w:t>
            </w:r>
          </w:p>
        </w:tc>
      </w:tr>
      <w:tr w:rsidR="00682A88" w:rsidRPr="00CF3673" w:rsidTr="00682A88">
        <w:trPr>
          <w:trHeight w:val="300"/>
          <w:jc w:val="center"/>
        </w:trPr>
        <w:tc>
          <w:tcPr>
            <w:tcW w:w="3881" w:type="dxa"/>
            <w:tcBorders>
              <w:bottom w:val="nil"/>
            </w:tcBorders>
            <w:noWrap/>
            <w:vAlign w:val="bottom"/>
            <w:hideMark/>
          </w:tcPr>
          <w:p w:rsidR="00682A88" w:rsidRPr="00CF3673" w:rsidRDefault="00682A88" w:rsidP="00682A88">
            <w:pPr>
              <w:rPr>
                <w:rFonts w:ascii="Calibri" w:hAnsi="Calibri"/>
              </w:rPr>
            </w:pPr>
            <w:r w:rsidRPr="00CF3673">
              <w:rPr>
                <w:rFonts w:ascii="Calibri" w:hAnsi="Calibri"/>
              </w:rPr>
              <w:t>Electricidade</w:t>
            </w:r>
          </w:p>
        </w:tc>
        <w:tc>
          <w:tcPr>
            <w:tcW w:w="1639" w:type="dxa"/>
            <w:tcBorders>
              <w:bottom w:val="nil"/>
            </w:tcBorders>
            <w:noWrap/>
            <w:vAlign w:val="bottom"/>
            <w:hideMark/>
          </w:tcPr>
          <w:p w:rsidR="00682A88" w:rsidRPr="00CF3673" w:rsidRDefault="00682A88" w:rsidP="00682A88">
            <w:pPr>
              <w:jc w:val="center"/>
              <w:rPr>
                <w:rFonts w:ascii="Calibri" w:hAnsi="Calibri"/>
              </w:rPr>
            </w:pPr>
            <w:r w:rsidRPr="00CF3673">
              <w:rPr>
                <w:rFonts w:ascii="Calibri" w:hAnsi="Calibri"/>
              </w:rPr>
              <w:t>42.9</w:t>
            </w:r>
          </w:p>
        </w:tc>
        <w:tc>
          <w:tcPr>
            <w:tcW w:w="1838" w:type="dxa"/>
            <w:tcBorders>
              <w:bottom w:val="nil"/>
            </w:tcBorders>
            <w:noWrap/>
            <w:vAlign w:val="bottom"/>
            <w:hideMark/>
          </w:tcPr>
          <w:p w:rsidR="00682A88" w:rsidRPr="00CF3673" w:rsidRDefault="00682A88" w:rsidP="00682A88">
            <w:pPr>
              <w:jc w:val="center"/>
              <w:rPr>
                <w:rFonts w:ascii="Calibri" w:hAnsi="Calibri"/>
              </w:rPr>
            </w:pPr>
            <w:r w:rsidRPr="00CF3673">
              <w:rPr>
                <w:rFonts w:ascii="Calibri" w:hAnsi="Calibri"/>
              </w:rPr>
              <w:t>36.0</w:t>
            </w:r>
          </w:p>
        </w:tc>
      </w:tr>
      <w:tr w:rsidR="00682A88" w:rsidRPr="00CF3673" w:rsidTr="00682A88">
        <w:trPr>
          <w:trHeight w:val="300"/>
          <w:jc w:val="center"/>
        </w:trPr>
        <w:tc>
          <w:tcPr>
            <w:tcW w:w="3881" w:type="dxa"/>
            <w:tcBorders>
              <w:top w:val="nil"/>
              <w:bottom w:val="single" w:sz="4" w:space="0" w:color="auto"/>
            </w:tcBorders>
            <w:noWrap/>
            <w:vAlign w:val="bottom"/>
            <w:hideMark/>
          </w:tcPr>
          <w:p w:rsidR="00682A88" w:rsidRPr="00CF3673" w:rsidRDefault="00682A88" w:rsidP="00682A88">
            <w:pPr>
              <w:rPr>
                <w:rFonts w:ascii="Calibri" w:hAnsi="Calibri"/>
              </w:rPr>
            </w:pPr>
            <w:r w:rsidRPr="00CF3673">
              <w:rPr>
                <w:rFonts w:ascii="Calibri" w:hAnsi="Calibri"/>
              </w:rPr>
              <w:t xml:space="preserve">Acesso ao crédito </w:t>
            </w:r>
            <w:r w:rsidR="00234D0F" w:rsidRPr="00CF3673">
              <w:rPr>
                <w:rFonts w:ascii="Calibri" w:hAnsi="Calibri"/>
              </w:rPr>
              <w:t>estrangeira</w:t>
            </w:r>
          </w:p>
        </w:tc>
        <w:tc>
          <w:tcPr>
            <w:tcW w:w="1639" w:type="dxa"/>
            <w:tcBorders>
              <w:top w:val="nil"/>
              <w:bottom w:val="single" w:sz="4" w:space="0" w:color="auto"/>
            </w:tcBorders>
            <w:noWrap/>
            <w:vAlign w:val="bottom"/>
            <w:hideMark/>
          </w:tcPr>
          <w:p w:rsidR="00682A88" w:rsidRPr="00CF3673" w:rsidRDefault="00682A88" w:rsidP="00682A88">
            <w:pPr>
              <w:jc w:val="center"/>
              <w:rPr>
                <w:rFonts w:ascii="Calibri" w:hAnsi="Calibri"/>
                <w:b/>
                <w:bCs/>
              </w:rPr>
            </w:pPr>
            <w:r w:rsidRPr="00CF3673">
              <w:rPr>
                <w:rFonts w:ascii="Calibri" w:hAnsi="Calibri"/>
                <w:b/>
                <w:bCs/>
              </w:rPr>
              <w:t>63.2</w:t>
            </w:r>
          </w:p>
        </w:tc>
        <w:tc>
          <w:tcPr>
            <w:tcW w:w="1838" w:type="dxa"/>
            <w:tcBorders>
              <w:top w:val="nil"/>
              <w:bottom w:val="single" w:sz="4" w:space="0" w:color="auto"/>
            </w:tcBorders>
            <w:noWrap/>
            <w:vAlign w:val="bottom"/>
            <w:hideMark/>
          </w:tcPr>
          <w:p w:rsidR="00682A88" w:rsidRPr="00CF3673" w:rsidRDefault="00682A88" w:rsidP="00682A88">
            <w:pPr>
              <w:jc w:val="center"/>
              <w:rPr>
                <w:rFonts w:ascii="Calibri" w:hAnsi="Calibri"/>
              </w:rPr>
            </w:pPr>
            <w:r w:rsidRPr="00CF3673">
              <w:rPr>
                <w:rFonts w:ascii="Calibri" w:hAnsi="Calibri"/>
              </w:rPr>
              <w:t>35.5</w:t>
            </w:r>
          </w:p>
        </w:tc>
      </w:tr>
      <w:tr w:rsidR="00682A88" w:rsidRPr="00CF3673" w:rsidTr="00682A88">
        <w:trPr>
          <w:trHeight w:val="300"/>
          <w:jc w:val="center"/>
        </w:trPr>
        <w:tc>
          <w:tcPr>
            <w:tcW w:w="3881" w:type="dxa"/>
            <w:tcBorders>
              <w:top w:val="single" w:sz="4" w:space="0" w:color="auto"/>
              <w:bottom w:val="double" w:sz="4" w:space="0" w:color="auto"/>
            </w:tcBorders>
            <w:noWrap/>
            <w:vAlign w:val="bottom"/>
            <w:hideMark/>
          </w:tcPr>
          <w:p w:rsidR="00682A88" w:rsidRPr="00CF3673" w:rsidRDefault="00682A88" w:rsidP="00682A88">
            <w:pPr>
              <w:rPr>
                <w:color w:val="000000"/>
                <w:szCs w:val="20"/>
              </w:rPr>
            </w:pPr>
            <w:r w:rsidRPr="00CF3673">
              <w:rPr>
                <w:color w:val="000000"/>
                <w:szCs w:val="20"/>
              </w:rPr>
              <w:t>Nº de obs.</w:t>
            </w:r>
          </w:p>
        </w:tc>
        <w:tc>
          <w:tcPr>
            <w:tcW w:w="1639" w:type="dxa"/>
            <w:tcBorders>
              <w:top w:val="single" w:sz="4" w:space="0" w:color="auto"/>
              <w:bottom w:val="double" w:sz="4" w:space="0" w:color="auto"/>
            </w:tcBorders>
            <w:noWrap/>
            <w:vAlign w:val="bottom"/>
            <w:hideMark/>
          </w:tcPr>
          <w:p w:rsidR="00682A88" w:rsidRPr="00CF3673" w:rsidRDefault="00682A88" w:rsidP="00682A88">
            <w:pPr>
              <w:jc w:val="center"/>
              <w:rPr>
                <w:color w:val="000000"/>
                <w:szCs w:val="20"/>
              </w:rPr>
            </w:pPr>
            <w:r w:rsidRPr="00CF3673">
              <w:rPr>
                <w:color w:val="000000"/>
                <w:szCs w:val="20"/>
              </w:rPr>
              <w:t>28</w:t>
            </w:r>
          </w:p>
        </w:tc>
        <w:tc>
          <w:tcPr>
            <w:tcW w:w="1838" w:type="dxa"/>
            <w:tcBorders>
              <w:top w:val="single" w:sz="4" w:space="0" w:color="auto"/>
              <w:bottom w:val="double" w:sz="4" w:space="0" w:color="auto"/>
            </w:tcBorders>
            <w:noWrap/>
            <w:vAlign w:val="bottom"/>
            <w:hideMark/>
          </w:tcPr>
          <w:p w:rsidR="00682A88" w:rsidRPr="00CF3673" w:rsidRDefault="00682A88" w:rsidP="00682A88">
            <w:pPr>
              <w:jc w:val="center"/>
              <w:rPr>
                <w:color w:val="000000"/>
                <w:szCs w:val="20"/>
              </w:rPr>
            </w:pPr>
            <w:r w:rsidRPr="00CF3673">
              <w:rPr>
                <w:color w:val="000000"/>
                <w:szCs w:val="20"/>
              </w:rPr>
              <w:t>75</w:t>
            </w:r>
          </w:p>
        </w:tc>
      </w:tr>
      <w:tr w:rsidR="00682A88" w:rsidRPr="00CF3673" w:rsidTr="00682A88">
        <w:trPr>
          <w:trHeight w:val="300"/>
          <w:jc w:val="center"/>
        </w:trPr>
        <w:tc>
          <w:tcPr>
            <w:tcW w:w="7358" w:type="dxa"/>
            <w:gridSpan w:val="3"/>
            <w:tcBorders>
              <w:top w:val="double" w:sz="4" w:space="0" w:color="auto"/>
              <w:bottom w:val="nil"/>
            </w:tcBorders>
            <w:noWrap/>
            <w:vAlign w:val="bottom"/>
          </w:tcPr>
          <w:p w:rsidR="00682A88" w:rsidRPr="00CF3673" w:rsidRDefault="00682A88" w:rsidP="00682A88">
            <w:pPr>
              <w:pStyle w:val="Tablenote"/>
              <w:rPr>
                <w:color w:val="000000"/>
                <w:sz w:val="20"/>
                <w:lang w:val="pt-PT"/>
              </w:rPr>
            </w:pPr>
            <w:r w:rsidRPr="00CF3673">
              <w:rPr>
                <w:b/>
                <w:noProof/>
                <w:lang w:val="pt-PT"/>
              </w:rPr>
              <w:t>Nota</w:t>
            </w:r>
            <w:r w:rsidRPr="00CF3673">
              <w:rPr>
                <w:noProof/>
                <w:lang w:val="pt-PT"/>
              </w:rPr>
              <w:t xml:space="preserve">: Os factores problemáticos para a operação eo crescimento das empresas ( pct. terem respondido " grande obstáculo " ou " sério obstáculo " ) . Números em negrito indicam que a restrição classificado entre os cinco primeiros no ano indicado . Painel equilibrado. </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jc w:val="center"/>
        </w:trPr>
        <w:tc>
          <w:tcPr>
            <w:tcW w:w="7358" w:type="dxa"/>
            <w:gridSpan w:val="3"/>
            <w:tcBorders>
              <w:top w:val="nil"/>
              <w:bottom w:val="nil"/>
            </w:tcBorders>
            <w:noWrap/>
            <w:vAlign w:val="bottom"/>
          </w:tcPr>
          <w:p w:rsidR="00682A88" w:rsidRPr="00CF3673" w:rsidRDefault="00682A88" w:rsidP="00234D0F">
            <w:pPr>
              <w:pStyle w:val="Tablenote"/>
              <w:rPr>
                <w:noProof/>
                <w:lang w:val="pt-PT"/>
              </w:rPr>
            </w:pPr>
            <w:r w:rsidRPr="00CF3673">
              <w:rPr>
                <w:b/>
                <w:noProof/>
                <w:lang w:val="pt-PT"/>
              </w:rPr>
              <w:t xml:space="preserve">Fonte: </w:t>
            </w:r>
            <w:r w:rsidRPr="00CF3673">
              <w:rPr>
                <w:noProof/>
                <w:lang w:val="pt-PT"/>
              </w:rPr>
              <w:t xml:space="preserve">Cálculos </w:t>
            </w:r>
            <w:r w:rsidR="00234D0F" w:rsidRPr="00CF3673">
              <w:rPr>
                <w:noProof/>
                <w:lang w:val="pt-PT"/>
              </w:rPr>
              <w:t>dos autores</w:t>
            </w:r>
            <w:r w:rsidRPr="00CF3673">
              <w:rPr>
                <w:noProof/>
                <w:lang w:val="pt-PT"/>
              </w:rPr>
              <w:t>s usando IIM 2012 e DNEAP (2006).</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A Tabela 3.12 apresenta </w:t>
      </w:r>
      <w:r w:rsidR="006A4724" w:rsidRPr="00CF3673">
        <w:t>limitações</w:t>
      </w:r>
      <w:r w:rsidRPr="00CF3673">
        <w:t xml:space="preserve"> que variam de acordo com o tamanho da empresa, usando os dados transversais IIM2012</w:t>
      </w:r>
      <w:r w:rsidRPr="00CF3673">
        <w:rPr>
          <w:rStyle w:val="FootnoteReference"/>
        </w:rPr>
        <w:footnoteReference w:id="22"/>
      </w:r>
      <w:r w:rsidRPr="00CF3673">
        <w:t>. As pequenas e micro empresas são especialmente muito constrangidas pelo crédito e acesso à terra. É um resultado comum as empresas menores que têm menos acesso aos mercados financeiros, algo que vamos olhar mais no Capítulo 9. Uma das razões por que as empresas menores têm menos acesso ao crédito é o facto de elas não terem muita garantia, tornando mais arriscado emprestar-lhes dinheiro. Pequenas e médias empresas sentem-se muito constrangidas pela corrupção, talvez porque eles podem precisar de mais utilitários públicos, forçando-os a lidar com as autoridades com mais frequência. Além disso, as empresas de médio porte sentem-se muito constrangidas por questões relacionadas ao comércio internacional (alfândegas e regulamentação do comércio, a instabilidade macroeconómica e corrupção relacionados com alfândegas) . Este é provável que seja um efeito de médias empresas que importam e exportam mais do que as micro e pequenas empresas, uma questão que será examinada mais em profundidade no Capítulo 7.</w:t>
      </w:r>
    </w:p>
    <w:p w:rsidR="00682A88" w:rsidRPr="00CF3673" w:rsidRDefault="00682A88" w:rsidP="00682A88">
      <w:pPr>
        <w:pStyle w:val="TableTitle"/>
        <w:rPr>
          <w:lang w:val="pt-PT"/>
        </w:rPr>
      </w:pPr>
      <w:r w:rsidRPr="00CF3673">
        <w:rPr>
          <w:lang w:val="pt-PT"/>
        </w:rPr>
        <w:t xml:space="preserve">Tabela 3.12: Restrições pelo tamanho da empresa, %  de empresas restritas </w:t>
      </w:r>
    </w:p>
    <w:tbl>
      <w:tblPr>
        <w:tblStyle w:val="StandardTable"/>
        <w:tblW w:w="8240" w:type="dxa"/>
        <w:jc w:val="center"/>
        <w:tblLook w:val="04E0" w:firstRow="1" w:lastRow="1" w:firstColumn="1" w:lastColumn="0" w:noHBand="0" w:noVBand="1"/>
      </w:tblPr>
      <w:tblGrid>
        <w:gridCol w:w="4400"/>
        <w:gridCol w:w="960"/>
        <w:gridCol w:w="960"/>
        <w:gridCol w:w="960"/>
        <w:gridCol w:w="960"/>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4400" w:type="dxa"/>
            <w:noWrap/>
            <w:hideMark/>
          </w:tcPr>
          <w:p w:rsidR="00682A88" w:rsidRPr="00CF3673" w:rsidRDefault="00682A88" w:rsidP="00682A88">
            <w:pPr>
              <w:rPr>
                <w:rFonts w:ascii="Calibri" w:eastAsia="Times New Roman" w:hAnsi="Calibri" w:cs="Times New Roman"/>
                <w:lang w:eastAsia="zh-CN"/>
              </w:rPr>
            </w:pPr>
          </w:p>
        </w:tc>
        <w:tc>
          <w:tcPr>
            <w:tcW w:w="960" w:type="dxa"/>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Todas</w:t>
            </w:r>
          </w:p>
        </w:tc>
        <w:tc>
          <w:tcPr>
            <w:tcW w:w="960" w:type="dxa"/>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960" w:type="dxa"/>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 xml:space="preserve">Pequena </w:t>
            </w:r>
          </w:p>
        </w:tc>
        <w:tc>
          <w:tcPr>
            <w:tcW w:w="960" w:type="dxa"/>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Média</w:t>
            </w:r>
          </w:p>
        </w:tc>
      </w:tr>
      <w:tr w:rsidR="00682A88" w:rsidRPr="00CF3673" w:rsidTr="00682A88">
        <w:trPr>
          <w:trHeight w:val="300"/>
          <w:jc w:val="center"/>
        </w:trPr>
        <w:tc>
          <w:tcPr>
            <w:tcW w:w="4400" w:type="dxa"/>
            <w:noWrap/>
            <w:vAlign w:val="bottom"/>
            <w:hideMark/>
          </w:tcPr>
          <w:p w:rsidR="00682A88" w:rsidRPr="00CF3673" w:rsidRDefault="00682A88" w:rsidP="00682A88">
            <w:pPr>
              <w:rPr>
                <w:rFonts w:ascii="Calibri" w:hAnsi="Calibri"/>
                <w:szCs w:val="20"/>
              </w:rPr>
            </w:pPr>
            <w:r w:rsidRPr="00CF3673">
              <w:rPr>
                <w:rFonts w:ascii="Calibri" w:hAnsi="Calibri"/>
                <w:szCs w:val="20"/>
              </w:rPr>
              <w:t>Acesso ao crédito estrangeiro</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54.6</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59.0</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49.5</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40.8</w:t>
            </w:r>
          </w:p>
        </w:tc>
      </w:tr>
      <w:tr w:rsidR="00682A88" w:rsidRPr="00CF3673" w:rsidTr="00682A88">
        <w:trPr>
          <w:trHeight w:val="300"/>
          <w:jc w:val="center"/>
        </w:trPr>
        <w:tc>
          <w:tcPr>
            <w:tcW w:w="4400" w:type="dxa"/>
            <w:noWrap/>
            <w:vAlign w:val="bottom"/>
            <w:hideMark/>
          </w:tcPr>
          <w:p w:rsidR="00682A88" w:rsidRPr="00CF3673" w:rsidRDefault="00682A88" w:rsidP="00682A88">
            <w:pPr>
              <w:rPr>
                <w:rFonts w:ascii="Calibri" w:hAnsi="Calibri"/>
                <w:szCs w:val="20"/>
              </w:rPr>
            </w:pPr>
            <w:r w:rsidRPr="00CF3673">
              <w:rPr>
                <w:rFonts w:ascii="Calibri" w:hAnsi="Calibri"/>
                <w:szCs w:val="20"/>
              </w:rPr>
              <w:t>Acesso ao crédito interno</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53.8</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58.9</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46.3</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35.1</w:t>
            </w:r>
          </w:p>
        </w:tc>
      </w:tr>
      <w:tr w:rsidR="00682A88" w:rsidRPr="00CF3673" w:rsidTr="00682A88">
        <w:trPr>
          <w:trHeight w:val="300"/>
          <w:jc w:val="center"/>
        </w:trPr>
        <w:tc>
          <w:tcPr>
            <w:tcW w:w="4400" w:type="dxa"/>
            <w:noWrap/>
            <w:vAlign w:val="bottom"/>
            <w:hideMark/>
          </w:tcPr>
          <w:p w:rsidR="00682A88" w:rsidRPr="00CF3673" w:rsidRDefault="00682A88" w:rsidP="00682A88">
            <w:pPr>
              <w:rPr>
                <w:rFonts w:ascii="Calibri" w:hAnsi="Calibri"/>
                <w:szCs w:val="20"/>
              </w:rPr>
            </w:pPr>
            <w:r w:rsidRPr="00CF3673">
              <w:rPr>
                <w:rFonts w:ascii="Calibri" w:hAnsi="Calibri"/>
                <w:szCs w:val="20"/>
              </w:rPr>
              <w:t>Custo de financiamento  (</w:t>
            </w:r>
            <w:proofErr w:type="spellStart"/>
            <w:r w:rsidRPr="00CF3673">
              <w:rPr>
                <w:rFonts w:ascii="Calibri" w:hAnsi="Calibri"/>
                <w:szCs w:val="20"/>
              </w:rPr>
              <w:t>ex.taxas</w:t>
            </w:r>
            <w:proofErr w:type="spellEnd"/>
            <w:r w:rsidRPr="00CF3673">
              <w:rPr>
                <w:rFonts w:ascii="Calibri" w:hAnsi="Calibri"/>
                <w:szCs w:val="20"/>
              </w:rPr>
              <w:t xml:space="preserve"> de juro)</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52.6</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52.5</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52.2</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54.4</w:t>
            </w:r>
          </w:p>
        </w:tc>
      </w:tr>
      <w:tr w:rsidR="00682A88" w:rsidRPr="00CF3673" w:rsidTr="00682A88">
        <w:trPr>
          <w:trHeight w:val="300"/>
          <w:jc w:val="center"/>
        </w:trPr>
        <w:tc>
          <w:tcPr>
            <w:tcW w:w="4400" w:type="dxa"/>
            <w:noWrap/>
            <w:vAlign w:val="bottom"/>
            <w:hideMark/>
          </w:tcPr>
          <w:p w:rsidR="00682A88" w:rsidRPr="00CF3673" w:rsidRDefault="00682A88" w:rsidP="00682A88">
            <w:pPr>
              <w:rPr>
                <w:rFonts w:ascii="Calibri" w:hAnsi="Calibri"/>
                <w:szCs w:val="20"/>
              </w:rPr>
            </w:pPr>
            <w:r w:rsidRPr="00CF3673">
              <w:rPr>
                <w:rFonts w:ascii="Calibri" w:hAnsi="Calibri"/>
                <w:szCs w:val="20"/>
              </w:rPr>
              <w:t>Acesso à terra</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51.9</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54.2</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47.5</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44.1</w:t>
            </w:r>
          </w:p>
        </w:tc>
      </w:tr>
      <w:tr w:rsidR="00682A88" w:rsidRPr="00CF3673" w:rsidTr="00682A88">
        <w:trPr>
          <w:trHeight w:val="300"/>
          <w:jc w:val="center"/>
        </w:trPr>
        <w:tc>
          <w:tcPr>
            <w:tcW w:w="4400" w:type="dxa"/>
            <w:noWrap/>
            <w:vAlign w:val="bottom"/>
            <w:hideMark/>
          </w:tcPr>
          <w:p w:rsidR="00682A88" w:rsidRPr="00CF3673" w:rsidRDefault="00682A88" w:rsidP="00682A88">
            <w:pPr>
              <w:rPr>
                <w:rFonts w:ascii="Calibri" w:hAnsi="Calibri"/>
                <w:szCs w:val="20"/>
              </w:rPr>
            </w:pPr>
            <w:r w:rsidRPr="00CF3673">
              <w:rPr>
                <w:rFonts w:ascii="Calibri" w:hAnsi="Calibri"/>
                <w:szCs w:val="20"/>
              </w:rPr>
              <w:t>Abertura aos mercados internacionais</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47.3</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49.8</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40.6</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47.1</w:t>
            </w:r>
          </w:p>
        </w:tc>
      </w:tr>
      <w:tr w:rsidR="00682A88" w:rsidRPr="00CF3673" w:rsidTr="00682A88">
        <w:trPr>
          <w:trHeight w:val="300"/>
          <w:jc w:val="center"/>
        </w:trPr>
        <w:tc>
          <w:tcPr>
            <w:tcW w:w="4400" w:type="dxa"/>
            <w:noWrap/>
            <w:vAlign w:val="bottom"/>
            <w:hideMark/>
          </w:tcPr>
          <w:p w:rsidR="00682A88" w:rsidRPr="00CF3673" w:rsidRDefault="00682A88" w:rsidP="00682A88">
            <w:pPr>
              <w:rPr>
                <w:rFonts w:ascii="Calibri" w:hAnsi="Calibri"/>
                <w:szCs w:val="20"/>
              </w:rPr>
            </w:pPr>
            <w:r w:rsidRPr="00CF3673">
              <w:rPr>
                <w:rFonts w:ascii="Calibri" w:hAnsi="Calibri"/>
                <w:szCs w:val="20"/>
              </w:rPr>
              <w:t>Corrupção geral</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47.2</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44.4</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52.3</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55.9</w:t>
            </w:r>
          </w:p>
        </w:tc>
      </w:tr>
      <w:tr w:rsidR="00682A88" w:rsidRPr="00CF3673" w:rsidTr="00682A88">
        <w:trPr>
          <w:trHeight w:val="300"/>
          <w:jc w:val="center"/>
        </w:trPr>
        <w:tc>
          <w:tcPr>
            <w:tcW w:w="4400" w:type="dxa"/>
            <w:noWrap/>
            <w:vAlign w:val="bottom"/>
            <w:hideMark/>
          </w:tcPr>
          <w:p w:rsidR="00682A88" w:rsidRPr="00CF3673" w:rsidRDefault="00682A88" w:rsidP="00682A88">
            <w:pPr>
              <w:rPr>
                <w:rFonts w:ascii="Calibri" w:hAnsi="Calibri"/>
                <w:szCs w:val="20"/>
              </w:rPr>
            </w:pPr>
            <w:r w:rsidRPr="00CF3673">
              <w:rPr>
                <w:rFonts w:ascii="Calibri" w:hAnsi="Calibri"/>
                <w:szCs w:val="20"/>
              </w:rPr>
              <w:t xml:space="preserve">Concorrência de </w:t>
            </w:r>
            <w:r w:rsidR="006A4724" w:rsidRPr="00CF3673">
              <w:rPr>
                <w:rFonts w:ascii="Calibri" w:hAnsi="Calibri"/>
                <w:szCs w:val="20"/>
              </w:rPr>
              <w:t>importações</w:t>
            </w:r>
            <w:r w:rsidRPr="00CF3673">
              <w:rPr>
                <w:rFonts w:ascii="Calibri" w:hAnsi="Calibri"/>
                <w:szCs w:val="20"/>
              </w:rPr>
              <w:t xml:space="preserve"> ilegais/contrabando</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46.2</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45.2</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46.2</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52.4</w:t>
            </w:r>
          </w:p>
        </w:tc>
      </w:tr>
      <w:tr w:rsidR="00682A88" w:rsidRPr="00CF3673" w:rsidTr="00682A88">
        <w:trPr>
          <w:trHeight w:val="300"/>
          <w:jc w:val="center"/>
        </w:trPr>
        <w:tc>
          <w:tcPr>
            <w:tcW w:w="4400" w:type="dxa"/>
            <w:noWrap/>
            <w:vAlign w:val="bottom"/>
            <w:hideMark/>
          </w:tcPr>
          <w:p w:rsidR="00682A88" w:rsidRPr="00CF3673" w:rsidRDefault="00682A88" w:rsidP="00682A88">
            <w:pPr>
              <w:rPr>
                <w:rFonts w:ascii="Calibri" w:hAnsi="Calibri"/>
                <w:szCs w:val="20"/>
              </w:rPr>
            </w:pPr>
            <w:r w:rsidRPr="00CF3673">
              <w:rPr>
                <w:rFonts w:ascii="Calibri" w:hAnsi="Calibri"/>
                <w:szCs w:val="20"/>
              </w:rPr>
              <w:t>Acesso aos serviços de apoio às empresas</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46.2</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46.9</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46.8</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39.1</w:t>
            </w:r>
          </w:p>
        </w:tc>
      </w:tr>
      <w:tr w:rsidR="00682A88" w:rsidRPr="00CF3673" w:rsidTr="00682A88">
        <w:trPr>
          <w:trHeight w:val="300"/>
          <w:jc w:val="center"/>
        </w:trPr>
        <w:tc>
          <w:tcPr>
            <w:tcW w:w="4400" w:type="dxa"/>
            <w:noWrap/>
            <w:vAlign w:val="bottom"/>
            <w:hideMark/>
          </w:tcPr>
          <w:p w:rsidR="00682A88" w:rsidRPr="00CF3673" w:rsidRDefault="00682A88" w:rsidP="00682A88">
            <w:pPr>
              <w:rPr>
                <w:rFonts w:ascii="Calibri" w:hAnsi="Calibri"/>
                <w:szCs w:val="20"/>
              </w:rPr>
            </w:pPr>
            <w:r w:rsidRPr="00CF3673">
              <w:rPr>
                <w:rFonts w:ascii="Calibri" w:hAnsi="Calibri"/>
                <w:szCs w:val="20"/>
              </w:rPr>
              <w:t>Crime, roubo e desordem</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45.8</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45.7</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44.4</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50.8</w:t>
            </w:r>
          </w:p>
        </w:tc>
      </w:tr>
      <w:tr w:rsidR="00682A88" w:rsidRPr="00CF3673" w:rsidTr="00682A88">
        <w:trPr>
          <w:trHeight w:val="300"/>
          <w:jc w:val="center"/>
        </w:trPr>
        <w:tc>
          <w:tcPr>
            <w:tcW w:w="4400" w:type="dxa"/>
            <w:noWrap/>
            <w:vAlign w:val="bottom"/>
            <w:hideMark/>
          </w:tcPr>
          <w:p w:rsidR="00682A88" w:rsidRPr="00CF3673" w:rsidRDefault="00682A88" w:rsidP="00682A88">
            <w:pPr>
              <w:rPr>
                <w:rFonts w:ascii="Calibri" w:hAnsi="Calibri"/>
                <w:szCs w:val="20"/>
              </w:rPr>
            </w:pPr>
            <w:r w:rsidRPr="00CF3673">
              <w:rPr>
                <w:rFonts w:ascii="Calibri" w:hAnsi="Calibri"/>
                <w:szCs w:val="20"/>
              </w:rPr>
              <w:t>Administração aduaneira e regulação do comércio</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42.5</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38.5</w:t>
            </w:r>
          </w:p>
        </w:tc>
        <w:tc>
          <w:tcPr>
            <w:tcW w:w="960" w:type="dxa"/>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43.9</w:t>
            </w:r>
          </w:p>
        </w:tc>
        <w:tc>
          <w:tcPr>
            <w:tcW w:w="960" w:type="dxa"/>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56.0</w:t>
            </w:r>
          </w:p>
        </w:tc>
      </w:tr>
      <w:tr w:rsidR="00682A88" w:rsidRPr="00CF3673" w:rsidTr="00682A88">
        <w:trPr>
          <w:trHeight w:val="300"/>
          <w:jc w:val="center"/>
        </w:trPr>
        <w:tc>
          <w:tcPr>
            <w:tcW w:w="4400" w:type="dxa"/>
            <w:tcBorders>
              <w:bottom w:val="nil"/>
            </w:tcBorders>
            <w:noWrap/>
            <w:vAlign w:val="bottom"/>
            <w:hideMark/>
          </w:tcPr>
          <w:p w:rsidR="00682A88" w:rsidRPr="00CF3673" w:rsidRDefault="00682A88" w:rsidP="006A4724">
            <w:pPr>
              <w:rPr>
                <w:rFonts w:ascii="Calibri" w:hAnsi="Calibri"/>
                <w:szCs w:val="20"/>
              </w:rPr>
            </w:pPr>
            <w:r w:rsidRPr="00CF3673">
              <w:rPr>
                <w:rFonts w:ascii="Calibri" w:hAnsi="Calibri"/>
                <w:szCs w:val="20"/>
              </w:rPr>
              <w:lastRenderedPageBreak/>
              <w:t xml:space="preserve">Instabilidade </w:t>
            </w:r>
            <w:proofErr w:type="spellStart"/>
            <w:r w:rsidRPr="00CF3673">
              <w:rPr>
                <w:rFonts w:ascii="Calibri" w:hAnsi="Calibri"/>
                <w:szCs w:val="20"/>
              </w:rPr>
              <w:t>Macroec</w:t>
            </w:r>
            <w:r w:rsidR="006A4724" w:rsidRPr="00CF3673">
              <w:rPr>
                <w:rFonts w:ascii="Calibri" w:hAnsi="Calibri"/>
                <w:szCs w:val="20"/>
              </w:rPr>
              <w:t>onomica</w:t>
            </w:r>
            <w:proofErr w:type="spellEnd"/>
            <w:r w:rsidRPr="00CF3673">
              <w:rPr>
                <w:rFonts w:ascii="Calibri" w:hAnsi="Calibri"/>
                <w:szCs w:val="20"/>
              </w:rPr>
              <w:t xml:space="preserve"> (</w:t>
            </w:r>
            <w:r w:rsidR="006A4724" w:rsidRPr="00CF3673">
              <w:rPr>
                <w:rFonts w:ascii="Calibri" w:hAnsi="Calibri"/>
                <w:szCs w:val="20"/>
              </w:rPr>
              <w:t xml:space="preserve">taxa de </w:t>
            </w:r>
            <w:proofErr w:type="spellStart"/>
            <w:r w:rsidRPr="00CF3673">
              <w:rPr>
                <w:rFonts w:ascii="Calibri" w:hAnsi="Calibri"/>
                <w:szCs w:val="20"/>
              </w:rPr>
              <w:t>infl</w:t>
            </w:r>
            <w:proofErr w:type="spellEnd"/>
            <w:r w:rsidR="006A4724" w:rsidRPr="00CF3673">
              <w:rPr>
                <w:rFonts w:ascii="Calibri" w:hAnsi="Calibri"/>
                <w:szCs w:val="20"/>
              </w:rPr>
              <w:t xml:space="preserve"> e </w:t>
            </w:r>
            <w:r w:rsidR="00234D0F" w:rsidRPr="00CF3673">
              <w:rPr>
                <w:rFonts w:ascii="Calibri" w:hAnsi="Calibri"/>
                <w:szCs w:val="20"/>
              </w:rPr>
              <w:t>de cambio</w:t>
            </w:r>
            <w:r w:rsidRPr="00CF3673">
              <w:rPr>
                <w:rFonts w:ascii="Calibri" w:hAnsi="Calibri"/>
                <w:szCs w:val="20"/>
              </w:rPr>
              <w:t>)</w:t>
            </w:r>
          </w:p>
        </w:tc>
        <w:tc>
          <w:tcPr>
            <w:tcW w:w="960" w:type="dxa"/>
            <w:tcBorders>
              <w:bottom w:val="nil"/>
            </w:tcBorders>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42.1</w:t>
            </w:r>
          </w:p>
        </w:tc>
        <w:tc>
          <w:tcPr>
            <w:tcW w:w="960" w:type="dxa"/>
            <w:tcBorders>
              <w:bottom w:val="nil"/>
            </w:tcBorders>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39.2</w:t>
            </w:r>
          </w:p>
        </w:tc>
        <w:tc>
          <w:tcPr>
            <w:tcW w:w="960" w:type="dxa"/>
            <w:tcBorders>
              <w:bottom w:val="nil"/>
            </w:tcBorders>
            <w:noWrap/>
            <w:vAlign w:val="bottom"/>
            <w:hideMark/>
          </w:tcPr>
          <w:p w:rsidR="00682A88" w:rsidRPr="00CF3673" w:rsidRDefault="00682A88" w:rsidP="00682A88">
            <w:pPr>
              <w:jc w:val="center"/>
              <w:rPr>
                <w:rFonts w:ascii="Calibri" w:hAnsi="Calibri"/>
                <w:b/>
                <w:bCs/>
                <w:szCs w:val="20"/>
              </w:rPr>
            </w:pPr>
            <w:r w:rsidRPr="00CF3673">
              <w:rPr>
                <w:rFonts w:ascii="Calibri" w:hAnsi="Calibri"/>
                <w:b/>
                <w:bCs/>
                <w:szCs w:val="20"/>
              </w:rPr>
              <w:t>47.1</w:t>
            </w:r>
          </w:p>
        </w:tc>
        <w:tc>
          <w:tcPr>
            <w:tcW w:w="960" w:type="dxa"/>
            <w:tcBorders>
              <w:bottom w:val="nil"/>
            </w:tcBorders>
            <w:noWrap/>
            <w:vAlign w:val="bottom"/>
            <w:hideMark/>
          </w:tcPr>
          <w:p w:rsidR="00682A88" w:rsidRPr="00CF3673" w:rsidRDefault="00682A88" w:rsidP="00682A88">
            <w:pPr>
              <w:jc w:val="center"/>
              <w:rPr>
                <w:rFonts w:ascii="Calibri" w:hAnsi="Calibri"/>
                <w:szCs w:val="20"/>
              </w:rPr>
            </w:pPr>
            <w:r w:rsidRPr="00CF3673">
              <w:rPr>
                <w:rFonts w:ascii="Calibri" w:hAnsi="Calibri"/>
                <w:szCs w:val="20"/>
              </w:rPr>
              <w:t>48.3</w:t>
            </w:r>
          </w:p>
        </w:tc>
      </w:tr>
      <w:tr w:rsidR="00682A88" w:rsidRPr="00CF3673" w:rsidTr="00682A88">
        <w:trPr>
          <w:trHeight w:val="300"/>
          <w:jc w:val="center"/>
        </w:trPr>
        <w:tc>
          <w:tcPr>
            <w:tcW w:w="4400" w:type="dxa"/>
            <w:tcBorders>
              <w:top w:val="nil"/>
              <w:bottom w:val="single" w:sz="4" w:space="0" w:color="auto"/>
            </w:tcBorders>
            <w:noWrap/>
            <w:vAlign w:val="bottom"/>
          </w:tcPr>
          <w:p w:rsidR="00682A88" w:rsidRPr="00CF3673" w:rsidRDefault="00682A88" w:rsidP="00234D0F">
            <w:pPr>
              <w:rPr>
                <w:rFonts w:ascii="Calibri" w:hAnsi="Calibri"/>
                <w:szCs w:val="20"/>
              </w:rPr>
            </w:pPr>
            <w:r w:rsidRPr="00CF3673">
              <w:rPr>
                <w:rFonts w:ascii="Calibri" w:hAnsi="Calibri"/>
                <w:szCs w:val="20"/>
              </w:rPr>
              <w:t>Corrupção relacionada com as alfândegas</w:t>
            </w:r>
          </w:p>
        </w:tc>
        <w:tc>
          <w:tcPr>
            <w:tcW w:w="960" w:type="dxa"/>
            <w:tcBorders>
              <w:top w:val="nil"/>
              <w:bottom w:val="single" w:sz="4" w:space="0" w:color="auto"/>
            </w:tcBorders>
            <w:noWrap/>
            <w:vAlign w:val="bottom"/>
          </w:tcPr>
          <w:p w:rsidR="00682A88" w:rsidRPr="00CF3673" w:rsidRDefault="00682A88" w:rsidP="00682A88">
            <w:pPr>
              <w:jc w:val="center"/>
              <w:rPr>
                <w:rFonts w:ascii="Calibri" w:hAnsi="Calibri"/>
                <w:szCs w:val="20"/>
              </w:rPr>
            </w:pPr>
            <w:r w:rsidRPr="00CF3673">
              <w:rPr>
                <w:rFonts w:ascii="Calibri" w:hAnsi="Calibri"/>
                <w:szCs w:val="20"/>
              </w:rPr>
              <w:t>42.1</w:t>
            </w:r>
          </w:p>
        </w:tc>
        <w:tc>
          <w:tcPr>
            <w:tcW w:w="960" w:type="dxa"/>
            <w:tcBorders>
              <w:top w:val="nil"/>
              <w:bottom w:val="single" w:sz="4" w:space="0" w:color="auto"/>
            </w:tcBorders>
            <w:noWrap/>
            <w:vAlign w:val="bottom"/>
          </w:tcPr>
          <w:p w:rsidR="00682A88" w:rsidRPr="00CF3673" w:rsidRDefault="00682A88" w:rsidP="00682A88">
            <w:pPr>
              <w:jc w:val="center"/>
              <w:rPr>
                <w:rFonts w:ascii="Calibri" w:hAnsi="Calibri"/>
                <w:szCs w:val="20"/>
              </w:rPr>
            </w:pPr>
            <w:r w:rsidRPr="00CF3673">
              <w:rPr>
                <w:rFonts w:ascii="Calibri" w:hAnsi="Calibri"/>
                <w:szCs w:val="20"/>
              </w:rPr>
              <w:t>37.3</w:t>
            </w:r>
          </w:p>
        </w:tc>
        <w:tc>
          <w:tcPr>
            <w:tcW w:w="960" w:type="dxa"/>
            <w:tcBorders>
              <w:top w:val="nil"/>
              <w:bottom w:val="single" w:sz="4" w:space="0" w:color="auto"/>
            </w:tcBorders>
            <w:noWrap/>
            <w:vAlign w:val="bottom"/>
          </w:tcPr>
          <w:p w:rsidR="00682A88" w:rsidRPr="00CF3673" w:rsidRDefault="00682A88" w:rsidP="00682A88">
            <w:pPr>
              <w:jc w:val="center"/>
              <w:rPr>
                <w:rFonts w:ascii="Calibri" w:hAnsi="Calibri"/>
                <w:szCs w:val="20"/>
              </w:rPr>
            </w:pPr>
            <w:r w:rsidRPr="00CF3673">
              <w:rPr>
                <w:rFonts w:ascii="Calibri" w:hAnsi="Calibri"/>
                <w:szCs w:val="20"/>
              </w:rPr>
              <w:t>46.7</w:t>
            </w:r>
          </w:p>
        </w:tc>
        <w:tc>
          <w:tcPr>
            <w:tcW w:w="960" w:type="dxa"/>
            <w:tcBorders>
              <w:top w:val="nil"/>
              <w:bottom w:val="single" w:sz="4" w:space="0" w:color="auto"/>
            </w:tcBorders>
            <w:noWrap/>
            <w:vAlign w:val="bottom"/>
          </w:tcPr>
          <w:p w:rsidR="00682A88" w:rsidRPr="00CF3673" w:rsidRDefault="00682A88" w:rsidP="00682A88">
            <w:pPr>
              <w:jc w:val="center"/>
              <w:rPr>
                <w:rFonts w:ascii="Calibri" w:hAnsi="Calibri"/>
                <w:b/>
                <w:bCs/>
                <w:szCs w:val="20"/>
              </w:rPr>
            </w:pPr>
            <w:r w:rsidRPr="00CF3673">
              <w:rPr>
                <w:rFonts w:ascii="Calibri" w:hAnsi="Calibri"/>
                <w:b/>
                <w:bCs/>
                <w:szCs w:val="20"/>
              </w:rPr>
              <w:t>57.7</w:t>
            </w:r>
          </w:p>
        </w:tc>
      </w:tr>
      <w:tr w:rsidR="00682A88" w:rsidRPr="00CF3673" w:rsidTr="00682A88">
        <w:trPr>
          <w:trHeight w:val="300"/>
          <w:jc w:val="center"/>
        </w:trPr>
        <w:tc>
          <w:tcPr>
            <w:tcW w:w="4400" w:type="dxa"/>
            <w:tcBorders>
              <w:top w:val="single" w:sz="4" w:space="0" w:color="auto"/>
              <w:bottom w:val="double" w:sz="4" w:space="0" w:color="auto"/>
            </w:tcBorders>
            <w:noWrap/>
            <w:vAlign w:val="bottom"/>
          </w:tcPr>
          <w:p w:rsidR="00682A88" w:rsidRPr="00CF3673" w:rsidRDefault="00682A88" w:rsidP="00682A88">
            <w:r w:rsidRPr="00CF3673">
              <w:t xml:space="preserve">Número de </w:t>
            </w:r>
            <w:r w:rsidR="006A4724" w:rsidRPr="00CF3673">
              <w:t>observações</w:t>
            </w:r>
          </w:p>
        </w:tc>
        <w:tc>
          <w:tcPr>
            <w:tcW w:w="960" w:type="dxa"/>
            <w:tcBorders>
              <w:top w:val="single" w:sz="4" w:space="0" w:color="auto"/>
              <w:bottom w:val="double" w:sz="4" w:space="0" w:color="auto"/>
            </w:tcBorders>
            <w:noWrap/>
            <w:vAlign w:val="bottom"/>
          </w:tcPr>
          <w:p w:rsidR="00682A88" w:rsidRPr="00CF3673" w:rsidRDefault="00682A88" w:rsidP="00682A88">
            <w:pPr>
              <w:jc w:val="center"/>
            </w:pPr>
            <w:r w:rsidRPr="00CF3673">
              <w:t>761</w:t>
            </w:r>
          </w:p>
        </w:tc>
        <w:tc>
          <w:tcPr>
            <w:tcW w:w="960" w:type="dxa"/>
            <w:tcBorders>
              <w:top w:val="single" w:sz="4" w:space="0" w:color="auto"/>
              <w:bottom w:val="double" w:sz="4" w:space="0" w:color="auto"/>
            </w:tcBorders>
            <w:noWrap/>
            <w:vAlign w:val="bottom"/>
          </w:tcPr>
          <w:p w:rsidR="00682A88" w:rsidRPr="00CF3673" w:rsidRDefault="00682A88" w:rsidP="00682A88">
            <w:pPr>
              <w:jc w:val="center"/>
            </w:pPr>
            <w:r w:rsidRPr="00CF3673">
              <w:t>517</w:t>
            </w:r>
          </w:p>
        </w:tc>
        <w:tc>
          <w:tcPr>
            <w:tcW w:w="960" w:type="dxa"/>
            <w:tcBorders>
              <w:top w:val="single" w:sz="4" w:space="0" w:color="auto"/>
              <w:bottom w:val="double" w:sz="4" w:space="0" w:color="auto"/>
            </w:tcBorders>
            <w:noWrap/>
            <w:vAlign w:val="bottom"/>
          </w:tcPr>
          <w:p w:rsidR="00682A88" w:rsidRPr="00CF3673" w:rsidRDefault="00682A88" w:rsidP="00682A88">
            <w:pPr>
              <w:jc w:val="center"/>
            </w:pPr>
            <w:r w:rsidRPr="00CF3673">
              <w:t>178</w:t>
            </w:r>
          </w:p>
        </w:tc>
        <w:tc>
          <w:tcPr>
            <w:tcW w:w="960" w:type="dxa"/>
            <w:tcBorders>
              <w:top w:val="single" w:sz="4" w:space="0" w:color="auto"/>
              <w:bottom w:val="double" w:sz="4" w:space="0" w:color="auto"/>
            </w:tcBorders>
            <w:noWrap/>
            <w:vAlign w:val="bottom"/>
          </w:tcPr>
          <w:p w:rsidR="00682A88" w:rsidRPr="00CF3673" w:rsidRDefault="00682A88" w:rsidP="00682A88">
            <w:pPr>
              <w:jc w:val="center"/>
            </w:pPr>
            <w:r w:rsidRPr="00CF3673">
              <w:t>66</w:t>
            </w:r>
          </w:p>
        </w:tc>
      </w:tr>
      <w:tr w:rsidR="00682A88" w:rsidRPr="00CF3673" w:rsidTr="00682A88">
        <w:trPr>
          <w:trHeight w:val="300"/>
          <w:jc w:val="center"/>
        </w:trPr>
        <w:tc>
          <w:tcPr>
            <w:tcW w:w="8240" w:type="dxa"/>
            <w:gridSpan w:val="5"/>
            <w:tcBorders>
              <w:top w:val="double" w:sz="4" w:space="0" w:color="auto"/>
              <w:bottom w:val="nil"/>
            </w:tcBorders>
            <w:noWrap/>
            <w:vAlign w:val="bottom"/>
          </w:tcPr>
          <w:p w:rsidR="00682A88" w:rsidRPr="00CF3673" w:rsidRDefault="00682A88" w:rsidP="00682A88">
            <w:pPr>
              <w:pStyle w:val="Tablenote"/>
              <w:rPr>
                <w:color w:val="000000"/>
                <w:sz w:val="20"/>
                <w:lang w:val="pt-PT"/>
              </w:rPr>
            </w:pPr>
            <w:r w:rsidRPr="00CF3673">
              <w:rPr>
                <w:b/>
                <w:noProof/>
                <w:lang w:val="pt-PT"/>
              </w:rPr>
              <w:t>Nota</w:t>
            </w:r>
            <w:r w:rsidRPr="00CF3673">
              <w:rPr>
                <w:noProof/>
                <w:lang w:val="pt-PT"/>
              </w:rPr>
              <w:t xml:space="preserve">: Os factores problemáticos para a operação eo crescimento das empresas (pct. terem respondido "grande obstáculo" ou "sério obstáculo"). Números em negrito indicam que a restrição classificado entre os cinco primeiros anos dados. Painel equilibrado.  </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jc w:val="center"/>
        </w:trPr>
        <w:tc>
          <w:tcPr>
            <w:tcW w:w="8240" w:type="dxa"/>
            <w:gridSpan w:val="5"/>
            <w:tcBorders>
              <w:top w:val="nil"/>
              <w:bottom w:val="nil"/>
            </w:tcBorders>
            <w:noWrap/>
            <w:vAlign w:val="bottom"/>
          </w:tcPr>
          <w:p w:rsidR="00682A88" w:rsidRPr="00CF3673" w:rsidRDefault="00682A88" w:rsidP="00234D0F">
            <w:pPr>
              <w:pStyle w:val="Tablenote"/>
              <w:rPr>
                <w:noProof/>
                <w:lang w:val="pt-PT"/>
              </w:rPr>
            </w:pPr>
            <w:r w:rsidRPr="00CF3673">
              <w:rPr>
                <w:b/>
                <w:noProof/>
                <w:lang w:val="pt-PT"/>
              </w:rPr>
              <w:t xml:space="preserve">Fonte: </w:t>
            </w:r>
            <w:r w:rsidRPr="00CF3673">
              <w:rPr>
                <w:noProof/>
                <w:lang w:val="pt-PT"/>
              </w:rPr>
              <w:t xml:space="preserve">Cálculos </w:t>
            </w:r>
            <w:r w:rsidR="00234D0F" w:rsidRPr="00CF3673">
              <w:rPr>
                <w:noProof/>
                <w:lang w:val="pt-PT"/>
              </w:rPr>
              <w:t xml:space="preserve">dos autores </w:t>
            </w:r>
            <w:r w:rsidRPr="00CF3673">
              <w:rPr>
                <w:noProof/>
                <w:lang w:val="pt-PT"/>
              </w:rPr>
              <w:t>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As restrições percebidas por formalidade e nacionalidade do proprietário estão listadas na Tabela 3.13. Como outras micro empresas, as empresas informais são mais propensas a se sentir constrangidas por (falta de) acesso ao crédito do que as empresas formais (lembre-se que quase todas as empresas informais são micro empresas). As empresas informais também percebem abertura aos mercados internacionais como mais restritiva do que as empresas formais, talvez porque temem ser incapazes de competir com as baratas </w:t>
      </w:r>
      <w:r w:rsidR="006A4724" w:rsidRPr="00CF3673">
        <w:t>importações</w:t>
      </w:r>
      <w:r w:rsidRPr="00CF3673">
        <w:t xml:space="preserve"> chinesas ou Sul-Africanas .</w:t>
      </w:r>
    </w:p>
    <w:p w:rsidR="00682A88" w:rsidRPr="00CF3673" w:rsidRDefault="00682A88" w:rsidP="00682A88">
      <w:pPr>
        <w:spacing w:line="360" w:lineRule="auto"/>
        <w:jc w:val="both"/>
      </w:pPr>
      <w:r w:rsidRPr="00CF3673">
        <w:t>Empresas estrangeiras, em geral, sentem-se menos constrangidas do que as empresas moçambicanas, especialmente com relação ao crédito. Isso pode ser explicado pelo seu tamanho maior e sua maior rede de contactos no exterior - consulte o Capítulo 8, para uma discussão mais detalhada sobre a importância das redes sociais das empresas. A principal excepção é administração aduaneira e o comércio que são percebidas como mais restritiva por empresas estrangeiras. Isto é provavelmente porque as empresas estrangeiras negociam mais com o resto do mundo.</w:t>
      </w:r>
    </w:p>
    <w:p w:rsidR="00682A88" w:rsidRPr="00CF3673" w:rsidRDefault="00682A88" w:rsidP="00682A88">
      <w:pPr>
        <w:spacing w:line="360" w:lineRule="auto"/>
        <w:jc w:val="both"/>
        <w:rPr>
          <w:b/>
        </w:rPr>
      </w:pPr>
      <w:r w:rsidRPr="00CF3673">
        <w:rPr>
          <w:b/>
        </w:rPr>
        <w:t>Tabela 3.13 : Restrições percebidas por formalidade e nacionalidade do proprietário, % de empresas restritas</w:t>
      </w:r>
    </w:p>
    <w:tbl>
      <w:tblPr>
        <w:tblStyle w:val="StandardTable"/>
        <w:tblW w:w="0" w:type="auto"/>
        <w:jc w:val="center"/>
        <w:tblInd w:w="-306" w:type="dxa"/>
        <w:tblLayout w:type="fixed"/>
        <w:tblLook w:val="04E0" w:firstRow="1" w:lastRow="1" w:firstColumn="1" w:lastColumn="0" w:noHBand="0" w:noVBand="1"/>
      </w:tblPr>
      <w:tblGrid>
        <w:gridCol w:w="3987"/>
        <w:gridCol w:w="774"/>
        <w:gridCol w:w="910"/>
        <w:gridCol w:w="785"/>
        <w:gridCol w:w="1253"/>
        <w:gridCol w:w="1228"/>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3987" w:type="dxa"/>
            <w:noWrap/>
            <w:hideMark/>
          </w:tcPr>
          <w:p w:rsidR="00682A88" w:rsidRPr="00CF3673" w:rsidRDefault="00682A88" w:rsidP="00682A88">
            <w:pPr>
              <w:rPr>
                <w:rFonts w:ascii="Calibri" w:eastAsia="Times New Roman" w:hAnsi="Calibri" w:cs="Times New Roman"/>
                <w:lang w:eastAsia="zh-CN"/>
              </w:rPr>
            </w:pPr>
          </w:p>
        </w:tc>
        <w:tc>
          <w:tcPr>
            <w:tcW w:w="774" w:type="dxa"/>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 xml:space="preserve">Todas </w:t>
            </w:r>
          </w:p>
        </w:tc>
        <w:tc>
          <w:tcPr>
            <w:tcW w:w="910" w:type="dxa"/>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785" w:type="dxa"/>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Formal</w:t>
            </w:r>
          </w:p>
        </w:tc>
        <w:tc>
          <w:tcPr>
            <w:tcW w:w="1253" w:type="dxa"/>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Propriedade Moçambicana</w:t>
            </w:r>
          </w:p>
        </w:tc>
        <w:tc>
          <w:tcPr>
            <w:tcW w:w="1228" w:type="dxa"/>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Propriedade estrangeira</w:t>
            </w:r>
          </w:p>
        </w:tc>
      </w:tr>
      <w:tr w:rsidR="00682A88" w:rsidRPr="00CF3673" w:rsidTr="00682A88">
        <w:trPr>
          <w:trHeight w:val="300"/>
          <w:jc w:val="center"/>
        </w:trPr>
        <w:tc>
          <w:tcPr>
            <w:tcW w:w="3987" w:type="dxa"/>
            <w:noWrap/>
            <w:vAlign w:val="center"/>
            <w:hideMark/>
          </w:tcPr>
          <w:p w:rsidR="00682A88" w:rsidRPr="00CF3673" w:rsidRDefault="00682A88" w:rsidP="00682A88">
            <w:pPr>
              <w:rPr>
                <w:rFonts w:ascii="Calibri" w:hAnsi="Calibri"/>
                <w:szCs w:val="20"/>
              </w:rPr>
            </w:pPr>
            <w:r w:rsidRPr="00CF3673">
              <w:rPr>
                <w:rFonts w:ascii="Calibri" w:hAnsi="Calibri"/>
                <w:szCs w:val="20"/>
              </w:rPr>
              <w:t>Acesso ao crédito estrangeiro</w:t>
            </w:r>
          </w:p>
        </w:tc>
        <w:tc>
          <w:tcPr>
            <w:tcW w:w="774"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54.5</w:t>
            </w:r>
          </w:p>
        </w:tc>
        <w:tc>
          <w:tcPr>
            <w:tcW w:w="910"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54.3</w:t>
            </w:r>
          </w:p>
        </w:tc>
        <w:tc>
          <w:tcPr>
            <w:tcW w:w="785"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54.4</w:t>
            </w:r>
          </w:p>
        </w:tc>
        <w:tc>
          <w:tcPr>
            <w:tcW w:w="1253"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56.2</w:t>
            </w:r>
          </w:p>
        </w:tc>
        <w:tc>
          <w:tcPr>
            <w:tcW w:w="1228"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45.5</w:t>
            </w:r>
          </w:p>
        </w:tc>
      </w:tr>
      <w:tr w:rsidR="00682A88" w:rsidRPr="00CF3673" w:rsidTr="00682A88">
        <w:trPr>
          <w:trHeight w:val="300"/>
          <w:jc w:val="center"/>
        </w:trPr>
        <w:tc>
          <w:tcPr>
            <w:tcW w:w="3987" w:type="dxa"/>
            <w:noWrap/>
            <w:vAlign w:val="center"/>
            <w:hideMark/>
          </w:tcPr>
          <w:p w:rsidR="00682A88" w:rsidRPr="00CF3673" w:rsidRDefault="00682A88" w:rsidP="00682A88">
            <w:pPr>
              <w:rPr>
                <w:rFonts w:ascii="Calibri" w:hAnsi="Calibri"/>
                <w:szCs w:val="20"/>
              </w:rPr>
            </w:pPr>
            <w:r w:rsidRPr="00CF3673">
              <w:rPr>
                <w:rFonts w:ascii="Calibri" w:hAnsi="Calibri"/>
                <w:szCs w:val="20"/>
              </w:rPr>
              <w:t>Acesso ao crédito interno</w:t>
            </w:r>
          </w:p>
        </w:tc>
        <w:tc>
          <w:tcPr>
            <w:tcW w:w="774"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53.7</w:t>
            </w:r>
          </w:p>
        </w:tc>
        <w:tc>
          <w:tcPr>
            <w:tcW w:w="910"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63.7</w:t>
            </w:r>
          </w:p>
        </w:tc>
        <w:tc>
          <w:tcPr>
            <w:tcW w:w="785"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50.9</w:t>
            </w:r>
          </w:p>
        </w:tc>
        <w:tc>
          <w:tcPr>
            <w:tcW w:w="1253"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55.5</w:t>
            </w:r>
          </w:p>
        </w:tc>
        <w:tc>
          <w:tcPr>
            <w:tcW w:w="1228"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40.3</w:t>
            </w:r>
          </w:p>
        </w:tc>
      </w:tr>
      <w:tr w:rsidR="00682A88" w:rsidRPr="00CF3673" w:rsidTr="00682A88">
        <w:trPr>
          <w:trHeight w:val="300"/>
          <w:jc w:val="center"/>
        </w:trPr>
        <w:tc>
          <w:tcPr>
            <w:tcW w:w="3987" w:type="dxa"/>
            <w:noWrap/>
            <w:vAlign w:val="center"/>
            <w:hideMark/>
          </w:tcPr>
          <w:p w:rsidR="00682A88" w:rsidRPr="00CF3673" w:rsidRDefault="00682A88" w:rsidP="00682A88">
            <w:pPr>
              <w:rPr>
                <w:rFonts w:ascii="Calibri" w:hAnsi="Calibri"/>
                <w:szCs w:val="20"/>
              </w:rPr>
            </w:pPr>
            <w:r w:rsidRPr="00CF3673">
              <w:rPr>
                <w:rFonts w:ascii="Calibri" w:hAnsi="Calibri"/>
                <w:szCs w:val="20"/>
              </w:rPr>
              <w:t>Custo de financiamento (ex. taxas de juro)</w:t>
            </w:r>
          </w:p>
        </w:tc>
        <w:tc>
          <w:tcPr>
            <w:tcW w:w="774"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52.6</w:t>
            </w:r>
          </w:p>
        </w:tc>
        <w:tc>
          <w:tcPr>
            <w:tcW w:w="910"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60.2</w:t>
            </w:r>
          </w:p>
        </w:tc>
        <w:tc>
          <w:tcPr>
            <w:tcW w:w="785"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50.5</w:t>
            </w:r>
          </w:p>
        </w:tc>
        <w:tc>
          <w:tcPr>
            <w:tcW w:w="1253"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51.8</w:t>
            </w:r>
          </w:p>
        </w:tc>
        <w:tc>
          <w:tcPr>
            <w:tcW w:w="1228"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58.5</w:t>
            </w:r>
          </w:p>
        </w:tc>
      </w:tr>
      <w:tr w:rsidR="00682A88" w:rsidRPr="00CF3673" w:rsidTr="00682A88">
        <w:trPr>
          <w:trHeight w:val="300"/>
          <w:jc w:val="center"/>
        </w:trPr>
        <w:tc>
          <w:tcPr>
            <w:tcW w:w="3987" w:type="dxa"/>
            <w:noWrap/>
            <w:vAlign w:val="center"/>
            <w:hideMark/>
          </w:tcPr>
          <w:p w:rsidR="00682A88" w:rsidRPr="00CF3673" w:rsidRDefault="00682A88" w:rsidP="00682A88">
            <w:pPr>
              <w:rPr>
                <w:rFonts w:ascii="Calibri" w:hAnsi="Calibri"/>
                <w:szCs w:val="20"/>
              </w:rPr>
            </w:pPr>
            <w:r w:rsidRPr="00CF3673">
              <w:rPr>
                <w:rFonts w:ascii="Calibri" w:hAnsi="Calibri"/>
                <w:szCs w:val="20"/>
              </w:rPr>
              <w:t>Acesso à terra</w:t>
            </w:r>
          </w:p>
        </w:tc>
        <w:tc>
          <w:tcPr>
            <w:tcW w:w="774"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51.8</w:t>
            </w:r>
          </w:p>
        </w:tc>
        <w:tc>
          <w:tcPr>
            <w:tcW w:w="910"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60.1</w:t>
            </w:r>
          </w:p>
        </w:tc>
        <w:tc>
          <w:tcPr>
            <w:tcW w:w="785"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49.4</w:t>
            </w:r>
          </w:p>
        </w:tc>
        <w:tc>
          <w:tcPr>
            <w:tcW w:w="1253"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52.2</w:t>
            </w:r>
          </w:p>
        </w:tc>
        <w:tc>
          <w:tcPr>
            <w:tcW w:w="1228"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47.9</w:t>
            </w:r>
          </w:p>
        </w:tc>
      </w:tr>
      <w:tr w:rsidR="00682A88" w:rsidRPr="00CF3673" w:rsidTr="00682A88">
        <w:trPr>
          <w:trHeight w:val="300"/>
          <w:jc w:val="center"/>
        </w:trPr>
        <w:tc>
          <w:tcPr>
            <w:tcW w:w="3987" w:type="dxa"/>
            <w:noWrap/>
            <w:vAlign w:val="center"/>
            <w:hideMark/>
          </w:tcPr>
          <w:p w:rsidR="00682A88" w:rsidRPr="00CF3673" w:rsidRDefault="00682A88" w:rsidP="00682A88">
            <w:pPr>
              <w:rPr>
                <w:rFonts w:ascii="Calibri" w:hAnsi="Calibri"/>
                <w:szCs w:val="20"/>
              </w:rPr>
            </w:pPr>
            <w:r w:rsidRPr="00CF3673">
              <w:rPr>
                <w:rFonts w:ascii="Calibri" w:hAnsi="Calibri"/>
                <w:szCs w:val="20"/>
              </w:rPr>
              <w:t>Abertura aos mercados internacionais</w:t>
            </w:r>
          </w:p>
        </w:tc>
        <w:tc>
          <w:tcPr>
            <w:tcW w:w="774"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47.2</w:t>
            </w:r>
          </w:p>
        </w:tc>
        <w:tc>
          <w:tcPr>
            <w:tcW w:w="910"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54.4</w:t>
            </w:r>
          </w:p>
        </w:tc>
        <w:tc>
          <w:tcPr>
            <w:tcW w:w="785"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45.5</w:t>
            </w:r>
          </w:p>
        </w:tc>
        <w:tc>
          <w:tcPr>
            <w:tcW w:w="1253"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47.3</w:t>
            </w:r>
          </w:p>
        </w:tc>
        <w:tc>
          <w:tcPr>
            <w:tcW w:w="1228"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46.6</w:t>
            </w:r>
          </w:p>
        </w:tc>
      </w:tr>
      <w:tr w:rsidR="00682A88" w:rsidRPr="00CF3673" w:rsidTr="00682A88">
        <w:trPr>
          <w:trHeight w:val="300"/>
          <w:jc w:val="center"/>
        </w:trPr>
        <w:tc>
          <w:tcPr>
            <w:tcW w:w="3987" w:type="dxa"/>
            <w:noWrap/>
            <w:vAlign w:val="center"/>
            <w:hideMark/>
          </w:tcPr>
          <w:p w:rsidR="00682A88" w:rsidRPr="00CF3673" w:rsidRDefault="00682A88" w:rsidP="00682A88">
            <w:pPr>
              <w:rPr>
                <w:rFonts w:ascii="Calibri" w:hAnsi="Calibri"/>
                <w:szCs w:val="20"/>
              </w:rPr>
            </w:pPr>
            <w:r w:rsidRPr="00CF3673">
              <w:rPr>
                <w:rFonts w:ascii="Calibri" w:hAnsi="Calibri"/>
                <w:szCs w:val="20"/>
              </w:rPr>
              <w:t>Corrupção geral</w:t>
            </w:r>
          </w:p>
        </w:tc>
        <w:tc>
          <w:tcPr>
            <w:tcW w:w="774"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47.0</w:t>
            </w:r>
          </w:p>
        </w:tc>
        <w:tc>
          <w:tcPr>
            <w:tcW w:w="910"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40.3</w:t>
            </w:r>
          </w:p>
        </w:tc>
        <w:tc>
          <w:tcPr>
            <w:tcW w:w="785"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48.9</w:t>
            </w:r>
          </w:p>
        </w:tc>
        <w:tc>
          <w:tcPr>
            <w:tcW w:w="1253"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46.8</w:t>
            </w:r>
          </w:p>
        </w:tc>
        <w:tc>
          <w:tcPr>
            <w:tcW w:w="1228" w:type="dxa"/>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50.0</w:t>
            </w:r>
          </w:p>
        </w:tc>
      </w:tr>
      <w:tr w:rsidR="00682A88" w:rsidRPr="00CF3673" w:rsidTr="00682A88">
        <w:trPr>
          <w:trHeight w:val="300"/>
          <w:jc w:val="center"/>
        </w:trPr>
        <w:tc>
          <w:tcPr>
            <w:tcW w:w="3987" w:type="dxa"/>
            <w:noWrap/>
            <w:vAlign w:val="center"/>
            <w:hideMark/>
          </w:tcPr>
          <w:p w:rsidR="00682A88" w:rsidRPr="00CF3673" w:rsidRDefault="00682A88" w:rsidP="00682A88">
            <w:pPr>
              <w:rPr>
                <w:rFonts w:ascii="Calibri" w:hAnsi="Calibri"/>
                <w:szCs w:val="20"/>
              </w:rPr>
            </w:pPr>
            <w:r w:rsidRPr="00CF3673">
              <w:rPr>
                <w:rFonts w:ascii="Calibri" w:hAnsi="Calibri"/>
                <w:szCs w:val="20"/>
              </w:rPr>
              <w:t>Acesso a serviços de apoio às empresas</w:t>
            </w:r>
          </w:p>
        </w:tc>
        <w:tc>
          <w:tcPr>
            <w:tcW w:w="774"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46.1</w:t>
            </w:r>
          </w:p>
        </w:tc>
        <w:tc>
          <w:tcPr>
            <w:tcW w:w="910"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46.3</w:t>
            </w:r>
          </w:p>
        </w:tc>
        <w:tc>
          <w:tcPr>
            <w:tcW w:w="785"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46.0</w:t>
            </w:r>
          </w:p>
        </w:tc>
        <w:tc>
          <w:tcPr>
            <w:tcW w:w="1253"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46.4</w:t>
            </w:r>
          </w:p>
        </w:tc>
        <w:tc>
          <w:tcPr>
            <w:tcW w:w="1228"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45.3</w:t>
            </w:r>
          </w:p>
        </w:tc>
      </w:tr>
      <w:tr w:rsidR="00682A88" w:rsidRPr="00CF3673" w:rsidTr="00682A88">
        <w:trPr>
          <w:trHeight w:val="300"/>
          <w:jc w:val="center"/>
        </w:trPr>
        <w:tc>
          <w:tcPr>
            <w:tcW w:w="3987" w:type="dxa"/>
            <w:noWrap/>
            <w:vAlign w:val="center"/>
            <w:hideMark/>
          </w:tcPr>
          <w:p w:rsidR="00682A88" w:rsidRPr="00CF3673" w:rsidRDefault="00682A88" w:rsidP="00682A88">
            <w:pPr>
              <w:rPr>
                <w:rFonts w:ascii="Calibri" w:hAnsi="Calibri"/>
                <w:szCs w:val="20"/>
              </w:rPr>
            </w:pPr>
            <w:r w:rsidRPr="00CF3673">
              <w:rPr>
                <w:rFonts w:ascii="Calibri" w:hAnsi="Calibri"/>
                <w:szCs w:val="20"/>
              </w:rPr>
              <w:t xml:space="preserve">Concorrência de </w:t>
            </w:r>
            <w:r w:rsidR="006A4724" w:rsidRPr="00CF3673">
              <w:rPr>
                <w:rFonts w:ascii="Calibri" w:hAnsi="Calibri"/>
                <w:szCs w:val="20"/>
              </w:rPr>
              <w:t>importações</w:t>
            </w:r>
            <w:r w:rsidRPr="00CF3673">
              <w:rPr>
                <w:rFonts w:ascii="Calibri" w:hAnsi="Calibri"/>
                <w:szCs w:val="20"/>
              </w:rPr>
              <w:t xml:space="preserve"> ilegais/contrabando</w:t>
            </w:r>
          </w:p>
        </w:tc>
        <w:tc>
          <w:tcPr>
            <w:tcW w:w="774"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46.1</w:t>
            </w:r>
          </w:p>
        </w:tc>
        <w:tc>
          <w:tcPr>
            <w:tcW w:w="910"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49.3</w:t>
            </w:r>
          </w:p>
        </w:tc>
        <w:tc>
          <w:tcPr>
            <w:tcW w:w="785"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45.5</w:t>
            </w:r>
          </w:p>
        </w:tc>
        <w:tc>
          <w:tcPr>
            <w:tcW w:w="1253"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46.3</w:t>
            </w:r>
          </w:p>
        </w:tc>
        <w:tc>
          <w:tcPr>
            <w:tcW w:w="1228" w:type="dxa"/>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43.9</w:t>
            </w:r>
          </w:p>
        </w:tc>
      </w:tr>
      <w:tr w:rsidR="00682A88" w:rsidRPr="00CF3673" w:rsidTr="00682A88">
        <w:trPr>
          <w:trHeight w:val="300"/>
          <w:jc w:val="center"/>
        </w:trPr>
        <w:tc>
          <w:tcPr>
            <w:tcW w:w="3987" w:type="dxa"/>
            <w:tcBorders>
              <w:bottom w:val="nil"/>
            </w:tcBorders>
            <w:noWrap/>
            <w:vAlign w:val="center"/>
            <w:hideMark/>
          </w:tcPr>
          <w:p w:rsidR="00682A88" w:rsidRPr="00CF3673" w:rsidRDefault="00682A88" w:rsidP="00682A88">
            <w:pPr>
              <w:rPr>
                <w:rFonts w:ascii="Calibri" w:hAnsi="Calibri"/>
                <w:szCs w:val="20"/>
              </w:rPr>
            </w:pPr>
            <w:r w:rsidRPr="00CF3673">
              <w:rPr>
                <w:rFonts w:ascii="Calibri" w:hAnsi="Calibri"/>
                <w:szCs w:val="20"/>
              </w:rPr>
              <w:t>Crime, roubo e desordem</w:t>
            </w:r>
          </w:p>
        </w:tc>
        <w:tc>
          <w:tcPr>
            <w:tcW w:w="774" w:type="dxa"/>
            <w:tcBorders>
              <w:bottom w:val="nil"/>
            </w:tcBorders>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45.7</w:t>
            </w:r>
          </w:p>
        </w:tc>
        <w:tc>
          <w:tcPr>
            <w:tcW w:w="910" w:type="dxa"/>
            <w:tcBorders>
              <w:bottom w:val="nil"/>
            </w:tcBorders>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42.6</w:t>
            </w:r>
          </w:p>
        </w:tc>
        <w:tc>
          <w:tcPr>
            <w:tcW w:w="785" w:type="dxa"/>
            <w:tcBorders>
              <w:bottom w:val="nil"/>
            </w:tcBorders>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46.6</w:t>
            </w:r>
          </w:p>
        </w:tc>
        <w:tc>
          <w:tcPr>
            <w:tcW w:w="1253" w:type="dxa"/>
            <w:tcBorders>
              <w:bottom w:val="nil"/>
            </w:tcBorders>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46.5</w:t>
            </w:r>
          </w:p>
        </w:tc>
        <w:tc>
          <w:tcPr>
            <w:tcW w:w="1228" w:type="dxa"/>
            <w:tcBorders>
              <w:bottom w:val="nil"/>
            </w:tcBorders>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39.8</w:t>
            </w:r>
          </w:p>
        </w:tc>
      </w:tr>
      <w:tr w:rsidR="00682A88" w:rsidRPr="00CF3673" w:rsidTr="00682A88">
        <w:trPr>
          <w:trHeight w:val="300"/>
          <w:jc w:val="center"/>
        </w:trPr>
        <w:tc>
          <w:tcPr>
            <w:tcW w:w="3987" w:type="dxa"/>
            <w:tcBorders>
              <w:top w:val="nil"/>
              <w:bottom w:val="single" w:sz="4" w:space="0" w:color="auto"/>
            </w:tcBorders>
            <w:noWrap/>
            <w:vAlign w:val="center"/>
            <w:hideMark/>
          </w:tcPr>
          <w:p w:rsidR="00682A88" w:rsidRPr="00CF3673" w:rsidRDefault="00682A88" w:rsidP="00682A88">
            <w:pPr>
              <w:rPr>
                <w:rFonts w:ascii="Calibri" w:hAnsi="Calibri"/>
                <w:szCs w:val="20"/>
              </w:rPr>
            </w:pPr>
            <w:r w:rsidRPr="00CF3673">
              <w:rPr>
                <w:rFonts w:ascii="Calibri" w:hAnsi="Calibri"/>
                <w:szCs w:val="20"/>
              </w:rPr>
              <w:t>Administração aduaneira e regulação do comércio</w:t>
            </w:r>
          </w:p>
        </w:tc>
        <w:tc>
          <w:tcPr>
            <w:tcW w:w="774" w:type="dxa"/>
            <w:tcBorders>
              <w:top w:val="nil"/>
              <w:bottom w:val="single" w:sz="4" w:space="0" w:color="auto"/>
            </w:tcBorders>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42.7</w:t>
            </w:r>
          </w:p>
        </w:tc>
        <w:tc>
          <w:tcPr>
            <w:tcW w:w="910" w:type="dxa"/>
            <w:tcBorders>
              <w:top w:val="nil"/>
              <w:bottom w:val="single" w:sz="4" w:space="0" w:color="auto"/>
            </w:tcBorders>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27.3</w:t>
            </w:r>
          </w:p>
        </w:tc>
        <w:tc>
          <w:tcPr>
            <w:tcW w:w="785" w:type="dxa"/>
            <w:tcBorders>
              <w:top w:val="nil"/>
              <w:bottom w:val="single" w:sz="4" w:space="0" w:color="auto"/>
            </w:tcBorders>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45.9</w:t>
            </w:r>
          </w:p>
        </w:tc>
        <w:tc>
          <w:tcPr>
            <w:tcW w:w="1253" w:type="dxa"/>
            <w:tcBorders>
              <w:top w:val="nil"/>
              <w:bottom w:val="single" w:sz="4" w:space="0" w:color="auto"/>
            </w:tcBorders>
            <w:noWrap/>
            <w:vAlign w:val="center"/>
            <w:hideMark/>
          </w:tcPr>
          <w:p w:rsidR="00682A88" w:rsidRPr="00CF3673" w:rsidRDefault="00682A88" w:rsidP="00682A88">
            <w:pPr>
              <w:jc w:val="center"/>
              <w:rPr>
                <w:rFonts w:ascii="Calibri" w:hAnsi="Calibri"/>
                <w:szCs w:val="20"/>
              </w:rPr>
            </w:pPr>
            <w:r w:rsidRPr="00CF3673">
              <w:rPr>
                <w:rFonts w:ascii="Calibri" w:hAnsi="Calibri"/>
                <w:szCs w:val="20"/>
              </w:rPr>
              <w:t>40.5</w:t>
            </w:r>
          </w:p>
        </w:tc>
        <w:tc>
          <w:tcPr>
            <w:tcW w:w="1228" w:type="dxa"/>
            <w:tcBorders>
              <w:top w:val="nil"/>
              <w:bottom w:val="single" w:sz="4" w:space="0" w:color="auto"/>
            </w:tcBorders>
            <w:noWrap/>
            <w:vAlign w:val="center"/>
            <w:hideMark/>
          </w:tcPr>
          <w:p w:rsidR="00682A88" w:rsidRPr="00CF3673" w:rsidRDefault="00682A88" w:rsidP="00682A88">
            <w:pPr>
              <w:jc w:val="center"/>
              <w:rPr>
                <w:rFonts w:ascii="Calibri" w:hAnsi="Calibri"/>
                <w:b/>
                <w:bCs/>
                <w:szCs w:val="20"/>
              </w:rPr>
            </w:pPr>
            <w:r w:rsidRPr="00CF3673">
              <w:rPr>
                <w:rFonts w:ascii="Calibri" w:hAnsi="Calibri"/>
                <w:b/>
                <w:bCs/>
                <w:szCs w:val="20"/>
              </w:rPr>
              <w:t>54.2</w:t>
            </w:r>
          </w:p>
        </w:tc>
      </w:tr>
      <w:tr w:rsidR="00682A88" w:rsidRPr="00CF3673" w:rsidTr="00682A88">
        <w:trPr>
          <w:trHeight w:val="300"/>
          <w:jc w:val="center"/>
        </w:trPr>
        <w:tc>
          <w:tcPr>
            <w:tcW w:w="3987" w:type="dxa"/>
            <w:tcBorders>
              <w:top w:val="single" w:sz="4" w:space="0" w:color="auto"/>
              <w:bottom w:val="double" w:sz="4" w:space="0" w:color="auto"/>
            </w:tcBorders>
            <w:noWrap/>
            <w:vAlign w:val="center"/>
          </w:tcPr>
          <w:p w:rsidR="00682A88" w:rsidRPr="00CF3673" w:rsidRDefault="00682A88" w:rsidP="00682A88">
            <w:pPr>
              <w:rPr>
                <w:rFonts w:ascii="Calibri" w:hAnsi="Calibri"/>
                <w:szCs w:val="20"/>
              </w:rPr>
            </w:pPr>
            <w:r w:rsidRPr="00CF3673">
              <w:rPr>
                <w:rFonts w:ascii="Calibri" w:eastAsia="Times New Roman" w:hAnsi="Calibri" w:cs="Times New Roman"/>
                <w:lang w:eastAsia="zh-CN"/>
              </w:rPr>
              <w:lastRenderedPageBreak/>
              <w:t xml:space="preserve">Número de </w:t>
            </w:r>
            <w:r w:rsidR="006A4724" w:rsidRPr="00CF3673">
              <w:rPr>
                <w:rFonts w:ascii="Calibri" w:eastAsia="Times New Roman" w:hAnsi="Calibri" w:cs="Times New Roman"/>
                <w:lang w:eastAsia="zh-CN"/>
              </w:rPr>
              <w:t>observações</w:t>
            </w:r>
          </w:p>
        </w:tc>
        <w:tc>
          <w:tcPr>
            <w:tcW w:w="774" w:type="dxa"/>
            <w:tcBorders>
              <w:top w:val="single" w:sz="4" w:space="0" w:color="auto"/>
              <w:bottom w:val="double" w:sz="4" w:space="0" w:color="auto"/>
            </w:tcBorders>
            <w:noWrap/>
            <w:vAlign w:val="center"/>
          </w:tcPr>
          <w:p w:rsidR="00682A88" w:rsidRPr="00CF3673" w:rsidRDefault="00682A88" w:rsidP="00682A88">
            <w:pPr>
              <w:jc w:val="center"/>
            </w:pPr>
            <w:r w:rsidRPr="00CF3673">
              <w:t>758</w:t>
            </w:r>
          </w:p>
        </w:tc>
        <w:tc>
          <w:tcPr>
            <w:tcW w:w="910" w:type="dxa"/>
            <w:tcBorders>
              <w:top w:val="single" w:sz="4" w:space="0" w:color="auto"/>
              <w:bottom w:val="double" w:sz="4" w:space="0" w:color="auto"/>
            </w:tcBorders>
            <w:noWrap/>
            <w:vAlign w:val="center"/>
          </w:tcPr>
          <w:p w:rsidR="00682A88" w:rsidRPr="00CF3673" w:rsidRDefault="00682A88" w:rsidP="00682A88">
            <w:pPr>
              <w:jc w:val="center"/>
            </w:pPr>
            <w:r w:rsidRPr="00CF3673">
              <w:t>166</w:t>
            </w:r>
          </w:p>
        </w:tc>
        <w:tc>
          <w:tcPr>
            <w:tcW w:w="785" w:type="dxa"/>
            <w:tcBorders>
              <w:top w:val="single" w:sz="4" w:space="0" w:color="auto"/>
              <w:bottom w:val="double" w:sz="4" w:space="0" w:color="auto"/>
            </w:tcBorders>
            <w:noWrap/>
            <w:vAlign w:val="center"/>
          </w:tcPr>
          <w:p w:rsidR="00682A88" w:rsidRPr="00CF3673" w:rsidRDefault="00682A88" w:rsidP="00682A88">
            <w:pPr>
              <w:jc w:val="center"/>
            </w:pPr>
            <w:r w:rsidRPr="00CF3673">
              <w:t>593</w:t>
            </w:r>
          </w:p>
        </w:tc>
        <w:tc>
          <w:tcPr>
            <w:tcW w:w="1253" w:type="dxa"/>
            <w:tcBorders>
              <w:top w:val="single" w:sz="4" w:space="0" w:color="auto"/>
              <w:bottom w:val="double" w:sz="4" w:space="0" w:color="auto"/>
            </w:tcBorders>
            <w:noWrap/>
            <w:vAlign w:val="center"/>
          </w:tcPr>
          <w:p w:rsidR="00682A88" w:rsidRPr="00CF3673" w:rsidRDefault="00682A88" w:rsidP="00682A88">
            <w:pPr>
              <w:jc w:val="center"/>
            </w:pPr>
            <w:r w:rsidRPr="00CF3673">
              <w:t>676</w:t>
            </w:r>
          </w:p>
        </w:tc>
        <w:tc>
          <w:tcPr>
            <w:tcW w:w="1228" w:type="dxa"/>
            <w:tcBorders>
              <w:top w:val="single" w:sz="4" w:space="0" w:color="auto"/>
              <w:bottom w:val="double" w:sz="4" w:space="0" w:color="auto"/>
            </w:tcBorders>
            <w:noWrap/>
            <w:vAlign w:val="center"/>
          </w:tcPr>
          <w:p w:rsidR="00682A88" w:rsidRPr="00CF3673" w:rsidRDefault="00682A88" w:rsidP="00682A88">
            <w:pPr>
              <w:jc w:val="center"/>
            </w:pPr>
            <w:r w:rsidRPr="00CF3673">
              <w:t>84</w:t>
            </w:r>
          </w:p>
        </w:tc>
      </w:tr>
      <w:tr w:rsidR="00682A88" w:rsidRPr="00CF3673" w:rsidTr="00682A88">
        <w:trPr>
          <w:trHeight w:val="300"/>
          <w:jc w:val="center"/>
        </w:trPr>
        <w:tc>
          <w:tcPr>
            <w:tcW w:w="8937" w:type="dxa"/>
            <w:gridSpan w:val="6"/>
            <w:tcBorders>
              <w:top w:val="double" w:sz="4" w:space="0" w:color="auto"/>
              <w:bottom w:val="nil"/>
            </w:tcBorders>
            <w:noWrap/>
            <w:vAlign w:val="bottom"/>
          </w:tcPr>
          <w:p w:rsidR="00682A88" w:rsidRPr="00CF3673" w:rsidRDefault="00682A88" w:rsidP="00682A88">
            <w:pPr>
              <w:pStyle w:val="Tablenote"/>
              <w:rPr>
                <w:color w:val="000000"/>
                <w:sz w:val="20"/>
                <w:lang w:val="pt-PT"/>
              </w:rPr>
            </w:pPr>
            <w:r w:rsidRPr="00CF3673">
              <w:rPr>
                <w:b/>
                <w:noProof/>
                <w:lang w:val="pt-PT"/>
              </w:rPr>
              <w:t>Nota</w:t>
            </w:r>
            <w:r w:rsidRPr="00CF3673">
              <w:rPr>
                <w:noProof/>
                <w:lang w:val="pt-PT"/>
              </w:rPr>
              <w:t xml:space="preserve">: Os factores problemáticos para a operação eo crescimento das empresas ( pct. terem respondido " grande obstáculo " ou " sério obstáculo " ) . Números em negrito indicam que a restrição classificado entre os cinco primeiros no ano indicado . Painel equilibrado. Três observacções em falta </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jc w:val="center"/>
        </w:trPr>
        <w:tc>
          <w:tcPr>
            <w:tcW w:w="8937" w:type="dxa"/>
            <w:gridSpan w:val="6"/>
            <w:tcBorders>
              <w:top w:val="nil"/>
              <w:bottom w:val="nil"/>
            </w:tcBorders>
            <w:noWrap/>
            <w:vAlign w:val="bottom"/>
          </w:tcPr>
          <w:p w:rsidR="00682A88" w:rsidRPr="00CF3673" w:rsidRDefault="00682A88" w:rsidP="00682A88">
            <w:pPr>
              <w:pStyle w:val="Tablenote"/>
              <w:rPr>
                <w:noProof/>
                <w:lang w:val="pt-PT"/>
              </w:rPr>
            </w:pPr>
            <w:r w:rsidRPr="00CF3673">
              <w:rPr>
                <w:b/>
                <w:noProof/>
                <w:lang w:val="pt-PT"/>
              </w:rPr>
              <w:t xml:space="preserve">Fonte: </w:t>
            </w:r>
            <w:r w:rsidRPr="00CF3673">
              <w:rPr>
                <w:noProof/>
                <w:lang w:val="pt-PT"/>
              </w:rPr>
              <w:t>Cálculos próprios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Na Tabela 3.14, as restrições percebidas são listadas por região. O acesso ao crédito está no topo da lista de restrições mais graves percebidas para o país como um todo, mas, curiosamente, o acesso ao crédito é menos constrangedor na região da capital. Isto poderia ser devido a um mercado de crédito mais avançado, mais fornecedores de crédito e redes sociais mais densas. Por outro lado, uma grande percentagem de empresas nas regiões menos industrialmente desenvolvidas (especialmente Tete e </w:t>
      </w:r>
      <w:r w:rsidR="0083080D" w:rsidRPr="00CF3673">
        <w:t>Gaza)</w:t>
      </w:r>
      <w:r w:rsidRPr="00CF3673">
        <w:t xml:space="preserve"> sentem-se constrangidas por (falta de) acesso ao crédito.</w:t>
      </w:r>
    </w:p>
    <w:p w:rsidR="00682A88" w:rsidRPr="00CF3673" w:rsidRDefault="00682A88" w:rsidP="00682A88">
      <w:pPr>
        <w:spacing w:line="360" w:lineRule="auto"/>
        <w:jc w:val="both"/>
      </w:pPr>
      <w:r w:rsidRPr="00CF3673">
        <w:t xml:space="preserve">O acesso à terra parece ser muito mais um problema nas províncias densamente povoadas (por exemplo, de </w:t>
      </w:r>
      <w:r w:rsidR="0083080D" w:rsidRPr="00CF3673">
        <w:t>Maputo,</w:t>
      </w:r>
      <w:r w:rsidRPr="00CF3673">
        <w:t xml:space="preserve"> Beira e Nampula ) e não de todo um problema nas províncias menos povoadas como Tete e Gaza. Isso faz sentido, pois a terra é um recurso finito, em maior demanda em cidades maiores.</w:t>
      </w:r>
    </w:p>
    <w:p w:rsidR="00682A88" w:rsidRPr="00CF3673" w:rsidRDefault="00682A88" w:rsidP="00682A88">
      <w:pPr>
        <w:spacing w:line="360" w:lineRule="auto"/>
        <w:jc w:val="both"/>
      </w:pPr>
      <w:r w:rsidRPr="00CF3673">
        <w:t xml:space="preserve">Na cidade fronteiriça de Chimoio, questões relacionadas ao comércio internacional (administração aduaneira e corrupção relacionados com os </w:t>
      </w:r>
      <w:r w:rsidR="0083080D" w:rsidRPr="00CF3673">
        <w:t>costumes)</w:t>
      </w:r>
      <w:r w:rsidRPr="00CF3673">
        <w:t xml:space="preserve"> são percebidas como os dois maiores problemas - empresas em Chimoio estão muito perto de Zimbabwe e, naturalmente, se envolvem em negócios com empresas do outro lado da fronteira. Isso reforça o resultado da Tabela 3.12 que, quanto mais as empresas têm </w:t>
      </w:r>
      <w:r w:rsidR="006A4724" w:rsidRPr="00CF3673">
        <w:t>interacção</w:t>
      </w:r>
      <w:r w:rsidRPr="00CF3673">
        <w:t xml:space="preserve"> com as alfândegas, mais se sentem constrangidas por factores relacionados à alfândega.</w:t>
      </w:r>
    </w:p>
    <w:p w:rsidR="00682A88" w:rsidRPr="00CF3673" w:rsidRDefault="00682A88" w:rsidP="00682A88">
      <w:pPr>
        <w:spacing w:line="360" w:lineRule="auto"/>
        <w:jc w:val="both"/>
      </w:pPr>
      <w:r w:rsidRPr="00CF3673">
        <w:t xml:space="preserve">No geral, </w:t>
      </w:r>
      <w:r w:rsidR="006A4724" w:rsidRPr="00CF3673">
        <w:t>telecomunicações</w:t>
      </w:r>
      <w:r w:rsidRPr="00CF3673">
        <w:t xml:space="preserve"> e </w:t>
      </w:r>
      <w:r w:rsidR="006A4724" w:rsidRPr="00CF3673">
        <w:t>electricidade</w:t>
      </w:r>
      <w:r w:rsidRPr="00CF3673">
        <w:t xml:space="preserve"> continuam a não ser percebidas como restrições, mas a </w:t>
      </w:r>
      <w:r w:rsidR="006A4724" w:rsidRPr="00CF3673">
        <w:t>electricidade</w:t>
      </w:r>
      <w:r w:rsidRPr="00CF3673">
        <w:t xml:space="preserve"> na Beira poderia ser uma excepção. Essa </w:t>
      </w:r>
      <w:r w:rsidR="006A4724" w:rsidRPr="00CF3673">
        <w:t>electricidade</w:t>
      </w:r>
      <w:r w:rsidRPr="00CF3673">
        <w:t xml:space="preserve"> não é percebida como muito constrangedora e não deve ser tomado como tal porque a maioria das empresas indica que o fornecimento de energia </w:t>
      </w:r>
      <w:r w:rsidR="006A4724" w:rsidRPr="00CF3673">
        <w:t>eléctrica</w:t>
      </w:r>
      <w:r w:rsidRPr="00CF3673">
        <w:t xml:space="preserve"> não é problemático em Moçambique. Na verdade, uma fábrica de médio porte em Nacala envolvida na produção intensiva de </w:t>
      </w:r>
      <w:r w:rsidR="006A4724" w:rsidRPr="00CF3673">
        <w:t>electricidade</w:t>
      </w:r>
      <w:r w:rsidRPr="00CF3673">
        <w:t xml:space="preserve"> informou que perdeu cerca de 10 % de vendas por causa de cortes de energia . Mais uma vez, se os cortes de energia são frequentes, as empresas intensivas em energia </w:t>
      </w:r>
      <w:r w:rsidR="006A4724" w:rsidRPr="00CF3673">
        <w:t>eléctrica</w:t>
      </w:r>
      <w:r w:rsidRPr="00CF3673">
        <w:t xml:space="preserve"> podem optar por não operar em Moçambique, o que torna impossível para capturar suas percepções de restrição.</w:t>
      </w: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83080D" w:rsidRPr="00CF3673" w:rsidRDefault="0083080D" w:rsidP="00682A88">
      <w:pPr>
        <w:spacing w:line="360" w:lineRule="auto"/>
        <w:jc w:val="both"/>
      </w:pPr>
    </w:p>
    <w:p w:rsidR="00682A88" w:rsidRPr="00CF3673" w:rsidRDefault="00682A88" w:rsidP="00682A88">
      <w:pPr>
        <w:pStyle w:val="TableTitle"/>
        <w:rPr>
          <w:lang w:val="pt-PT"/>
        </w:rPr>
      </w:pPr>
      <w:r w:rsidRPr="00CF3673">
        <w:rPr>
          <w:lang w:val="pt-PT"/>
        </w:rPr>
        <w:t>Tabela 3.14: Constrangimentos enfrentados por região, % de empresas restritas</w:t>
      </w:r>
    </w:p>
    <w:tbl>
      <w:tblPr>
        <w:tblStyle w:val="StandardTable"/>
        <w:tblW w:w="0" w:type="auto"/>
        <w:tblInd w:w="-356" w:type="dxa"/>
        <w:tblLayout w:type="fixed"/>
        <w:tblLook w:val="04E0" w:firstRow="1" w:lastRow="1" w:firstColumn="1" w:lastColumn="0" w:noHBand="0" w:noVBand="1"/>
      </w:tblPr>
      <w:tblGrid>
        <w:gridCol w:w="3515"/>
        <w:gridCol w:w="938"/>
        <w:gridCol w:w="935"/>
        <w:gridCol w:w="594"/>
        <w:gridCol w:w="879"/>
        <w:gridCol w:w="709"/>
        <w:gridCol w:w="823"/>
        <w:gridCol w:w="718"/>
        <w:gridCol w:w="709"/>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trPr>
        <w:tc>
          <w:tcPr>
            <w:tcW w:w="3515" w:type="dxa"/>
            <w:noWrap/>
            <w:hideMark/>
          </w:tcPr>
          <w:p w:rsidR="00682A88" w:rsidRPr="00CF3673" w:rsidRDefault="00682A88" w:rsidP="00682A88">
            <w:pPr>
              <w:jc w:val="center"/>
              <w:rPr>
                <w:rFonts w:ascii="Calibri" w:eastAsia="Times New Roman" w:hAnsi="Calibri" w:cs="Times New Roman"/>
                <w:sz w:val="18"/>
                <w:szCs w:val="18"/>
                <w:lang w:eastAsia="zh-CN"/>
              </w:rPr>
            </w:pPr>
            <w:r w:rsidRPr="00CF3673">
              <w:rPr>
                <w:rFonts w:ascii="Calibri" w:eastAsia="Times New Roman" w:hAnsi="Calibri" w:cs="Times New Roman"/>
                <w:sz w:val="18"/>
                <w:szCs w:val="18"/>
                <w:lang w:eastAsia="zh-CN"/>
              </w:rPr>
              <w:t>Constrangimentos</w:t>
            </w:r>
          </w:p>
        </w:tc>
        <w:tc>
          <w:tcPr>
            <w:tcW w:w="938" w:type="dxa"/>
            <w:noWrap/>
            <w:hideMark/>
          </w:tcPr>
          <w:p w:rsidR="00682A88" w:rsidRPr="00CF3673" w:rsidRDefault="00682A88" w:rsidP="00682A88">
            <w:pPr>
              <w:jc w:val="center"/>
              <w:rPr>
                <w:rFonts w:ascii="Calibri" w:eastAsia="Times New Roman" w:hAnsi="Calibri" w:cs="Times New Roman"/>
                <w:sz w:val="18"/>
                <w:szCs w:val="18"/>
                <w:lang w:eastAsia="zh-CN"/>
              </w:rPr>
            </w:pPr>
            <w:r w:rsidRPr="00CF3673">
              <w:rPr>
                <w:rFonts w:ascii="Calibri" w:eastAsia="Times New Roman" w:hAnsi="Calibri" w:cs="Times New Roman"/>
                <w:sz w:val="18"/>
                <w:szCs w:val="18"/>
                <w:lang w:eastAsia="zh-CN"/>
              </w:rPr>
              <w:t>Maputo C</w:t>
            </w:r>
          </w:p>
        </w:tc>
        <w:tc>
          <w:tcPr>
            <w:tcW w:w="935" w:type="dxa"/>
            <w:noWrap/>
            <w:hideMark/>
          </w:tcPr>
          <w:p w:rsidR="00682A88" w:rsidRPr="00CF3673" w:rsidRDefault="00682A88" w:rsidP="00682A88">
            <w:pPr>
              <w:jc w:val="center"/>
              <w:rPr>
                <w:rFonts w:ascii="Calibri" w:eastAsia="Times New Roman" w:hAnsi="Calibri" w:cs="Times New Roman"/>
                <w:sz w:val="18"/>
                <w:szCs w:val="18"/>
                <w:lang w:eastAsia="zh-CN"/>
              </w:rPr>
            </w:pPr>
            <w:r w:rsidRPr="00CF3673">
              <w:rPr>
                <w:rFonts w:ascii="Calibri" w:eastAsia="Times New Roman" w:hAnsi="Calibri" w:cs="Times New Roman"/>
                <w:sz w:val="18"/>
                <w:szCs w:val="18"/>
                <w:lang w:eastAsia="zh-CN"/>
              </w:rPr>
              <w:t>Maputo P</w:t>
            </w:r>
          </w:p>
        </w:tc>
        <w:tc>
          <w:tcPr>
            <w:tcW w:w="594" w:type="dxa"/>
            <w:noWrap/>
            <w:hideMark/>
          </w:tcPr>
          <w:p w:rsidR="00682A88" w:rsidRPr="00CF3673" w:rsidRDefault="00682A88" w:rsidP="00682A88">
            <w:pPr>
              <w:jc w:val="center"/>
              <w:rPr>
                <w:rFonts w:ascii="Calibri" w:eastAsia="Times New Roman" w:hAnsi="Calibri" w:cs="Times New Roman"/>
                <w:sz w:val="18"/>
                <w:szCs w:val="18"/>
                <w:lang w:eastAsia="zh-CN"/>
              </w:rPr>
            </w:pPr>
            <w:r w:rsidRPr="00CF3673">
              <w:rPr>
                <w:rFonts w:ascii="Calibri" w:eastAsia="Times New Roman" w:hAnsi="Calibri" w:cs="Times New Roman"/>
                <w:sz w:val="18"/>
                <w:szCs w:val="18"/>
                <w:lang w:eastAsia="zh-CN"/>
              </w:rPr>
              <w:t>Beira</w:t>
            </w:r>
          </w:p>
        </w:tc>
        <w:tc>
          <w:tcPr>
            <w:tcW w:w="879" w:type="dxa"/>
            <w:noWrap/>
            <w:hideMark/>
          </w:tcPr>
          <w:p w:rsidR="00682A88" w:rsidRPr="00CF3673" w:rsidRDefault="00682A88" w:rsidP="00682A88">
            <w:pPr>
              <w:jc w:val="center"/>
              <w:rPr>
                <w:rFonts w:ascii="Calibri" w:eastAsia="Times New Roman" w:hAnsi="Calibri" w:cs="Times New Roman"/>
                <w:sz w:val="18"/>
                <w:szCs w:val="18"/>
                <w:lang w:eastAsia="zh-CN"/>
              </w:rPr>
            </w:pPr>
            <w:r w:rsidRPr="00CF3673">
              <w:rPr>
                <w:rFonts w:ascii="Calibri" w:eastAsia="Times New Roman" w:hAnsi="Calibri" w:cs="Times New Roman"/>
                <w:sz w:val="18"/>
                <w:szCs w:val="18"/>
                <w:lang w:eastAsia="zh-CN"/>
              </w:rPr>
              <w:t>Nampula</w:t>
            </w:r>
          </w:p>
        </w:tc>
        <w:tc>
          <w:tcPr>
            <w:tcW w:w="709" w:type="dxa"/>
            <w:noWrap/>
            <w:hideMark/>
          </w:tcPr>
          <w:p w:rsidR="00682A88" w:rsidRPr="00CF3673" w:rsidRDefault="00682A88" w:rsidP="00682A88">
            <w:pPr>
              <w:jc w:val="center"/>
              <w:rPr>
                <w:rFonts w:ascii="Calibri" w:eastAsia="Times New Roman" w:hAnsi="Calibri" w:cs="Times New Roman"/>
                <w:sz w:val="18"/>
                <w:szCs w:val="18"/>
                <w:lang w:eastAsia="zh-CN"/>
              </w:rPr>
            </w:pPr>
            <w:r w:rsidRPr="00CF3673">
              <w:rPr>
                <w:rFonts w:ascii="Calibri" w:eastAsia="Times New Roman" w:hAnsi="Calibri" w:cs="Times New Roman"/>
                <w:sz w:val="18"/>
                <w:szCs w:val="18"/>
                <w:lang w:eastAsia="zh-CN"/>
              </w:rPr>
              <w:t>Nacala</w:t>
            </w:r>
          </w:p>
        </w:tc>
        <w:tc>
          <w:tcPr>
            <w:tcW w:w="823" w:type="dxa"/>
            <w:noWrap/>
            <w:hideMark/>
          </w:tcPr>
          <w:p w:rsidR="00682A88" w:rsidRPr="00CF3673" w:rsidRDefault="00682A88" w:rsidP="00682A88">
            <w:pPr>
              <w:jc w:val="center"/>
              <w:rPr>
                <w:rFonts w:ascii="Calibri" w:eastAsia="Times New Roman" w:hAnsi="Calibri" w:cs="Times New Roman"/>
                <w:sz w:val="18"/>
                <w:szCs w:val="18"/>
                <w:lang w:eastAsia="zh-CN"/>
              </w:rPr>
            </w:pPr>
            <w:r w:rsidRPr="00CF3673">
              <w:rPr>
                <w:rFonts w:ascii="Calibri" w:eastAsia="Times New Roman" w:hAnsi="Calibri" w:cs="Times New Roman"/>
                <w:sz w:val="18"/>
                <w:szCs w:val="18"/>
                <w:lang w:eastAsia="zh-CN"/>
              </w:rPr>
              <w:t>Chimoio</w:t>
            </w:r>
          </w:p>
        </w:tc>
        <w:tc>
          <w:tcPr>
            <w:tcW w:w="718" w:type="dxa"/>
            <w:noWrap/>
            <w:hideMark/>
          </w:tcPr>
          <w:p w:rsidR="00682A88" w:rsidRPr="00CF3673" w:rsidRDefault="00682A88" w:rsidP="00682A88">
            <w:pPr>
              <w:jc w:val="center"/>
              <w:rPr>
                <w:rFonts w:ascii="Calibri" w:eastAsia="Times New Roman" w:hAnsi="Calibri" w:cs="Times New Roman"/>
                <w:sz w:val="18"/>
                <w:szCs w:val="18"/>
                <w:lang w:eastAsia="zh-CN"/>
              </w:rPr>
            </w:pPr>
            <w:r w:rsidRPr="00CF3673">
              <w:rPr>
                <w:rFonts w:ascii="Calibri" w:eastAsia="Times New Roman" w:hAnsi="Calibri" w:cs="Times New Roman"/>
                <w:sz w:val="18"/>
                <w:szCs w:val="18"/>
                <w:lang w:eastAsia="zh-CN"/>
              </w:rPr>
              <w:t>Tete*</w:t>
            </w:r>
          </w:p>
        </w:tc>
        <w:tc>
          <w:tcPr>
            <w:tcW w:w="709" w:type="dxa"/>
            <w:noWrap/>
            <w:hideMark/>
          </w:tcPr>
          <w:p w:rsidR="00682A88" w:rsidRPr="00CF3673" w:rsidRDefault="00682A88" w:rsidP="00682A88">
            <w:pPr>
              <w:jc w:val="center"/>
              <w:rPr>
                <w:rFonts w:ascii="Calibri" w:eastAsia="Times New Roman" w:hAnsi="Calibri" w:cs="Times New Roman"/>
                <w:sz w:val="18"/>
                <w:szCs w:val="18"/>
                <w:lang w:eastAsia="zh-CN"/>
              </w:rPr>
            </w:pPr>
            <w:r w:rsidRPr="00CF3673">
              <w:rPr>
                <w:rFonts w:ascii="Calibri" w:eastAsia="Times New Roman" w:hAnsi="Calibri" w:cs="Times New Roman"/>
                <w:sz w:val="18"/>
                <w:szCs w:val="18"/>
                <w:lang w:eastAsia="zh-CN"/>
              </w:rPr>
              <w:t>Gaza*</w:t>
            </w:r>
          </w:p>
        </w:tc>
      </w:tr>
      <w:tr w:rsidR="00682A88" w:rsidRPr="00CF3673" w:rsidTr="00682A88">
        <w:trPr>
          <w:trHeight w:val="300"/>
        </w:trPr>
        <w:tc>
          <w:tcPr>
            <w:tcW w:w="3515" w:type="dxa"/>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 xml:space="preserve">Acesso ao crédito </w:t>
            </w:r>
            <w:r w:rsidR="0083080D" w:rsidRPr="00CF3673">
              <w:rPr>
                <w:rFonts w:ascii="Calibri" w:hAnsi="Calibri"/>
                <w:sz w:val="18"/>
                <w:szCs w:val="18"/>
              </w:rPr>
              <w:t>estrangeira</w:t>
            </w:r>
          </w:p>
        </w:tc>
        <w:tc>
          <w:tcPr>
            <w:tcW w:w="93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47.7</w:t>
            </w:r>
          </w:p>
        </w:tc>
        <w:tc>
          <w:tcPr>
            <w:tcW w:w="935"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22.9</w:t>
            </w:r>
          </w:p>
        </w:tc>
        <w:tc>
          <w:tcPr>
            <w:tcW w:w="594"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52.6</w:t>
            </w:r>
          </w:p>
        </w:tc>
        <w:tc>
          <w:tcPr>
            <w:tcW w:w="87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23.5</w:t>
            </w:r>
          </w:p>
        </w:tc>
        <w:tc>
          <w:tcPr>
            <w:tcW w:w="70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75.0</w:t>
            </w:r>
          </w:p>
        </w:tc>
        <w:tc>
          <w:tcPr>
            <w:tcW w:w="823"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75.5</w:t>
            </w:r>
          </w:p>
        </w:tc>
        <w:tc>
          <w:tcPr>
            <w:tcW w:w="718"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79.3</w:t>
            </w:r>
          </w:p>
        </w:tc>
        <w:tc>
          <w:tcPr>
            <w:tcW w:w="70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88.9</w:t>
            </w:r>
          </w:p>
        </w:tc>
      </w:tr>
      <w:tr w:rsidR="00682A88" w:rsidRPr="00CF3673" w:rsidTr="00682A88">
        <w:trPr>
          <w:trHeight w:val="300"/>
        </w:trPr>
        <w:tc>
          <w:tcPr>
            <w:tcW w:w="3515" w:type="dxa"/>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 xml:space="preserve">Acesso ao crédito </w:t>
            </w:r>
            <w:r w:rsidR="0083080D" w:rsidRPr="00CF3673">
              <w:rPr>
                <w:rFonts w:ascii="Calibri" w:hAnsi="Calibri"/>
                <w:sz w:val="18"/>
                <w:szCs w:val="18"/>
              </w:rPr>
              <w:t>interna</w:t>
            </w:r>
          </w:p>
        </w:tc>
        <w:tc>
          <w:tcPr>
            <w:tcW w:w="93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47.8</w:t>
            </w:r>
          </w:p>
        </w:tc>
        <w:tc>
          <w:tcPr>
            <w:tcW w:w="935"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30.9</w:t>
            </w:r>
          </w:p>
        </w:tc>
        <w:tc>
          <w:tcPr>
            <w:tcW w:w="594"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53.3</w:t>
            </w:r>
          </w:p>
        </w:tc>
        <w:tc>
          <w:tcPr>
            <w:tcW w:w="87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50.0</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72.7</w:t>
            </w:r>
          </w:p>
        </w:tc>
        <w:tc>
          <w:tcPr>
            <w:tcW w:w="823"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64.6</w:t>
            </w:r>
          </w:p>
        </w:tc>
        <w:tc>
          <w:tcPr>
            <w:tcW w:w="718"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68.2</w:t>
            </w:r>
          </w:p>
        </w:tc>
        <w:tc>
          <w:tcPr>
            <w:tcW w:w="70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65.7</w:t>
            </w:r>
          </w:p>
        </w:tc>
      </w:tr>
      <w:tr w:rsidR="00682A88" w:rsidRPr="00CF3673" w:rsidTr="00682A88">
        <w:trPr>
          <w:trHeight w:val="300"/>
        </w:trPr>
        <w:tc>
          <w:tcPr>
            <w:tcW w:w="3515" w:type="dxa"/>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Custo de financiamento (ex. taxas de juro)</w:t>
            </w:r>
          </w:p>
        </w:tc>
        <w:tc>
          <w:tcPr>
            <w:tcW w:w="938"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53.0</w:t>
            </w:r>
          </w:p>
        </w:tc>
        <w:tc>
          <w:tcPr>
            <w:tcW w:w="935"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41.2</w:t>
            </w:r>
          </w:p>
        </w:tc>
        <w:tc>
          <w:tcPr>
            <w:tcW w:w="594"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43.1</w:t>
            </w:r>
          </w:p>
        </w:tc>
        <w:tc>
          <w:tcPr>
            <w:tcW w:w="87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25.6</w:t>
            </w:r>
          </w:p>
        </w:tc>
        <w:tc>
          <w:tcPr>
            <w:tcW w:w="70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81.0</w:t>
            </w:r>
          </w:p>
        </w:tc>
        <w:tc>
          <w:tcPr>
            <w:tcW w:w="823"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76.7</w:t>
            </w:r>
          </w:p>
        </w:tc>
        <w:tc>
          <w:tcPr>
            <w:tcW w:w="71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50.0</w:t>
            </w:r>
          </w:p>
        </w:tc>
        <w:tc>
          <w:tcPr>
            <w:tcW w:w="70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63.4</w:t>
            </w:r>
          </w:p>
        </w:tc>
      </w:tr>
      <w:tr w:rsidR="00682A88" w:rsidRPr="00CF3673" w:rsidTr="00682A88">
        <w:trPr>
          <w:trHeight w:val="300"/>
        </w:trPr>
        <w:tc>
          <w:tcPr>
            <w:tcW w:w="3515" w:type="dxa"/>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Acesso à terra</w:t>
            </w:r>
          </w:p>
        </w:tc>
        <w:tc>
          <w:tcPr>
            <w:tcW w:w="938"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58.3</w:t>
            </w:r>
          </w:p>
        </w:tc>
        <w:tc>
          <w:tcPr>
            <w:tcW w:w="935"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40.6</w:t>
            </w:r>
          </w:p>
        </w:tc>
        <w:tc>
          <w:tcPr>
            <w:tcW w:w="594"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48.2</w:t>
            </w:r>
          </w:p>
        </w:tc>
        <w:tc>
          <w:tcPr>
            <w:tcW w:w="87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33.3</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71.4</w:t>
            </w:r>
          </w:p>
        </w:tc>
        <w:tc>
          <w:tcPr>
            <w:tcW w:w="823"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65.1</w:t>
            </w:r>
          </w:p>
        </w:tc>
        <w:tc>
          <w:tcPr>
            <w:tcW w:w="71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46.9</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42.5</w:t>
            </w:r>
          </w:p>
        </w:tc>
      </w:tr>
      <w:tr w:rsidR="00682A88" w:rsidRPr="00CF3673" w:rsidTr="00682A88">
        <w:trPr>
          <w:trHeight w:val="300"/>
        </w:trPr>
        <w:tc>
          <w:tcPr>
            <w:tcW w:w="3515" w:type="dxa"/>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Abertura aos mercados internacionais</w:t>
            </w:r>
          </w:p>
        </w:tc>
        <w:tc>
          <w:tcPr>
            <w:tcW w:w="93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38.6</w:t>
            </w:r>
          </w:p>
        </w:tc>
        <w:tc>
          <w:tcPr>
            <w:tcW w:w="935"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37.5</w:t>
            </w:r>
          </w:p>
        </w:tc>
        <w:tc>
          <w:tcPr>
            <w:tcW w:w="594"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38.7</w:t>
            </w:r>
          </w:p>
        </w:tc>
        <w:tc>
          <w:tcPr>
            <w:tcW w:w="87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4.2</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0.0</w:t>
            </w:r>
          </w:p>
        </w:tc>
        <w:tc>
          <w:tcPr>
            <w:tcW w:w="823"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75.0</w:t>
            </w:r>
          </w:p>
        </w:tc>
        <w:tc>
          <w:tcPr>
            <w:tcW w:w="718"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76.9</w:t>
            </w:r>
          </w:p>
        </w:tc>
        <w:tc>
          <w:tcPr>
            <w:tcW w:w="70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85.7</w:t>
            </w:r>
          </w:p>
        </w:tc>
      </w:tr>
      <w:tr w:rsidR="00682A88" w:rsidRPr="00CF3673" w:rsidTr="00682A88">
        <w:trPr>
          <w:trHeight w:val="300"/>
        </w:trPr>
        <w:tc>
          <w:tcPr>
            <w:tcW w:w="3515" w:type="dxa"/>
            <w:noWrap/>
            <w:vAlign w:val="bottom"/>
            <w:hideMark/>
          </w:tcPr>
          <w:p w:rsidR="00682A88" w:rsidRPr="00CF3673" w:rsidRDefault="006A4724" w:rsidP="00682A88">
            <w:pPr>
              <w:rPr>
                <w:rFonts w:ascii="Calibri" w:hAnsi="Calibri"/>
                <w:sz w:val="18"/>
                <w:szCs w:val="18"/>
              </w:rPr>
            </w:pPr>
            <w:r w:rsidRPr="00CF3673">
              <w:rPr>
                <w:rFonts w:ascii="Calibri" w:hAnsi="Calibri"/>
                <w:sz w:val="18"/>
                <w:szCs w:val="18"/>
              </w:rPr>
              <w:t>Corrupção</w:t>
            </w:r>
          </w:p>
        </w:tc>
        <w:tc>
          <w:tcPr>
            <w:tcW w:w="938"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50.5</w:t>
            </w:r>
          </w:p>
        </w:tc>
        <w:tc>
          <w:tcPr>
            <w:tcW w:w="935"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50.0</w:t>
            </w:r>
          </w:p>
        </w:tc>
        <w:tc>
          <w:tcPr>
            <w:tcW w:w="594"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34.5</w:t>
            </w:r>
          </w:p>
        </w:tc>
        <w:tc>
          <w:tcPr>
            <w:tcW w:w="87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19.1</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57.1</w:t>
            </w:r>
          </w:p>
        </w:tc>
        <w:tc>
          <w:tcPr>
            <w:tcW w:w="823"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51.2</w:t>
            </w:r>
          </w:p>
        </w:tc>
        <w:tc>
          <w:tcPr>
            <w:tcW w:w="718"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68.8</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52.8</w:t>
            </w:r>
          </w:p>
        </w:tc>
      </w:tr>
      <w:tr w:rsidR="00682A88" w:rsidRPr="00CF3673" w:rsidTr="00682A88">
        <w:trPr>
          <w:trHeight w:val="300"/>
        </w:trPr>
        <w:tc>
          <w:tcPr>
            <w:tcW w:w="3515" w:type="dxa"/>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 xml:space="preserve">Concorrência de </w:t>
            </w:r>
            <w:r w:rsidR="006A4724" w:rsidRPr="00CF3673">
              <w:rPr>
                <w:rFonts w:ascii="Calibri" w:hAnsi="Calibri"/>
                <w:sz w:val="18"/>
                <w:szCs w:val="18"/>
              </w:rPr>
              <w:t>importações</w:t>
            </w:r>
            <w:r w:rsidRPr="00CF3673">
              <w:rPr>
                <w:rFonts w:ascii="Calibri" w:hAnsi="Calibri"/>
                <w:sz w:val="18"/>
                <w:szCs w:val="18"/>
              </w:rPr>
              <w:t xml:space="preserve"> ilegais/contrabando</w:t>
            </w:r>
          </w:p>
        </w:tc>
        <w:tc>
          <w:tcPr>
            <w:tcW w:w="938"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56.0</w:t>
            </w:r>
          </w:p>
        </w:tc>
        <w:tc>
          <w:tcPr>
            <w:tcW w:w="935"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28.1</w:t>
            </w:r>
          </w:p>
        </w:tc>
        <w:tc>
          <w:tcPr>
            <w:tcW w:w="594"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23.3</w:t>
            </w:r>
          </w:p>
        </w:tc>
        <w:tc>
          <w:tcPr>
            <w:tcW w:w="87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15.4</w:t>
            </w:r>
          </w:p>
        </w:tc>
        <w:tc>
          <w:tcPr>
            <w:tcW w:w="70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83.3</w:t>
            </w:r>
          </w:p>
        </w:tc>
        <w:tc>
          <w:tcPr>
            <w:tcW w:w="823"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68.9</w:t>
            </w:r>
          </w:p>
        </w:tc>
        <w:tc>
          <w:tcPr>
            <w:tcW w:w="71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52.2</w:t>
            </w:r>
          </w:p>
        </w:tc>
        <w:tc>
          <w:tcPr>
            <w:tcW w:w="70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69.0</w:t>
            </w:r>
          </w:p>
        </w:tc>
      </w:tr>
      <w:tr w:rsidR="00682A88" w:rsidRPr="00CF3673" w:rsidTr="00682A88">
        <w:trPr>
          <w:trHeight w:val="300"/>
        </w:trPr>
        <w:tc>
          <w:tcPr>
            <w:tcW w:w="3515" w:type="dxa"/>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Acesso a serviços de apoio às empresas</w:t>
            </w:r>
          </w:p>
        </w:tc>
        <w:tc>
          <w:tcPr>
            <w:tcW w:w="93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46.7</w:t>
            </w:r>
          </w:p>
        </w:tc>
        <w:tc>
          <w:tcPr>
            <w:tcW w:w="935"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36.4</w:t>
            </w:r>
          </w:p>
        </w:tc>
        <w:tc>
          <w:tcPr>
            <w:tcW w:w="594"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35.0</w:t>
            </w:r>
          </w:p>
        </w:tc>
        <w:tc>
          <w:tcPr>
            <w:tcW w:w="87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23.3</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66.7</w:t>
            </w:r>
          </w:p>
        </w:tc>
        <w:tc>
          <w:tcPr>
            <w:tcW w:w="823"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62.2</w:t>
            </w:r>
          </w:p>
        </w:tc>
        <w:tc>
          <w:tcPr>
            <w:tcW w:w="718"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73.9</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47.1</w:t>
            </w:r>
          </w:p>
        </w:tc>
      </w:tr>
      <w:tr w:rsidR="00682A88" w:rsidRPr="00CF3673" w:rsidTr="00682A88">
        <w:trPr>
          <w:trHeight w:val="300"/>
        </w:trPr>
        <w:tc>
          <w:tcPr>
            <w:tcW w:w="3515" w:type="dxa"/>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Crime, roubo e desordem</w:t>
            </w:r>
          </w:p>
        </w:tc>
        <w:tc>
          <w:tcPr>
            <w:tcW w:w="93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45.8</w:t>
            </w:r>
          </w:p>
        </w:tc>
        <w:tc>
          <w:tcPr>
            <w:tcW w:w="935"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43.1</w:t>
            </w:r>
          </w:p>
        </w:tc>
        <w:tc>
          <w:tcPr>
            <w:tcW w:w="594"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49.6</w:t>
            </w:r>
          </w:p>
        </w:tc>
        <w:tc>
          <w:tcPr>
            <w:tcW w:w="87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30.4</w:t>
            </w:r>
          </w:p>
        </w:tc>
        <w:tc>
          <w:tcPr>
            <w:tcW w:w="70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75.0</w:t>
            </w:r>
          </w:p>
        </w:tc>
        <w:tc>
          <w:tcPr>
            <w:tcW w:w="823"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43.9</w:t>
            </w:r>
          </w:p>
        </w:tc>
        <w:tc>
          <w:tcPr>
            <w:tcW w:w="71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57.1</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37.5</w:t>
            </w:r>
          </w:p>
        </w:tc>
      </w:tr>
      <w:tr w:rsidR="00682A88" w:rsidRPr="00CF3673" w:rsidTr="00682A88">
        <w:trPr>
          <w:trHeight w:val="300"/>
        </w:trPr>
        <w:tc>
          <w:tcPr>
            <w:tcW w:w="3515" w:type="dxa"/>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Administração aduaneira e regulação do comércio</w:t>
            </w:r>
          </w:p>
        </w:tc>
        <w:tc>
          <w:tcPr>
            <w:tcW w:w="93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39.7</w:t>
            </w:r>
          </w:p>
        </w:tc>
        <w:tc>
          <w:tcPr>
            <w:tcW w:w="935"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35.7</w:t>
            </w:r>
          </w:p>
        </w:tc>
        <w:tc>
          <w:tcPr>
            <w:tcW w:w="594"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26.6</w:t>
            </w:r>
          </w:p>
        </w:tc>
        <w:tc>
          <w:tcPr>
            <w:tcW w:w="87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37.5</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60.0</w:t>
            </w:r>
          </w:p>
        </w:tc>
        <w:tc>
          <w:tcPr>
            <w:tcW w:w="823"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79.5</w:t>
            </w:r>
          </w:p>
        </w:tc>
        <w:tc>
          <w:tcPr>
            <w:tcW w:w="71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63.6</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33.3</w:t>
            </w:r>
          </w:p>
        </w:tc>
      </w:tr>
      <w:tr w:rsidR="00682A88" w:rsidRPr="00CF3673" w:rsidTr="00682A88">
        <w:trPr>
          <w:trHeight w:val="300"/>
        </w:trPr>
        <w:tc>
          <w:tcPr>
            <w:tcW w:w="3515" w:type="dxa"/>
            <w:noWrap/>
            <w:vAlign w:val="bottom"/>
            <w:hideMark/>
          </w:tcPr>
          <w:p w:rsidR="00682A88" w:rsidRPr="00CF3673" w:rsidRDefault="006A4724" w:rsidP="0083080D">
            <w:pPr>
              <w:rPr>
                <w:rFonts w:ascii="Calibri" w:hAnsi="Calibri"/>
                <w:sz w:val="18"/>
                <w:szCs w:val="18"/>
              </w:rPr>
            </w:pPr>
            <w:r w:rsidRPr="00CF3673">
              <w:rPr>
                <w:rFonts w:ascii="Calibri" w:hAnsi="Calibri"/>
                <w:sz w:val="18"/>
                <w:szCs w:val="18"/>
              </w:rPr>
              <w:t>Corrupção</w:t>
            </w:r>
            <w:r w:rsidR="0083080D" w:rsidRPr="00CF3673">
              <w:rPr>
                <w:rFonts w:ascii="Calibri" w:hAnsi="Calibri"/>
                <w:sz w:val="18"/>
                <w:szCs w:val="18"/>
              </w:rPr>
              <w:t xml:space="preserve"> relacionada as alfandega</w:t>
            </w:r>
          </w:p>
        </w:tc>
        <w:tc>
          <w:tcPr>
            <w:tcW w:w="938"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48.0</w:t>
            </w:r>
          </w:p>
        </w:tc>
        <w:tc>
          <w:tcPr>
            <w:tcW w:w="935"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42.1</w:t>
            </w:r>
          </w:p>
        </w:tc>
        <w:tc>
          <w:tcPr>
            <w:tcW w:w="594"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12.8</w:t>
            </w:r>
          </w:p>
        </w:tc>
        <w:tc>
          <w:tcPr>
            <w:tcW w:w="87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11.1</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62.5</w:t>
            </w:r>
          </w:p>
        </w:tc>
        <w:tc>
          <w:tcPr>
            <w:tcW w:w="823"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81.0</w:t>
            </w:r>
          </w:p>
        </w:tc>
        <w:tc>
          <w:tcPr>
            <w:tcW w:w="71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50.0</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39.6</w:t>
            </w:r>
          </w:p>
        </w:tc>
      </w:tr>
      <w:tr w:rsidR="00682A88" w:rsidRPr="00CF3673" w:rsidTr="00682A88">
        <w:trPr>
          <w:trHeight w:val="300"/>
        </w:trPr>
        <w:tc>
          <w:tcPr>
            <w:tcW w:w="3515" w:type="dxa"/>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 xml:space="preserve">Práticas </w:t>
            </w:r>
            <w:r w:rsidR="006A4724" w:rsidRPr="00CF3673">
              <w:rPr>
                <w:rFonts w:ascii="Calibri" w:hAnsi="Calibri"/>
                <w:sz w:val="18"/>
                <w:szCs w:val="18"/>
              </w:rPr>
              <w:t>anti concorrenciais</w:t>
            </w:r>
            <w:r w:rsidRPr="00CF3673">
              <w:rPr>
                <w:rFonts w:ascii="Calibri" w:hAnsi="Calibri"/>
                <w:sz w:val="18"/>
                <w:szCs w:val="18"/>
              </w:rPr>
              <w:t xml:space="preserve"> (ex.  Monopólio)</w:t>
            </w:r>
          </w:p>
        </w:tc>
        <w:tc>
          <w:tcPr>
            <w:tcW w:w="93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47.0</w:t>
            </w:r>
          </w:p>
        </w:tc>
        <w:tc>
          <w:tcPr>
            <w:tcW w:w="935"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30.8</w:t>
            </w:r>
          </w:p>
        </w:tc>
        <w:tc>
          <w:tcPr>
            <w:tcW w:w="594"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27.6</w:t>
            </w:r>
          </w:p>
        </w:tc>
        <w:tc>
          <w:tcPr>
            <w:tcW w:w="87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28.1</w:t>
            </w:r>
          </w:p>
        </w:tc>
        <w:tc>
          <w:tcPr>
            <w:tcW w:w="709" w:type="dxa"/>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77.8</w:t>
            </w:r>
          </w:p>
        </w:tc>
        <w:tc>
          <w:tcPr>
            <w:tcW w:w="823"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40.0</w:t>
            </w:r>
          </w:p>
        </w:tc>
        <w:tc>
          <w:tcPr>
            <w:tcW w:w="718"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57.1</w:t>
            </w:r>
          </w:p>
        </w:tc>
        <w:tc>
          <w:tcPr>
            <w:tcW w:w="709" w:type="dxa"/>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32.9</w:t>
            </w:r>
          </w:p>
        </w:tc>
      </w:tr>
      <w:tr w:rsidR="00682A88" w:rsidRPr="00CF3673" w:rsidTr="00682A88">
        <w:trPr>
          <w:trHeight w:val="300"/>
        </w:trPr>
        <w:tc>
          <w:tcPr>
            <w:tcW w:w="3515" w:type="dxa"/>
            <w:tcBorders>
              <w:bottom w:val="nil"/>
            </w:tcBorders>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Corrupção relacionada com inspecções</w:t>
            </w:r>
          </w:p>
        </w:tc>
        <w:tc>
          <w:tcPr>
            <w:tcW w:w="938" w:type="dxa"/>
            <w:tcBorders>
              <w:bottom w:val="nil"/>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42.8</w:t>
            </w:r>
          </w:p>
        </w:tc>
        <w:tc>
          <w:tcPr>
            <w:tcW w:w="935" w:type="dxa"/>
            <w:tcBorders>
              <w:bottom w:val="nil"/>
            </w:tcBorders>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43.9</w:t>
            </w:r>
          </w:p>
        </w:tc>
        <w:tc>
          <w:tcPr>
            <w:tcW w:w="594" w:type="dxa"/>
            <w:tcBorders>
              <w:bottom w:val="nil"/>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26.7</w:t>
            </w:r>
          </w:p>
        </w:tc>
        <w:tc>
          <w:tcPr>
            <w:tcW w:w="879" w:type="dxa"/>
            <w:tcBorders>
              <w:bottom w:val="nil"/>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12.8</w:t>
            </w:r>
          </w:p>
        </w:tc>
        <w:tc>
          <w:tcPr>
            <w:tcW w:w="709" w:type="dxa"/>
            <w:tcBorders>
              <w:bottom w:val="nil"/>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22.7</w:t>
            </w:r>
          </w:p>
        </w:tc>
        <w:tc>
          <w:tcPr>
            <w:tcW w:w="823" w:type="dxa"/>
            <w:tcBorders>
              <w:bottom w:val="nil"/>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33.7</w:t>
            </w:r>
          </w:p>
        </w:tc>
        <w:tc>
          <w:tcPr>
            <w:tcW w:w="718" w:type="dxa"/>
            <w:tcBorders>
              <w:bottom w:val="nil"/>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52.3</w:t>
            </w:r>
          </w:p>
        </w:tc>
        <w:tc>
          <w:tcPr>
            <w:tcW w:w="709" w:type="dxa"/>
            <w:tcBorders>
              <w:bottom w:val="nil"/>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52.2</w:t>
            </w:r>
          </w:p>
        </w:tc>
      </w:tr>
      <w:tr w:rsidR="00682A88" w:rsidRPr="00CF3673" w:rsidTr="00682A88">
        <w:trPr>
          <w:trHeight w:val="300"/>
        </w:trPr>
        <w:tc>
          <w:tcPr>
            <w:tcW w:w="3515" w:type="dxa"/>
            <w:tcBorders>
              <w:top w:val="nil"/>
              <w:bottom w:val="single" w:sz="4" w:space="0" w:color="auto"/>
            </w:tcBorders>
            <w:noWrap/>
            <w:vAlign w:val="bottom"/>
            <w:hideMark/>
          </w:tcPr>
          <w:p w:rsidR="00682A88" w:rsidRPr="00CF3673" w:rsidRDefault="00682A88" w:rsidP="00682A88">
            <w:pPr>
              <w:rPr>
                <w:rFonts w:ascii="Calibri" w:hAnsi="Calibri"/>
                <w:sz w:val="18"/>
                <w:szCs w:val="18"/>
              </w:rPr>
            </w:pPr>
            <w:r w:rsidRPr="00CF3673">
              <w:rPr>
                <w:rFonts w:ascii="Calibri" w:hAnsi="Calibri"/>
                <w:sz w:val="18"/>
                <w:szCs w:val="18"/>
              </w:rPr>
              <w:t>Electricidade</w:t>
            </w:r>
          </w:p>
        </w:tc>
        <w:tc>
          <w:tcPr>
            <w:tcW w:w="938" w:type="dxa"/>
            <w:tcBorders>
              <w:top w:val="nil"/>
              <w:bottom w:val="single" w:sz="4" w:space="0" w:color="auto"/>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29.6</w:t>
            </w:r>
          </w:p>
        </w:tc>
        <w:tc>
          <w:tcPr>
            <w:tcW w:w="935" w:type="dxa"/>
            <w:tcBorders>
              <w:top w:val="nil"/>
              <w:bottom w:val="single" w:sz="4" w:space="0" w:color="auto"/>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22.4</w:t>
            </w:r>
          </w:p>
        </w:tc>
        <w:tc>
          <w:tcPr>
            <w:tcW w:w="594" w:type="dxa"/>
            <w:tcBorders>
              <w:top w:val="nil"/>
              <w:bottom w:val="single" w:sz="4" w:space="0" w:color="auto"/>
            </w:tcBorders>
            <w:noWrap/>
            <w:vAlign w:val="bottom"/>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43.4</w:t>
            </w:r>
          </w:p>
        </w:tc>
        <w:tc>
          <w:tcPr>
            <w:tcW w:w="879" w:type="dxa"/>
            <w:tcBorders>
              <w:top w:val="nil"/>
              <w:bottom w:val="single" w:sz="4" w:space="0" w:color="auto"/>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10.6</w:t>
            </w:r>
          </w:p>
        </w:tc>
        <w:tc>
          <w:tcPr>
            <w:tcW w:w="709" w:type="dxa"/>
            <w:tcBorders>
              <w:top w:val="nil"/>
              <w:bottom w:val="single" w:sz="4" w:space="0" w:color="auto"/>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9.1</w:t>
            </w:r>
          </w:p>
        </w:tc>
        <w:tc>
          <w:tcPr>
            <w:tcW w:w="823" w:type="dxa"/>
            <w:tcBorders>
              <w:top w:val="nil"/>
              <w:bottom w:val="single" w:sz="4" w:space="0" w:color="auto"/>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2.4</w:t>
            </w:r>
          </w:p>
        </w:tc>
        <w:tc>
          <w:tcPr>
            <w:tcW w:w="718" w:type="dxa"/>
            <w:tcBorders>
              <w:top w:val="nil"/>
              <w:bottom w:val="single" w:sz="4" w:space="0" w:color="auto"/>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5.8</w:t>
            </w:r>
          </w:p>
        </w:tc>
        <w:tc>
          <w:tcPr>
            <w:tcW w:w="709" w:type="dxa"/>
            <w:tcBorders>
              <w:top w:val="nil"/>
              <w:bottom w:val="single" w:sz="4" w:space="0" w:color="auto"/>
            </w:tcBorders>
            <w:noWrap/>
            <w:vAlign w:val="bottom"/>
            <w:hideMark/>
          </w:tcPr>
          <w:p w:rsidR="00682A88" w:rsidRPr="00CF3673" w:rsidRDefault="00682A88" w:rsidP="00682A88">
            <w:pPr>
              <w:jc w:val="center"/>
              <w:rPr>
                <w:rFonts w:ascii="Calibri" w:hAnsi="Calibri"/>
                <w:sz w:val="18"/>
                <w:szCs w:val="18"/>
              </w:rPr>
            </w:pPr>
            <w:r w:rsidRPr="00CF3673">
              <w:rPr>
                <w:rFonts w:ascii="Calibri" w:hAnsi="Calibri"/>
                <w:sz w:val="18"/>
                <w:szCs w:val="18"/>
              </w:rPr>
              <w:t>0.0</w:t>
            </w:r>
          </w:p>
        </w:tc>
      </w:tr>
      <w:tr w:rsidR="00682A88" w:rsidRPr="00CF3673" w:rsidTr="00682A88">
        <w:trPr>
          <w:trHeight w:val="300"/>
        </w:trPr>
        <w:tc>
          <w:tcPr>
            <w:tcW w:w="3515" w:type="dxa"/>
            <w:tcBorders>
              <w:top w:val="single" w:sz="4" w:space="0" w:color="auto"/>
              <w:bottom w:val="double" w:sz="4" w:space="0" w:color="auto"/>
            </w:tcBorders>
            <w:noWrap/>
            <w:vAlign w:val="bottom"/>
            <w:hideMark/>
          </w:tcPr>
          <w:p w:rsidR="00682A88" w:rsidRPr="00CF3673" w:rsidRDefault="00682A88" w:rsidP="00682A88">
            <w:pPr>
              <w:rPr>
                <w:rFonts w:ascii="Calibri" w:eastAsia="Times New Roman" w:hAnsi="Calibri" w:cs="Times New Roman"/>
                <w:sz w:val="18"/>
                <w:szCs w:val="18"/>
                <w:lang w:eastAsia="zh-CN"/>
              </w:rPr>
            </w:pPr>
            <w:r w:rsidRPr="00CF3673">
              <w:rPr>
                <w:rFonts w:ascii="Calibri" w:eastAsia="Times New Roman" w:hAnsi="Calibri" w:cs="Times New Roman"/>
                <w:sz w:val="18"/>
                <w:szCs w:val="18"/>
                <w:lang w:eastAsia="zh-CN"/>
              </w:rPr>
              <w:t xml:space="preserve">Número de </w:t>
            </w:r>
            <w:r w:rsidR="006A4724" w:rsidRPr="00CF3673">
              <w:rPr>
                <w:rFonts w:ascii="Calibri" w:eastAsia="Times New Roman" w:hAnsi="Calibri" w:cs="Times New Roman"/>
                <w:sz w:val="18"/>
                <w:szCs w:val="18"/>
                <w:lang w:eastAsia="zh-CN"/>
              </w:rPr>
              <w:t>observações</w:t>
            </w:r>
          </w:p>
        </w:tc>
        <w:tc>
          <w:tcPr>
            <w:tcW w:w="938" w:type="dxa"/>
            <w:tcBorders>
              <w:top w:val="single" w:sz="4" w:space="0" w:color="auto"/>
              <w:bottom w:val="double" w:sz="4" w:space="0" w:color="auto"/>
            </w:tcBorders>
            <w:noWrap/>
            <w:vAlign w:val="bottom"/>
            <w:hideMark/>
          </w:tcPr>
          <w:p w:rsidR="00682A88" w:rsidRPr="00CF3673" w:rsidRDefault="00682A88" w:rsidP="00682A88">
            <w:pPr>
              <w:jc w:val="center"/>
              <w:rPr>
                <w:sz w:val="18"/>
                <w:szCs w:val="18"/>
              </w:rPr>
            </w:pPr>
            <w:r w:rsidRPr="00CF3673">
              <w:rPr>
                <w:sz w:val="18"/>
                <w:szCs w:val="18"/>
              </w:rPr>
              <w:t>268</w:t>
            </w:r>
          </w:p>
        </w:tc>
        <w:tc>
          <w:tcPr>
            <w:tcW w:w="935" w:type="dxa"/>
            <w:tcBorders>
              <w:top w:val="single" w:sz="4" w:space="0" w:color="auto"/>
              <w:bottom w:val="double" w:sz="4" w:space="0" w:color="auto"/>
            </w:tcBorders>
            <w:noWrap/>
            <w:vAlign w:val="bottom"/>
            <w:hideMark/>
          </w:tcPr>
          <w:p w:rsidR="00682A88" w:rsidRPr="00CF3673" w:rsidRDefault="00682A88" w:rsidP="00682A88">
            <w:pPr>
              <w:jc w:val="center"/>
              <w:rPr>
                <w:sz w:val="18"/>
                <w:szCs w:val="18"/>
              </w:rPr>
            </w:pPr>
            <w:r w:rsidRPr="00CF3673">
              <w:rPr>
                <w:sz w:val="18"/>
                <w:szCs w:val="18"/>
              </w:rPr>
              <w:t>69</w:t>
            </w:r>
          </w:p>
        </w:tc>
        <w:tc>
          <w:tcPr>
            <w:tcW w:w="594" w:type="dxa"/>
            <w:tcBorders>
              <w:top w:val="single" w:sz="4" w:space="0" w:color="auto"/>
              <w:bottom w:val="double" w:sz="4" w:space="0" w:color="auto"/>
            </w:tcBorders>
            <w:noWrap/>
            <w:vAlign w:val="bottom"/>
            <w:hideMark/>
          </w:tcPr>
          <w:p w:rsidR="00682A88" w:rsidRPr="00CF3673" w:rsidRDefault="00682A88" w:rsidP="00682A88">
            <w:pPr>
              <w:jc w:val="center"/>
              <w:rPr>
                <w:sz w:val="18"/>
                <w:szCs w:val="18"/>
              </w:rPr>
            </w:pPr>
            <w:r w:rsidRPr="00CF3673">
              <w:rPr>
                <w:sz w:val="18"/>
                <w:szCs w:val="18"/>
              </w:rPr>
              <w:t>143</w:t>
            </w:r>
          </w:p>
        </w:tc>
        <w:tc>
          <w:tcPr>
            <w:tcW w:w="879" w:type="dxa"/>
            <w:tcBorders>
              <w:top w:val="single" w:sz="4" w:space="0" w:color="auto"/>
              <w:bottom w:val="double" w:sz="4" w:space="0" w:color="auto"/>
            </w:tcBorders>
            <w:noWrap/>
            <w:vAlign w:val="bottom"/>
            <w:hideMark/>
          </w:tcPr>
          <w:p w:rsidR="00682A88" w:rsidRPr="00CF3673" w:rsidRDefault="00682A88" w:rsidP="00682A88">
            <w:pPr>
              <w:jc w:val="center"/>
              <w:rPr>
                <w:sz w:val="18"/>
                <w:szCs w:val="18"/>
              </w:rPr>
            </w:pPr>
            <w:r w:rsidRPr="00CF3673">
              <w:rPr>
                <w:sz w:val="18"/>
                <w:szCs w:val="18"/>
              </w:rPr>
              <w:t>48</w:t>
            </w:r>
          </w:p>
        </w:tc>
        <w:tc>
          <w:tcPr>
            <w:tcW w:w="709" w:type="dxa"/>
            <w:tcBorders>
              <w:top w:val="single" w:sz="4" w:space="0" w:color="auto"/>
              <w:bottom w:val="double" w:sz="4" w:space="0" w:color="auto"/>
            </w:tcBorders>
            <w:noWrap/>
            <w:vAlign w:val="bottom"/>
            <w:hideMark/>
          </w:tcPr>
          <w:p w:rsidR="00682A88" w:rsidRPr="00CF3673" w:rsidRDefault="00682A88" w:rsidP="00682A88">
            <w:pPr>
              <w:jc w:val="center"/>
              <w:rPr>
                <w:sz w:val="18"/>
                <w:szCs w:val="18"/>
              </w:rPr>
            </w:pPr>
            <w:r w:rsidRPr="00CF3673">
              <w:rPr>
                <w:sz w:val="18"/>
                <w:szCs w:val="18"/>
              </w:rPr>
              <w:t>23</w:t>
            </w:r>
          </w:p>
        </w:tc>
        <w:tc>
          <w:tcPr>
            <w:tcW w:w="823" w:type="dxa"/>
            <w:tcBorders>
              <w:top w:val="single" w:sz="4" w:space="0" w:color="auto"/>
              <w:bottom w:val="double" w:sz="4" w:space="0" w:color="auto"/>
            </w:tcBorders>
            <w:noWrap/>
            <w:vAlign w:val="bottom"/>
            <w:hideMark/>
          </w:tcPr>
          <w:p w:rsidR="00682A88" w:rsidRPr="00CF3673" w:rsidRDefault="00682A88" w:rsidP="00682A88">
            <w:pPr>
              <w:jc w:val="center"/>
              <w:rPr>
                <w:sz w:val="18"/>
                <w:szCs w:val="18"/>
              </w:rPr>
            </w:pPr>
            <w:r w:rsidRPr="00CF3673">
              <w:rPr>
                <w:sz w:val="18"/>
                <w:szCs w:val="18"/>
              </w:rPr>
              <w:t>85</w:t>
            </w:r>
          </w:p>
        </w:tc>
        <w:tc>
          <w:tcPr>
            <w:tcW w:w="718" w:type="dxa"/>
            <w:tcBorders>
              <w:top w:val="single" w:sz="4" w:space="0" w:color="auto"/>
              <w:bottom w:val="double" w:sz="4" w:space="0" w:color="auto"/>
            </w:tcBorders>
            <w:noWrap/>
            <w:vAlign w:val="bottom"/>
            <w:hideMark/>
          </w:tcPr>
          <w:p w:rsidR="00682A88" w:rsidRPr="00CF3673" w:rsidRDefault="00682A88" w:rsidP="00682A88">
            <w:pPr>
              <w:jc w:val="center"/>
              <w:rPr>
                <w:sz w:val="18"/>
                <w:szCs w:val="18"/>
              </w:rPr>
            </w:pPr>
            <w:r w:rsidRPr="00CF3673">
              <w:rPr>
                <w:sz w:val="18"/>
                <w:szCs w:val="18"/>
              </w:rPr>
              <w:t>52</w:t>
            </w:r>
          </w:p>
        </w:tc>
        <w:tc>
          <w:tcPr>
            <w:tcW w:w="709" w:type="dxa"/>
            <w:tcBorders>
              <w:top w:val="single" w:sz="4" w:space="0" w:color="auto"/>
              <w:bottom w:val="double" w:sz="4" w:space="0" w:color="auto"/>
            </w:tcBorders>
            <w:noWrap/>
            <w:vAlign w:val="bottom"/>
            <w:hideMark/>
          </w:tcPr>
          <w:p w:rsidR="00682A88" w:rsidRPr="00CF3673" w:rsidRDefault="00682A88" w:rsidP="00682A88">
            <w:pPr>
              <w:jc w:val="center"/>
              <w:rPr>
                <w:sz w:val="18"/>
                <w:szCs w:val="18"/>
              </w:rPr>
            </w:pPr>
            <w:r w:rsidRPr="00CF3673">
              <w:rPr>
                <w:sz w:val="18"/>
                <w:szCs w:val="18"/>
              </w:rPr>
              <w:t>73</w:t>
            </w:r>
          </w:p>
        </w:tc>
      </w:tr>
      <w:tr w:rsidR="00682A88" w:rsidRPr="00CF3673" w:rsidTr="00682A88">
        <w:trPr>
          <w:trHeight w:val="300"/>
        </w:trPr>
        <w:tc>
          <w:tcPr>
            <w:tcW w:w="9820" w:type="dxa"/>
            <w:gridSpan w:val="9"/>
            <w:tcBorders>
              <w:top w:val="double" w:sz="4" w:space="0" w:color="auto"/>
              <w:bottom w:val="nil"/>
            </w:tcBorders>
            <w:noWrap/>
            <w:vAlign w:val="bottom"/>
          </w:tcPr>
          <w:p w:rsidR="00682A88" w:rsidRPr="00CF3673" w:rsidRDefault="00682A88" w:rsidP="00682A88">
            <w:pPr>
              <w:pStyle w:val="Tablenote"/>
              <w:rPr>
                <w:color w:val="000000"/>
                <w:sz w:val="20"/>
                <w:lang w:val="pt-PT"/>
              </w:rPr>
            </w:pPr>
            <w:r w:rsidRPr="00CF3673">
              <w:rPr>
                <w:b/>
                <w:noProof/>
                <w:lang w:val="pt-PT"/>
              </w:rPr>
              <w:t>Nota:</w:t>
            </w:r>
            <w:r w:rsidRPr="00CF3673">
              <w:rPr>
                <w:noProof/>
                <w:lang w:val="pt-PT"/>
              </w:rPr>
              <w:t xml:space="preserve"> Os factores problemáticos para a operação eo crescimento das empresas ( pct. terem respondido " grande obstáculo " ou " sério obstáculo " ) . Números em negrito indicam que a restrição classificado entre os cinco primeiros no ano indicado . * A categoria de Tete abrange a província de Tete ( Tete e Moatize ) ea categoria Gaza cobre província de Gaza ( Xai- Xai e Chókwè ).</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trPr>
        <w:tc>
          <w:tcPr>
            <w:tcW w:w="9820" w:type="dxa"/>
            <w:gridSpan w:val="9"/>
            <w:tcBorders>
              <w:top w:val="nil"/>
              <w:bottom w:val="nil"/>
            </w:tcBorders>
            <w:noWrap/>
            <w:vAlign w:val="bottom"/>
          </w:tcPr>
          <w:p w:rsidR="00682A88" w:rsidRPr="00CF3673" w:rsidRDefault="00682A88" w:rsidP="00682A88">
            <w:pPr>
              <w:pStyle w:val="Tablenote"/>
              <w:rPr>
                <w:noProof/>
                <w:lang w:val="pt-PT"/>
              </w:rPr>
            </w:pPr>
            <w:r w:rsidRPr="00CF3673">
              <w:rPr>
                <w:b/>
                <w:noProof/>
                <w:lang w:val="pt-PT"/>
              </w:rPr>
              <w:t xml:space="preserve">Fonte: </w:t>
            </w:r>
            <w:r w:rsidRPr="00CF3673">
              <w:rPr>
                <w:noProof/>
                <w:lang w:val="pt-PT"/>
              </w:rPr>
              <w:t>Cálculos próprios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Finalmente, a Tabela 3.15 apresenta restrições por sector. As</w:t>
      </w:r>
      <w:r w:rsidR="0083080D" w:rsidRPr="00CF3673">
        <w:t xml:space="preserve"> </w:t>
      </w:r>
      <w:r w:rsidR="006A4724" w:rsidRPr="00CF3673">
        <w:t>preocupações</w:t>
      </w:r>
      <w:r w:rsidR="0083080D" w:rsidRPr="00CF3673">
        <w:t xml:space="preserve"> com o crédito an</w:t>
      </w:r>
      <w:r w:rsidRPr="00CF3673">
        <w:t>da</w:t>
      </w:r>
      <w:r w:rsidR="0083080D" w:rsidRPr="00CF3673">
        <w:t>m</w:t>
      </w:r>
      <w:r w:rsidRPr="00CF3673">
        <w:t xml:space="preserve"> no topo da lista - não tanto para produtos químicos, minerais não-metálicos e máquinas. A falta de </w:t>
      </w:r>
      <w:r w:rsidR="006A4724" w:rsidRPr="00CF3673">
        <w:t>informações</w:t>
      </w:r>
      <w:r w:rsidRPr="00CF3673">
        <w:t xml:space="preserve"> sobre o mercado parece estar restringindo os produtos químicos e os sectores de máquinas muito severamente, possivelmente porque esses mercados não são muito bem desenvolvidos em Moçambique, o que torna difícil para as empresas entender a demanda por seus produtos. A abertura aos mercados internacionais parece estar restringindo especialmente os sectores de vestuário, máquinas e móveis, provavelmente porque esses sectores enfrentam a dura concorrência de </w:t>
      </w:r>
      <w:r w:rsidR="006A4724" w:rsidRPr="00CF3673">
        <w:t>importações</w:t>
      </w:r>
      <w:r w:rsidRPr="00CF3673">
        <w:t xml:space="preserve"> sul- Africanas e da </w:t>
      </w:r>
      <w:r w:rsidR="0083080D" w:rsidRPr="00CF3673">
        <w:t>Ásia.</w:t>
      </w:r>
    </w:p>
    <w:p w:rsidR="00682A88" w:rsidRPr="00CF3673" w:rsidRDefault="00682A88" w:rsidP="00682A88">
      <w:pPr>
        <w:pStyle w:val="TableTitle"/>
        <w:rPr>
          <w:lang w:val="pt-PT"/>
        </w:rPr>
      </w:pPr>
      <w:r w:rsidRPr="00CF3673">
        <w:rPr>
          <w:lang w:val="pt-PT"/>
        </w:rPr>
        <w:t xml:space="preserve">Tabela 3.15: </w:t>
      </w:r>
      <w:r w:rsidR="006A4724" w:rsidRPr="00CF3673">
        <w:rPr>
          <w:lang w:val="pt-PT"/>
        </w:rPr>
        <w:t>Constrangimentos</w:t>
      </w:r>
      <w:r w:rsidRPr="00CF3673">
        <w:rPr>
          <w:lang w:val="pt-PT"/>
        </w:rPr>
        <w:t xml:space="preserve"> enfrentados pelo sector, % de empresas restritas</w:t>
      </w:r>
    </w:p>
    <w:tbl>
      <w:tblPr>
        <w:tblStyle w:val="StandardTable"/>
        <w:tblW w:w="11271" w:type="dxa"/>
        <w:jc w:val="center"/>
        <w:tblLook w:val="04E0" w:firstRow="1" w:lastRow="1" w:firstColumn="1" w:lastColumn="0" w:noHBand="0" w:noVBand="1"/>
      </w:tblPr>
      <w:tblGrid>
        <w:gridCol w:w="3888"/>
        <w:gridCol w:w="875"/>
        <w:gridCol w:w="676"/>
        <w:gridCol w:w="841"/>
        <w:gridCol w:w="763"/>
        <w:gridCol w:w="890"/>
        <w:gridCol w:w="824"/>
        <w:gridCol w:w="785"/>
        <w:gridCol w:w="600"/>
        <w:gridCol w:w="858"/>
        <w:gridCol w:w="890"/>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30"/>
          <w:jc w:val="center"/>
        </w:trPr>
        <w:tc>
          <w:tcPr>
            <w:tcW w:w="0" w:type="auto"/>
            <w:noWrap/>
            <w:hideMark/>
          </w:tcPr>
          <w:p w:rsidR="00682A88" w:rsidRPr="00CF3673" w:rsidRDefault="00682A88" w:rsidP="00682A88">
            <w:pPr>
              <w:rPr>
                <w:rFonts w:ascii="Calibri" w:eastAsia="Times New Roman" w:hAnsi="Calibri" w:cs="Times New Roman"/>
                <w:sz w:val="16"/>
                <w:lang w:eastAsia="zh-CN"/>
              </w:rPr>
            </w:pPr>
          </w:p>
        </w:tc>
        <w:tc>
          <w:tcPr>
            <w:tcW w:w="0" w:type="auto"/>
            <w:noWrap/>
            <w:hideMark/>
          </w:tcPr>
          <w:p w:rsidR="00682A88" w:rsidRPr="00CF3673" w:rsidRDefault="00682A88" w:rsidP="00682A88">
            <w:pPr>
              <w:jc w:val="center"/>
              <w:rPr>
                <w:rFonts w:ascii="Calibri" w:eastAsia="Times New Roman" w:hAnsi="Calibri" w:cs="Times New Roman"/>
                <w:sz w:val="16"/>
                <w:lang w:eastAsia="zh-CN"/>
              </w:rPr>
            </w:pPr>
            <w:r w:rsidRPr="00CF3673">
              <w:rPr>
                <w:rFonts w:ascii="Calibri" w:eastAsia="Times New Roman" w:hAnsi="Calibri" w:cs="Times New Roman"/>
                <w:sz w:val="16"/>
                <w:szCs w:val="20"/>
                <w:lang w:eastAsia="zh-CN"/>
              </w:rPr>
              <w:t>Alimentos</w:t>
            </w:r>
          </w:p>
        </w:tc>
        <w:tc>
          <w:tcPr>
            <w:tcW w:w="0" w:type="auto"/>
            <w:noWrap/>
            <w:hideMark/>
          </w:tcPr>
          <w:p w:rsidR="00682A88" w:rsidRPr="00CF3673" w:rsidRDefault="00682A88" w:rsidP="00682A88">
            <w:pPr>
              <w:jc w:val="center"/>
              <w:rPr>
                <w:rFonts w:ascii="Calibri" w:eastAsia="Times New Roman" w:hAnsi="Calibri" w:cs="Times New Roman"/>
                <w:sz w:val="16"/>
                <w:szCs w:val="20"/>
                <w:lang w:eastAsia="zh-CN"/>
              </w:rPr>
            </w:pPr>
            <w:r w:rsidRPr="00CF3673">
              <w:rPr>
                <w:rFonts w:ascii="Calibri" w:eastAsia="Times New Roman" w:hAnsi="Calibri" w:cs="Times New Roman"/>
                <w:sz w:val="16"/>
                <w:szCs w:val="20"/>
                <w:lang w:eastAsia="zh-CN"/>
              </w:rPr>
              <w:t>Têxteis</w:t>
            </w:r>
          </w:p>
        </w:tc>
        <w:tc>
          <w:tcPr>
            <w:tcW w:w="0" w:type="auto"/>
            <w:noWrap/>
            <w:hideMark/>
          </w:tcPr>
          <w:p w:rsidR="00682A88" w:rsidRPr="00CF3673" w:rsidRDefault="00682A88" w:rsidP="00682A88">
            <w:pPr>
              <w:jc w:val="center"/>
              <w:rPr>
                <w:rFonts w:ascii="Calibri" w:eastAsia="Times New Roman" w:hAnsi="Calibri" w:cs="Times New Roman"/>
                <w:sz w:val="16"/>
                <w:szCs w:val="20"/>
                <w:lang w:eastAsia="zh-CN"/>
              </w:rPr>
            </w:pPr>
            <w:r w:rsidRPr="00CF3673">
              <w:rPr>
                <w:rFonts w:ascii="Calibri" w:eastAsia="Times New Roman" w:hAnsi="Calibri" w:cs="Times New Roman"/>
                <w:sz w:val="16"/>
                <w:szCs w:val="20"/>
                <w:lang w:eastAsia="zh-CN"/>
              </w:rPr>
              <w:t>Vestuário</w:t>
            </w:r>
          </w:p>
        </w:tc>
        <w:tc>
          <w:tcPr>
            <w:tcW w:w="0" w:type="auto"/>
            <w:noWrap/>
            <w:hideMark/>
          </w:tcPr>
          <w:p w:rsidR="00682A88" w:rsidRPr="00CF3673" w:rsidRDefault="00682A88" w:rsidP="00682A88">
            <w:pPr>
              <w:jc w:val="center"/>
              <w:rPr>
                <w:rFonts w:ascii="Calibri" w:eastAsia="Times New Roman" w:hAnsi="Calibri" w:cs="Times New Roman"/>
                <w:sz w:val="16"/>
                <w:szCs w:val="20"/>
                <w:lang w:eastAsia="zh-CN"/>
              </w:rPr>
            </w:pPr>
            <w:r w:rsidRPr="00CF3673">
              <w:rPr>
                <w:rFonts w:ascii="Calibri" w:eastAsia="Times New Roman" w:hAnsi="Calibri" w:cs="Times New Roman"/>
                <w:sz w:val="16"/>
                <w:szCs w:val="20"/>
                <w:lang w:eastAsia="zh-CN"/>
              </w:rPr>
              <w:t>Madeira</w:t>
            </w:r>
          </w:p>
        </w:tc>
        <w:tc>
          <w:tcPr>
            <w:tcW w:w="0" w:type="auto"/>
            <w:noWrap/>
            <w:hideMark/>
          </w:tcPr>
          <w:p w:rsidR="00682A88" w:rsidRPr="00CF3673" w:rsidRDefault="00682A88" w:rsidP="00682A88">
            <w:pPr>
              <w:jc w:val="center"/>
              <w:rPr>
                <w:rFonts w:ascii="Calibri" w:eastAsia="Times New Roman" w:hAnsi="Calibri" w:cs="Times New Roman"/>
                <w:sz w:val="16"/>
                <w:szCs w:val="20"/>
                <w:lang w:eastAsia="zh-CN"/>
              </w:rPr>
            </w:pPr>
            <w:r w:rsidRPr="00CF3673">
              <w:rPr>
                <w:rFonts w:ascii="Calibri" w:eastAsia="Times New Roman" w:hAnsi="Calibri" w:cs="Times New Roman"/>
                <w:sz w:val="16"/>
                <w:szCs w:val="20"/>
                <w:lang w:eastAsia="zh-CN"/>
              </w:rPr>
              <w:t>Impressão</w:t>
            </w:r>
          </w:p>
        </w:tc>
        <w:tc>
          <w:tcPr>
            <w:tcW w:w="0" w:type="auto"/>
            <w:noWrap/>
            <w:hideMark/>
          </w:tcPr>
          <w:p w:rsidR="00682A88" w:rsidRPr="00CF3673" w:rsidRDefault="00682A88" w:rsidP="00682A88">
            <w:pPr>
              <w:jc w:val="center"/>
              <w:rPr>
                <w:rFonts w:ascii="Calibri" w:eastAsia="Times New Roman" w:hAnsi="Calibri" w:cs="Times New Roman"/>
                <w:sz w:val="16"/>
                <w:szCs w:val="20"/>
                <w:lang w:eastAsia="zh-CN"/>
              </w:rPr>
            </w:pPr>
            <w:r w:rsidRPr="00CF3673">
              <w:rPr>
                <w:rFonts w:ascii="Calibri" w:eastAsia="Times New Roman" w:hAnsi="Calibri" w:cs="Times New Roman"/>
                <w:sz w:val="16"/>
                <w:szCs w:val="20"/>
                <w:lang w:eastAsia="zh-CN"/>
              </w:rPr>
              <w:t>Químicos</w:t>
            </w:r>
          </w:p>
        </w:tc>
        <w:tc>
          <w:tcPr>
            <w:tcW w:w="0" w:type="auto"/>
            <w:noWrap/>
            <w:hideMark/>
          </w:tcPr>
          <w:p w:rsidR="00682A88" w:rsidRPr="00CF3673" w:rsidRDefault="00682A88" w:rsidP="00682A88">
            <w:pPr>
              <w:jc w:val="center"/>
              <w:rPr>
                <w:rFonts w:ascii="Calibri" w:eastAsia="Times New Roman" w:hAnsi="Calibri" w:cs="Times New Roman"/>
                <w:sz w:val="16"/>
                <w:szCs w:val="20"/>
                <w:lang w:eastAsia="zh-CN"/>
              </w:rPr>
            </w:pPr>
            <w:r w:rsidRPr="00CF3673">
              <w:rPr>
                <w:rFonts w:ascii="Calibri" w:eastAsia="Times New Roman" w:hAnsi="Calibri" w:cs="Times New Roman"/>
                <w:sz w:val="16"/>
                <w:szCs w:val="20"/>
                <w:lang w:eastAsia="zh-CN"/>
              </w:rPr>
              <w:t>Minerais</w:t>
            </w:r>
          </w:p>
        </w:tc>
        <w:tc>
          <w:tcPr>
            <w:tcW w:w="0" w:type="auto"/>
            <w:noWrap/>
            <w:hideMark/>
          </w:tcPr>
          <w:p w:rsidR="00682A88" w:rsidRPr="00CF3673" w:rsidRDefault="00682A88" w:rsidP="00682A88">
            <w:pPr>
              <w:jc w:val="center"/>
              <w:rPr>
                <w:rFonts w:ascii="Calibri" w:eastAsia="Times New Roman" w:hAnsi="Calibri" w:cs="Times New Roman"/>
                <w:sz w:val="16"/>
                <w:szCs w:val="20"/>
                <w:lang w:eastAsia="zh-CN"/>
              </w:rPr>
            </w:pPr>
            <w:r w:rsidRPr="00CF3673">
              <w:rPr>
                <w:rFonts w:ascii="Calibri" w:eastAsia="Times New Roman" w:hAnsi="Calibri" w:cs="Times New Roman"/>
                <w:sz w:val="16"/>
                <w:szCs w:val="20"/>
                <w:lang w:eastAsia="zh-CN"/>
              </w:rPr>
              <w:t>Metal</w:t>
            </w:r>
          </w:p>
        </w:tc>
        <w:tc>
          <w:tcPr>
            <w:tcW w:w="0" w:type="auto"/>
            <w:noWrap/>
            <w:hideMark/>
          </w:tcPr>
          <w:p w:rsidR="00682A88" w:rsidRPr="00CF3673" w:rsidRDefault="00682A88" w:rsidP="00682A88">
            <w:pPr>
              <w:jc w:val="center"/>
              <w:rPr>
                <w:rFonts w:ascii="Calibri" w:eastAsia="Times New Roman" w:hAnsi="Calibri" w:cs="Times New Roman"/>
                <w:sz w:val="16"/>
                <w:szCs w:val="20"/>
                <w:lang w:eastAsia="zh-CN"/>
              </w:rPr>
            </w:pPr>
            <w:r w:rsidRPr="00CF3673">
              <w:rPr>
                <w:rFonts w:ascii="Calibri" w:eastAsia="Times New Roman" w:hAnsi="Calibri" w:cs="Times New Roman"/>
                <w:sz w:val="16"/>
                <w:szCs w:val="20"/>
                <w:lang w:eastAsia="zh-CN"/>
              </w:rPr>
              <w:t>Máquinas</w:t>
            </w:r>
          </w:p>
        </w:tc>
        <w:tc>
          <w:tcPr>
            <w:tcW w:w="890" w:type="dxa"/>
            <w:noWrap/>
            <w:hideMark/>
          </w:tcPr>
          <w:p w:rsidR="00682A88" w:rsidRPr="00CF3673" w:rsidRDefault="00682A88" w:rsidP="00682A88">
            <w:pPr>
              <w:jc w:val="center"/>
              <w:rPr>
                <w:rFonts w:ascii="Calibri" w:eastAsia="Times New Roman" w:hAnsi="Calibri" w:cs="Times New Roman"/>
                <w:sz w:val="16"/>
                <w:szCs w:val="20"/>
                <w:lang w:eastAsia="zh-CN"/>
              </w:rPr>
            </w:pPr>
            <w:r w:rsidRPr="00CF3673">
              <w:rPr>
                <w:rFonts w:ascii="Calibri" w:eastAsia="Times New Roman" w:hAnsi="Calibri" w:cs="Times New Roman"/>
                <w:sz w:val="16"/>
                <w:szCs w:val="20"/>
                <w:lang w:eastAsia="zh-CN"/>
              </w:rPr>
              <w:t>Mobiliário</w:t>
            </w:r>
          </w:p>
        </w:tc>
      </w:tr>
      <w:tr w:rsidR="00682A88" w:rsidRPr="00CF3673" w:rsidTr="00682A88">
        <w:trPr>
          <w:trHeight w:val="300"/>
          <w:jc w:val="center"/>
        </w:trPr>
        <w:tc>
          <w:tcPr>
            <w:tcW w:w="0" w:type="auto"/>
            <w:noWrap/>
            <w:vAlign w:val="center"/>
            <w:hideMark/>
          </w:tcPr>
          <w:p w:rsidR="00682A88" w:rsidRPr="00CF3673" w:rsidRDefault="00682A88" w:rsidP="00682A88">
            <w:pPr>
              <w:rPr>
                <w:sz w:val="18"/>
                <w:szCs w:val="18"/>
              </w:rPr>
            </w:pPr>
            <w:r w:rsidRPr="00CF3673">
              <w:rPr>
                <w:sz w:val="18"/>
                <w:szCs w:val="18"/>
              </w:rPr>
              <w:t>Acesso ao crédito estrangeiro</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53.2</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60.0</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68.3</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43.9</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45.5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62.5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38.7</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58.5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37.5</w:t>
            </w:r>
          </w:p>
        </w:tc>
        <w:tc>
          <w:tcPr>
            <w:tcW w:w="890" w:type="dxa"/>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60.0</w:t>
            </w:r>
          </w:p>
        </w:tc>
      </w:tr>
      <w:tr w:rsidR="00682A88" w:rsidRPr="00CF3673" w:rsidTr="00682A88">
        <w:trPr>
          <w:trHeight w:val="300"/>
          <w:jc w:val="center"/>
        </w:trPr>
        <w:tc>
          <w:tcPr>
            <w:tcW w:w="0" w:type="auto"/>
            <w:noWrap/>
            <w:vAlign w:val="center"/>
            <w:hideMark/>
          </w:tcPr>
          <w:p w:rsidR="00682A88" w:rsidRPr="00CF3673" w:rsidRDefault="00682A88" w:rsidP="00682A88">
            <w:pPr>
              <w:rPr>
                <w:sz w:val="18"/>
                <w:szCs w:val="18"/>
              </w:rPr>
            </w:pPr>
            <w:r w:rsidRPr="00CF3673">
              <w:rPr>
                <w:sz w:val="18"/>
                <w:szCs w:val="18"/>
              </w:rPr>
              <w:t>Acesso ao crédito interno</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52.8</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37.5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55.8</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55.0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23.1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55.6</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40.4</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59.0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20.0</w:t>
            </w:r>
          </w:p>
        </w:tc>
        <w:tc>
          <w:tcPr>
            <w:tcW w:w="890" w:type="dxa"/>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58.9</w:t>
            </w:r>
          </w:p>
        </w:tc>
      </w:tr>
      <w:tr w:rsidR="00682A88" w:rsidRPr="00CF3673" w:rsidTr="00682A88">
        <w:trPr>
          <w:trHeight w:val="300"/>
          <w:jc w:val="center"/>
        </w:trPr>
        <w:tc>
          <w:tcPr>
            <w:tcW w:w="0" w:type="auto"/>
            <w:noWrap/>
            <w:vAlign w:val="center"/>
            <w:hideMark/>
          </w:tcPr>
          <w:p w:rsidR="00682A88" w:rsidRPr="00CF3673" w:rsidRDefault="00682A88" w:rsidP="00682A88">
            <w:pPr>
              <w:rPr>
                <w:sz w:val="18"/>
                <w:szCs w:val="18"/>
              </w:rPr>
            </w:pPr>
            <w:r w:rsidRPr="00CF3673">
              <w:rPr>
                <w:sz w:val="18"/>
                <w:szCs w:val="18"/>
              </w:rPr>
              <w:t>Custo de financiamento (ex. Taxas de juro)</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55.0</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75.0</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62.3</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57.7</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42.9</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66.7</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44.2</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55.5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33.3</w:t>
            </w:r>
          </w:p>
        </w:tc>
        <w:tc>
          <w:tcPr>
            <w:tcW w:w="890" w:type="dxa"/>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42.7</w:t>
            </w:r>
          </w:p>
        </w:tc>
      </w:tr>
      <w:tr w:rsidR="00682A88" w:rsidRPr="00CF3673" w:rsidTr="00682A88">
        <w:trPr>
          <w:trHeight w:val="300"/>
          <w:jc w:val="center"/>
        </w:trPr>
        <w:tc>
          <w:tcPr>
            <w:tcW w:w="0" w:type="auto"/>
            <w:noWrap/>
            <w:vAlign w:val="center"/>
            <w:hideMark/>
          </w:tcPr>
          <w:p w:rsidR="00682A88" w:rsidRPr="00CF3673" w:rsidRDefault="00682A88" w:rsidP="00682A88">
            <w:pPr>
              <w:rPr>
                <w:sz w:val="18"/>
                <w:szCs w:val="18"/>
              </w:rPr>
            </w:pPr>
            <w:r w:rsidRPr="00CF3673">
              <w:rPr>
                <w:sz w:val="18"/>
                <w:szCs w:val="18"/>
              </w:rPr>
              <w:t>Acesso à terra</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49.1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28.6</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56.3</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53.3</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57.1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66.7</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50.8</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48.7</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54.5</w:t>
            </w:r>
          </w:p>
        </w:tc>
        <w:tc>
          <w:tcPr>
            <w:tcW w:w="890" w:type="dxa"/>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53.5</w:t>
            </w:r>
          </w:p>
        </w:tc>
      </w:tr>
      <w:tr w:rsidR="00682A88" w:rsidRPr="00CF3673" w:rsidTr="00682A88">
        <w:trPr>
          <w:trHeight w:val="300"/>
          <w:jc w:val="center"/>
        </w:trPr>
        <w:tc>
          <w:tcPr>
            <w:tcW w:w="0" w:type="auto"/>
            <w:noWrap/>
            <w:vAlign w:val="center"/>
            <w:hideMark/>
          </w:tcPr>
          <w:p w:rsidR="00682A88" w:rsidRPr="00CF3673" w:rsidRDefault="00682A88" w:rsidP="00682A88">
            <w:pPr>
              <w:rPr>
                <w:sz w:val="18"/>
                <w:szCs w:val="18"/>
              </w:rPr>
            </w:pPr>
            <w:r w:rsidRPr="00CF3673">
              <w:rPr>
                <w:sz w:val="18"/>
                <w:szCs w:val="18"/>
              </w:rPr>
              <w:lastRenderedPageBreak/>
              <w:t>Abertura aos mercados internacionais</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50.0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16.7</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61.2</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39.6</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25.0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44.4</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42.9</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43.0</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50.0</w:t>
            </w:r>
          </w:p>
        </w:tc>
        <w:tc>
          <w:tcPr>
            <w:tcW w:w="890" w:type="dxa"/>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52.3</w:t>
            </w:r>
          </w:p>
        </w:tc>
      </w:tr>
      <w:tr w:rsidR="00682A88" w:rsidRPr="00CF3673" w:rsidTr="00682A88">
        <w:trPr>
          <w:trHeight w:val="300"/>
          <w:jc w:val="center"/>
        </w:trPr>
        <w:tc>
          <w:tcPr>
            <w:tcW w:w="0" w:type="auto"/>
            <w:noWrap/>
            <w:vAlign w:val="center"/>
            <w:hideMark/>
          </w:tcPr>
          <w:p w:rsidR="00682A88" w:rsidRPr="00CF3673" w:rsidRDefault="00682A88" w:rsidP="00682A88">
            <w:pPr>
              <w:rPr>
                <w:sz w:val="18"/>
                <w:szCs w:val="18"/>
              </w:rPr>
            </w:pPr>
            <w:r w:rsidRPr="00CF3673">
              <w:rPr>
                <w:sz w:val="18"/>
                <w:szCs w:val="18"/>
              </w:rPr>
              <w:t>Corrupção geral</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57.0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25.0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48.1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36.1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18.8</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60.0</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45.5</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54.2</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40.0</w:t>
            </w:r>
          </w:p>
        </w:tc>
        <w:tc>
          <w:tcPr>
            <w:tcW w:w="890" w:type="dxa"/>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43.5</w:t>
            </w:r>
          </w:p>
        </w:tc>
      </w:tr>
      <w:tr w:rsidR="00682A88" w:rsidRPr="00CF3673" w:rsidTr="00682A88">
        <w:trPr>
          <w:trHeight w:val="300"/>
          <w:jc w:val="center"/>
        </w:trPr>
        <w:tc>
          <w:tcPr>
            <w:tcW w:w="0" w:type="auto"/>
            <w:noWrap/>
            <w:vAlign w:val="center"/>
            <w:hideMark/>
          </w:tcPr>
          <w:p w:rsidR="00682A88" w:rsidRPr="00CF3673" w:rsidRDefault="00682A88" w:rsidP="00682A88">
            <w:pPr>
              <w:rPr>
                <w:sz w:val="18"/>
                <w:szCs w:val="18"/>
              </w:rPr>
            </w:pPr>
            <w:r w:rsidRPr="00CF3673">
              <w:rPr>
                <w:sz w:val="18"/>
                <w:szCs w:val="18"/>
              </w:rPr>
              <w:t xml:space="preserve">Concorrência de </w:t>
            </w:r>
            <w:r w:rsidR="006A4724" w:rsidRPr="00CF3673">
              <w:rPr>
                <w:sz w:val="18"/>
                <w:szCs w:val="18"/>
              </w:rPr>
              <w:t>importações</w:t>
            </w:r>
            <w:r w:rsidRPr="00CF3673">
              <w:rPr>
                <w:sz w:val="18"/>
                <w:szCs w:val="18"/>
              </w:rPr>
              <w:t xml:space="preserve"> ilegais/contrabando</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44.3</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50.0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52.6</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41.5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28.6</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80.0</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46.4</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47.1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40.0</w:t>
            </w:r>
          </w:p>
        </w:tc>
        <w:tc>
          <w:tcPr>
            <w:tcW w:w="890" w:type="dxa"/>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47.1</w:t>
            </w:r>
          </w:p>
        </w:tc>
      </w:tr>
      <w:tr w:rsidR="00682A88" w:rsidRPr="00CF3673" w:rsidTr="00682A88">
        <w:trPr>
          <w:trHeight w:val="300"/>
          <w:jc w:val="center"/>
        </w:trPr>
        <w:tc>
          <w:tcPr>
            <w:tcW w:w="0" w:type="auto"/>
            <w:noWrap/>
            <w:vAlign w:val="center"/>
            <w:hideMark/>
          </w:tcPr>
          <w:p w:rsidR="00682A88" w:rsidRPr="00CF3673" w:rsidRDefault="00682A88" w:rsidP="00682A88">
            <w:pPr>
              <w:rPr>
                <w:sz w:val="18"/>
                <w:szCs w:val="18"/>
              </w:rPr>
            </w:pPr>
            <w:r w:rsidRPr="00CF3673">
              <w:rPr>
                <w:sz w:val="18"/>
                <w:szCs w:val="18"/>
              </w:rPr>
              <w:t>Acesso a serviços de apoio às empresas</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47.2</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75.0</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56.6</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34.5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35.3</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33.3</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46.4</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49.0</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58.3</w:t>
            </w:r>
          </w:p>
        </w:tc>
        <w:tc>
          <w:tcPr>
            <w:tcW w:w="890" w:type="dxa"/>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43.0</w:t>
            </w:r>
          </w:p>
        </w:tc>
      </w:tr>
      <w:tr w:rsidR="00682A88" w:rsidRPr="00CF3673" w:rsidTr="00682A88">
        <w:trPr>
          <w:trHeight w:val="300"/>
          <w:jc w:val="center"/>
        </w:trPr>
        <w:tc>
          <w:tcPr>
            <w:tcW w:w="0" w:type="auto"/>
            <w:noWrap/>
            <w:vAlign w:val="center"/>
            <w:hideMark/>
          </w:tcPr>
          <w:p w:rsidR="00682A88" w:rsidRPr="00CF3673" w:rsidRDefault="00682A88" w:rsidP="00682A88">
            <w:pPr>
              <w:rPr>
                <w:sz w:val="18"/>
                <w:szCs w:val="18"/>
              </w:rPr>
            </w:pPr>
            <w:r w:rsidRPr="00CF3673">
              <w:rPr>
                <w:sz w:val="18"/>
                <w:szCs w:val="18"/>
              </w:rPr>
              <w:t>Crime, roubo e desordem</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47.5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44.4</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46.0</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43.5</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56.3</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40.0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41.8</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42.7</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45.5</w:t>
            </w:r>
          </w:p>
        </w:tc>
        <w:tc>
          <w:tcPr>
            <w:tcW w:w="890" w:type="dxa"/>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49.7</w:t>
            </w:r>
          </w:p>
        </w:tc>
      </w:tr>
      <w:tr w:rsidR="00682A88" w:rsidRPr="00CF3673" w:rsidTr="00682A88">
        <w:trPr>
          <w:trHeight w:val="300"/>
          <w:jc w:val="center"/>
        </w:trPr>
        <w:tc>
          <w:tcPr>
            <w:tcW w:w="0" w:type="auto"/>
            <w:noWrap/>
            <w:vAlign w:val="center"/>
            <w:hideMark/>
          </w:tcPr>
          <w:p w:rsidR="00682A88" w:rsidRPr="00CF3673" w:rsidRDefault="006A4724" w:rsidP="00682A88">
            <w:pPr>
              <w:rPr>
                <w:sz w:val="18"/>
                <w:szCs w:val="18"/>
              </w:rPr>
            </w:pPr>
            <w:r w:rsidRPr="00CF3673">
              <w:rPr>
                <w:sz w:val="18"/>
                <w:szCs w:val="18"/>
              </w:rPr>
              <w:t>Administração</w:t>
            </w:r>
            <w:r w:rsidR="00682A88" w:rsidRPr="00CF3673">
              <w:rPr>
                <w:sz w:val="18"/>
                <w:szCs w:val="18"/>
              </w:rPr>
              <w:t xml:space="preserve"> </w:t>
            </w:r>
            <w:r w:rsidRPr="00CF3673">
              <w:rPr>
                <w:sz w:val="18"/>
                <w:szCs w:val="18"/>
              </w:rPr>
              <w:t>aduaneira</w:t>
            </w:r>
            <w:r w:rsidR="00682A88" w:rsidRPr="00CF3673">
              <w:rPr>
                <w:sz w:val="18"/>
                <w:szCs w:val="18"/>
              </w:rPr>
              <w:t xml:space="preserve"> e regulação do comércio</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55.8</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62.5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47.2</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24.4</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25.0</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75.0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17.9</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42.3</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27.3</w:t>
            </w:r>
          </w:p>
        </w:tc>
        <w:tc>
          <w:tcPr>
            <w:tcW w:w="890" w:type="dxa"/>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44.6</w:t>
            </w:r>
          </w:p>
        </w:tc>
      </w:tr>
      <w:tr w:rsidR="00682A88" w:rsidRPr="00CF3673" w:rsidTr="00682A88">
        <w:trPr>
          <w:trHeight w:val="300"/>
          <w:jc w:val="center"/>
        </w:trPr>
        <w:tc>
          <w:tcPr>
            <w:tcW w:w="0" w:type="auto"/>
            <w:noWrap/>
            <w:vAlign w:val="center"/>
            <w:hideMark/>
          </w:tcPr>
          <w:p w:rsidR="00682A88" w:rsidRPr="00CF3673" w:rsidRDefault="00682A88" w:rsidP="0083080D">
            <w:pPr>
              <w:rPr>
                <w:sz w:val="18"/>
                <w:szCs w:val="18"/>
              </w:rPr>
            </w:pPr>
            <w:r w:rsidRPr="00CF3673">
              <w:rPr>
                <w:sz w:val="18"/>
                <w:szCs w:val="18"/>
              </w:rPr>
              <w:t>Instabilidade Macroeconómica  (</w:t>
            </w:r>
            <w:proofErr w:type="spellStart"/>
            <w:r w:rsidRPr="00CF3673">
              <w:rPr>
                <w:sz w:val="18"/>
                <w:szCs w:val="18"/>
              </w:rPr>
              <w:t>infl</w:t>
            </w:r>
            <w:proofErr w:type="spellEnd"/>
            <w:r w:rsidRPr="00CF3673">
              <w:rPr>
                <w:sz w:val="18"/>
                <w:szCs w:val="18"/>
              </w:rPr>
              <w:t>.,</w:t>
            </w:r>
            <w:proofErr w:type="spellStart"/>
            <w:r w:rsidR="0083080D" w:rsidRPr="00CF3673">
              <w:rPr>
                <w:sz w:val="18"/>
                <w:szCs w:val="18"/>
              </w:rPr>
              <w:t>tax</w:t>
            </w:r>
            <w:proofErr w:type="spellEnd"/>
            <w:r w:rsidR="0083080D" w:rsidRPr="00CF3673">
              <w:rPr>
                <w:sz w:val="18"/>
                <w:szCs w:val="18"/>
              </w:rPr>
              <w:t xml:space="preserve"> </w:t>
            </w:r>
            <w:proofErr w:type="spellStart"/>
            <w:r w:rsidR="0083080D" w:rsidRPr="00CF3673">
              <w:rPr>
                <w:sz w:val="18"/>
                <w:szCs w:val="18"/>
              </w:rPr>
              <w:t>camb</w:t>
            </w:r>
            <w:proofErr w:type="spellEnd"/>
            <w:r w:rsidRPr="00CF3673">
              <w:rPr>
                <w:sz w:val="18"/>
                <w:szCs w:val="18"/>
              </w:rPr>
              <w:t>)</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46.3</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85.7</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40.3</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42.7</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25.0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50.0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37.7</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49.2</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10.0</w:t>
            </w:r>
          </w:p>
        </w:tc>
        <w:tc>
          <w:tcPr>
            <w:tcW w:w="890" w:type="dxa"/>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35.2</w:t>
            </w:r>
          </w:p>
        </w:tc>
      </w:tr>
      <w:tr w:rsidR="00682A88" w:rsidRPr="00CF3673" w:rsidTr="00682A88">
        <w:trPr>
          <w:trHeight w:val="300"/>
          <w:jc w:val="center"/>
        </w:trPr>
        <w:tc>
          <w:tcPr>
            <w:tcW w:w="0" w:type="auto"/>
            <w:noWrap/>
            <w:vAlign w:val="center"/>
            <w:hideMark/>
          </w:tcPr>
          <w:p w:rsidR="00682A88" w:rsidRPr="00CF3673" w:rsidRDefault="00682A88" w:rsidP="0083080D">
            <w:pPr>
              <w:rPr>
                <w:sz w:val="18"/>
                <w:szCs w:val="18"/>
              </w:rPr>
            </w:pPr>
            <w:r w:rsidRPr="00CF3673">
              <w:rPr>
                <w:sz w:val="18"/>
                <w:szCs w:val="18"/>
              </w:rPr>
              <w:t>Corrup</w:t>
            </w:r>
            <w:r w:rsidR="0083080D" w:rsidRPr="00CF3673">
              <w:rPr>
                <w:sz w:val="18"/>
                <w:szCs w:val="18"/>
              </w:rPr>
              <w:t xml:space="preserve">ção relacionada com </w:t>
            </w:r>
            <w:r w:rsidR="006A4724" w:rsidRPr="00CF3673">
              <w:rPr>
                <w:sz w:val="18"/>
                <w:szCs w:val="18"/>
              </w:rPr>
              <w:t>alfândegas</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58.2</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57.1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51.0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26.0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8.3</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60.0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34.5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41.9</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62.5</w:t>
            </w:r>
          </w:p>
        </w:tc>
        <w:tc>
          <w:tcPr>
            <w:tcW w:w="890" w:type="dxa"/>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33.0</w:t>
            </w:r>
          </w:p>
        </w:tc>
      </w:tr>
      <w:tr w:rsidR="00682A88" w:rsidRPr="00CF3673" w:rsidTr="00682A88">
        <w:trPr>
          <w:trHeight w:val="300"/>
          <w:jc w:val="center"/>
        </w:trPr>
        <w:tc>
          <w:tcPr>
            <w:tcW w:w="0" w:type="auto"/>
            <w:noWrap/>
            <w:vAlign w:val="center"/>
            <w:hideMark/>
          </w:tcPr>
          <w:p w:rsidR="00682A88" w:rsidRPr="00CF3673" w:rsidRDefault="00682A88" w:rsidP="00682A88">
            <w:pPr>
              <w:rPr>
                <w:sz w:val="18"/>
                <w:szCs w:val="18"/>
              </w:rPr>
            </w:pPr>
            <w:r w:rsidRPr="00CF3673">
              <w:rPr>
                <w:sz w:val="18"/>
                <w:szCs w:val="18"/>
              </w:rPr>
              <w:t>Instabilidade económica e política</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43.1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37.5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45.9</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29.2</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42.9</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57.1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26.0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48.1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30.0</w:t>
            </w:r>
          </w:p>
        </w:tc>
        <w:tc>
          <w:tcPr>
            <w:tcW w:w="890" w:type="dxa"/>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43.3</w:t>
            </w:r>
          </w:p>
        </w:tc>
      </w:tr>
      <w:tr w:rsidR="00682A88" w:rsidRPr="00CF3673" w:rsidTr="00682A88">
        <w:trPr>
          <w:trHeight w:val="300"/>
          <w:jc w:val="center"/>
        </w:trPr>
        <w:tc>
          <w:tcPr>
            <w:tcW w:w="0" w:type="auto"/>
            <w:noWrap/>
            <w:vAlign w:val="center"/>
            <w:hideMark/>
          </w:tcPr>
          <w:p w:rsidR="00682A88" w:rsidRPr="00CF3673" w:rsidRDefault="00682A88" w:rsidP="00682A88">
            <w:pPr>
              <w:rPr>
                <w:sz w:val="18"/>
                <w:szCs w:val="18"/>
              </w:rPr>
            </w:pPr>
            <w:r w:rsidRPr="00CF3673">
              <w:rPr>
                <w:sz w:val="18"/>
                <w:szCs w:val="18"/>
              </w:rPr>
              <w:t xml:space="preserve">Acesso a </w:t>
            </w:r>
            <w:r w:rsidR="006A4724" w:rsidRPr="00CF3673">
              <w:rPr>
                <w:sz w:val="18"/>
                <w:szCs w:val="18"/>
              </w:rPr>
              <w:t>informações</w:t>
            </w:r>
            <w:r w:rsidRPr="00CF3673">
              <w:rPr>
                <w:sz w:val="18"/>
                <w:szCs w:val="18"/>
              </w:rPr>
              <w:t xml:space="preserve"> de mercado</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41.6</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37.5</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40.0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34.1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11.8</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70.0</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43.1</w:t>
            </w:r>
          </w:p>
        </w:tc>
        <w:tc>
          <w:tcPr>
            <w:tcW w:w="0" w:type="auto"/>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43.5</w:t>
            </w:r>
          </w:p>
        </w:tc>
        <w:tc>
          <w:tcPr>
            <w:tcW w:w="0" w:type="auto"/>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53.8</w:t>
            </w:r>
          </w:p>
        </w:tc>
        <w:tc>
          <w:tcPr>
            <w:tcW w:w="890" w:type="dxa"/>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42.4</w:t>
            </w:r>
          </w:p>
        </w:tc>
      </w:tr>
      <w:tr w:rsidR="00682A88" w:rsidRPr="00CF3673" w:rsidTr="00682A88">
        <w:trPr>
          <w:trHeight w:val="300"/>
          <w:jc w:val="center"/>
        </w:trPr>
        <w:tc>
          <w:tcPr>
            <w:tcW w:w="0" w:type="auto"/>
            <w:tcBorders>
              <w:bottom w:val="nil"/>
            </w:tcBorders>
            <w:noWrap/>
            <w:vAlign w:val="center"/>
            <w:hideMark/>
          </w:tcPr>
          <w:p w:rsidR="00682A88" w:rsidRPr="00CF3673" w:rsidRDefault="00682A88" w:rsidP="00682A88">
            <w:pPr>
              <w:rPr>
                <w:sz w:val="18"/>
                <w:szCs w:val="18"/>
              </w:rPr>
            </w:pPr>
            <w:r w:rsidRPr="00CF3673">
              <w:rPr>
                <w:sz w:val="18"/>
                <w:szCs w:val="18"/>
              </w:rPr>
              <w:t xml:space="preserve">Práticas </w:t>
            </w:r>
            <w:r w:rsidR="006A4724" w:rsidRPr="00CF3673">
              <w:rPr>
                <w:sz w:val="18"/>
                <w:szCs w:val="18"/>
              </w:rPr>
              <w:t>anti concorrenciais</w:t>
            </w:r>
            <w:r w:rsidRPr="00CF3673">
              <w:rPr>
                <w:sz w:val="18"/>
                <w:szCs w:val="18"/>
              </w:rPr>
              <w:t xml:space="preserve"> (ex. monopólio)</w:t>
            </w:r>
          </w:p>
        </w:tc>
        <w:tc>
          <w:tcPr>
            <w:tcW w:w="0" w:type="auto"/>
            <w:tcBorders>
              <w:bottom w:val="nil"/>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45.8</w:t>
            </w:r>
          </w:p>
        </w:tc>
        <w:tc>
          <w:tcPr>
            <w:tcW w:w="0" w:type="auto"/>
            <w:tcBorders>
              <w:bottom w:val="nil"/>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22.2</w:t>
            </w:r>
          </w:p>
        </w:tc>
        <w:tc>
          <w:tcPr>
            <w:tcW w:w="0" w:type="auto"/>
            <w:tcBorders>
              <w:bottom w:val="nil"/>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43.1</w:t>
            </w:r>
          </w:p>
        </w:tc>
        <w:tc>
          <w:tcPr>
            <w:tcW w:w="0" w:type="auto"/>
            <w:tcBorders>
              <w:bottom w:val="nil"/>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41.7</w:t>
            </w:r>
          </w:p>
        </w:tc>
        <w:tc>
          <w:tcPr>
            <w:tcW w:w="0" w:type="auto"/>
            <w:tcBorders>
              <w:bottom w:val="nil"/>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21.4</w:t>
            </w:r>
          </w:p>
        </w:tc>
        <w:tc>
          <w:tcPr>
            <w:tcW w:w="0" w:type="auto"/>
            <w:tcBorders>
              <w:bottom w:val="nil"/>
            </w:tcBorders>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77.8</w:t>
            </w:r>
          </w:p>
        </w:tc>
        <w:tc>
          <w:tcPr>
            <w:tcW w:w="0" w:type="auto"/>
            <w:tcBorders>
              <w:bottom w:val="nil"/>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35.3</w:t>
            </w:r>
          </w:p>
        </w:tc>
        <w:tc>
          <w:tcPr>
            <w:tcW w:w="0" w:type="auto"/>
            <w:tcBorders>
              <w:bottom w:val="nil"/>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40.7</w:t>
            </w:r>
          </w:p>
        </w:tc>
        <w:tc>
          <w:tcPr>
            <w:tcW w:w="0" w:type="auto"/>
            <w:tcBorders>
              <w:bottom w:val="nil"/>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36.4</w:t>
            </w:r>
          </w:p>
        </w:tc>
        <w:tc>
          <w:tcPr>
            <w:tcW w:w="890" w:type="dxa"/>
            <w:tcBorders>
              <w:bottom w:val="nil"/>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34.6</w:t>
            </w:r>
          </w:p>
        </w:tc>
      </w:tr>
      <w:tr w:rsidR="00682A88" w:rsidRPr="00CF3673" w:rsidTr="00682A88">
        <w:trPr>
          <w:trHeight w:val="300"/>
          <w:jc w:val="center"/>
        </w:trPr>
        <w:tc>
          <w:tcPr>
            <w:tcW w:w="0" w:type="auto"/>
            <w:tcBorders>
              <w:top w:val="nil"/>
              <w:bottom w:val="single" w:sz="4" w:space="0" w:color="auto"/>
            </w:tcBorders>
            <w:noWrap/>
            <w:vAlign w:val="center"/>
            <w:hideMark/>
          </w:tcPr>
          <w:p w:rsidR="00682A88" w:rsidRPr="00CF3673" w:rsidRDefault="00682A88" w:rsidP="00682A88">
            <w:pPr>
              <w:rPr>
                <w:sz w:val="18"/>
                <w:szCs w:val="18"/>
              </w:rPr>
            </w:pPr>
            <w:r w:rsidRPr="00CF3673">
              <w:rPr>
                <w:sz w:val="18"/>
                <w:szCs w:val="18"/>
              </w:rPr>
              <w:t>Transporte</w:t>
            </w:r>
          </w:p>
        </w:tc>
        <w:tc>
          <w:tcPr>
            <w:tcW w:w="0" w:type="auto"/>
            <w:tcBorders>
              <w:top w:val="nil"/>
              <w:bottom w:val="sing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33.1</w:t>
            </w:r>
          </w:p>
        </w:tc>
        <w:tc>
          <w:tcPr>
            <w:tcW w:w="0" w:type="auto"/>
            <w:tcBorders>
              <w:top w:val="nil"/>
              <w:bottom w:val="sing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25.0</w:t>
            </w:r>
          </w:p>
        </w:tc>
        <w:tc>
          <w:tcPr>
            <w:tcW w:w="0" w:type="auto"/>
            <w:tcBorders>
              <w:top w:val="nil"/>
              <w:bottom w:val="sing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19.6</w:t>
            </w:r>
          </w:p>
        </w:tc>
        <w:tc>
          <w:tcPr>
            <w:tcW w:w="0" w:type="auto"/>
            <w:tcBorders>
              <w:top w:val="nil"/>
              <w:bottom w:val="sing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33.7</w:t>
            </w:r>
          </w:p>
        </w:tc>
        <w:tc>
          <w:tcPr>
            <w:tcW w:w="0" w:type="auto"/>
            <w:tcBorders>
              <w:top w:val="nil"/>
              <w:bottom w:val="sing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29.4</w:t>
            </w:r>
          </w:p>
        </w:tc>
        <w:tc>
          <w:tcPr>
            <w:tcW w:w="0" w:type="auto"/>
            <w:tcBorders>
              <w:top w:val="nil"/>
              <w:bottom w:val="single" w:sz="4" w:space="0" w:color="auto"/>
            </w:tcBorders>
            <w:noWrap/>
            <w:vAlign w:val="center"/>
            <w:hideMark/>
          </w:tcPr>
          <w:p w:rsidR="00682A88" w:rsidRPr="00CF3673" w:rsidRDefault="00682A88" w:rsidP="00682A88">
            <w:pPr>
              <w:jc w:val="center"/>
              <w:rPr>
                <w:rFonts w:ascii="Calibri" w:hAnsi="Calibri"/>
                <w:b/>
                <w:bCs/>
                <w:sz w:val="18"/>
                <w:szCs w:val="18"/>
              </w:rPr>
            </w:pPr>
            <w:r w:rsidRPr="00CF3673">
              <w:rPr>
                <w:rFonts w:ascii="Calibri" w:hAnsi="Calibri"/>
                <w:b/>
                <w:bCs/>
                <w:sz w:val="18"/>
                <w:szCs w:val="18"/>
              </w:rPr>
              <w:t>70.0</w:t>
            </w:r>
          </w:p>
        </w:tc>
        <w:tc>
          <w:tcPr>
            <w:tcW w:w="0" w:type="auto"/>
            <w:tcBorders>
              <w:top w:val="nil"/>
              <w:bottom w:val="sing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33.9</w:t>
            </w:r>
          </w:p>
        </w:tc>
        <w:tc>
          <w:tcPr>
            <w:tcW w:w="0" w:type="auto"/>
            <w:tcBorders>
              <w:top w:val="nil"/>
              <w:bottom w:val="sing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36.6</w:t>
            </w:r>
          </w:p>
        </w:tc>
        <w:tc>
          <w:tcPr>
            <w:tcW w:w="0" w:type="auto"/>
            <w:tcBorders>
              <w:top w:val="nil"/>
              <w:bottom w:val="sing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28.6</w:t>
            </w:r>
          </w:p>
        </w:tc>
        <w:tc>
          <w:tcPr>
            <w:tcW w:w="890" w:type="dxa"/>
            <w:tcBorders>
              <w:top w:val="nil"/>
              <w:bottom w:val="sing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29.6</w:t>
            </w:r>
          </w:p>
        </w:tc>
      </w:tr>
      <w:tr w:rsidR="00682A88" w:rsidRPr="00CF3673" w:rsidTr="00682A88">
        <w:trPr>
          <w:trHeight w:val="300"/>
          <w:jc w:val="center"/>
        </w:trPr>
        <w:tc>
          <w:tcPr>
            <w:tcW w:w="0" w:type="auto"/>
            <w:tcBorders>
              <w:top w:val="single" w:sz="4" w:space="0" w:color="auto"/>
              <w:bottom w:val="double" w:sz="4" w:space="0" w:color="auto"/>
            </w:tcBorders>
            <w:noWrap/>
            <w:vAlign w:val="center"/>
            <w:hideMark/>
          </w:tcPr>
          <w:p w:rsidR="00682A88" w:rsidRPr="00CF3673" w:rsidRDefault="00682A88" w:rsidP="00682A88">
            <w:pPr>
              <w:rPr>
                <w:rFonts w:ascii="Calibri" w:eastAsia="Times New Roman" w:hAnsi="Calibri" w:cs="Times New Roman"/>
                <w:sz w:val="18"/>
                <w:szCs w:val="18"/>
                <w:lang w:eastAsia="zh-CN"/>
              </w:rPr>
            </w:pPr>
            <w:r w:rsidRPr="00CF3673">
              <w:rPr>
                <w:rFonts w:ascii="Calibri" w:eastAsia="Times New Roman" w:hAnsi="Calibri" w:cs="Times New Roman"/>
                <w:sz w:val="18"/>
                <w:szCs w:val="18"/>
                <w:lang w:eastAsia="zh-CN"/>
              </w:rPr>
              <w:t xml:space="preserve">Número de </w:t>
            </w:r>
            <w:r w:rsidR="006A4724" w:rsidRPr="00CF3673">
              <w:rPr>
                <w:rFonts w:ascii="Calibri" w:eastAsia="Times New Roman" w:hAnsi="Calibri" w:cs="Times New Roman"/>
                <w:sz w:val="18"/>
                <w:szCs w:val="18"/>
                <w:lang w:eastAsia="zh-CN"/>
              </w:rPr>
              <w:t>observações</w:t>
            </w:r>
          </w:p>
        </w:tc>
        <w:tc>
          <w:tcPr>
            <w:tcW w:w="0" w:type="auto"/>
            <w:tcBorders>
              <w:top w:val="single" w:sz="4" w:space="0" w:color="auto"/>
              <w:bottom w:val="doub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128</w:t>
            </w:r>
          </w:p>
        </w:tc>
        <w:tc>
          <w:tcPr>
            <w:tcW w:w="0" w:type="auto"/>
            <w:tcBorders>
              <w:top w:val="single" w:sz="4" w:space="0" w:color="auto"/>
              <w:bottom w:val="doub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9</w:t>
            </w:r>
          </w:p>
        </w:tc>
        <w:tc>
          <w:tcPr>
            <w:tcW w:w="0" w:type="auto"/>
            <w:tcBorders>
              <w:top w:val="single" w:sz="4" w:space="0" w:color="auto"/>
              <w:bottom w:val="doub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93</w:t>
            </w:r>
          </w:p>
        </w:tc>
        <w:tc>
          <w:tcPr>
            <w:tcW w:w="0" w:type="auto"/>
            <w:tcBorders>
              <w:top w:val="single" w:sz="4" w:space="0" w:color="auto"/>
              <w:bottom w:val="doub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98</w:t>
            </w:r>
          </w:p>
        </w:tc>
        <w:tc>
          <w:tcPr>
            <w:tcW w:w="0" w:type="auto"/>
            <w:tcBorders>
              <w:top w:val="single" w:sz="4" w:space="0" w:color="auto"/>
              <w:bottom w:val="doub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17</w:t>
            </w:r>
          </w:p>
        </w:tc>
        <w:tc>
          <w:tcPr>
            <w:tcW w:w="0" w:type="auto"/>
            <w:tcBorders>
              <w:top w:val="single" w:sz="4" w:space="0" w:color="auto"/>
              <w:bottom w:val="doub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10</w:t>
            </w:r>
          </w:p>
        </w:tc>
        <w:tc>
          <w:tcPr>
            <w:tcW w:w="0" w:type="auto"/>
            <w:tcBorders>
              <w:top w:val="single" w:sz="4" w:space="0" w:color="auto"/>
              <w:bottom w:val="doub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64</w:t>
            </w:r>
          </w:p>
        </w:tc>
        <w:tc>
          <w:tcPr>
            <w:tcW w:w="0" w:type="auto"/>
            <w:tcBorders>
              <w:top w:val="single" w:sz="4" w:space="0" w:color="auto"/>
              <w:bottom w:val="doub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163</w:t>
            </w:r>
          </w:p>
        </w:tc>
        <w:tc>
          <w:tcPr>
            <w:tcW w:w="0" w:type="auto"/>
            <w:tcBorders>
              <w:top w:val="single" w:sz="4" w:space="0" w:color="auto"/>
              <w:bottom w:val="doub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14</w:t>
            </w:r>
          </w:p>
        </w:tc>
        <w:tc>
          <w:tcPr>
            <w:tcW w:w="890" w:type="dxa"/>
            <w:tcBorders>
              <w:top w:val="single" w:sz="4" w:space="0" w:color="auto"/>
              <w:bottom w:val="double" w:sz="4" w:space="0" w:color="auto"/>
            </w:tcBorders>
            <w:noWrap/>
            <w:vAlign w:val="center"/>
            <w:hideMark/>
          </w:tcPr>
          <w:p w:rsidR="00682A88" w:rsidRPr="00CF3673" w:rsidRDefault="00682A88" w:rsidP="00682A88">
            <w:pPr>
              <w:jc w:val="center"/>
              <w:rPr>
                <w:rFonts w:ascii="Calibri" w:hAnsi="Calibri"/>
                <w:sz w:val="18"/>
                <w:szCs w:val="18"/>
              </w:rPr>
            </w:pPr>
            <w:r w:rsidRPr="00CF3673">
              <w:rPr>
                <w:rFonts w:ascii="Calibri" w:hAnsi="Calibri"/>
                <w:sz w:val="18"/>
                <w:szCs w:val="18"/>
              </w:rPr>
              <w:t>165</w:t>
            </w:r>
          </w:p>
        </w:tc>
      </w:tr>
      <w:tr w:rsidR="00682A88" w:rsidRPr="00CF3673" w:rsidTr="00682A88">
        <w:trPr>
          <w:trHeight w:val="300"/>
          <w:jc w:val="center"/>
        </w:trPr>
        <w:tc>
          <w:tcPr>
            <w:tcW w:w="11271" w:type="dxa"/>
            <w:gridSpan w:val="11"/>
            <w:tcBorders>
              <w:top w:val="double" w:sz="4" w:space="0" w:color="auto"/>
              <w:bottom w:val="nil"/>
            </w:tcBorders>
            <w:noWrap/>
            <w:vAlign w:val="bottom"/>
          </w:tcPr>
          <w:p w:rsidR="00682A88" w:rsidRPr="00CF3673" w:rsidRDefault="00682A88" w:rsidP="00682A88">
            <w:pPr>
              <w:pStyle w:val="Tablenote"/>
              <w:rPr>
                <w:color w:val="000000"/>
                <w:sz w:val="20"/>
                <w:lang w:val="pt-PT"/>
              </w:rPr>
            </w:pPr>
            <w:r w:rsidRPr="00CF3673">
              <w:rPr>
                <w:b/>
                <w:noProof/>
                <w:lang w:val="pt-PT"/>
              </w:rPr>
              <w:t>Nota</w:t>
            </w:r>
            <w:r w:rsidRPr="00CF3673">
              <w:rPr>
                <w:noProof/>
                <w:lang w:val="pt-PT"/>
              </w:rPr>
              <w:t xml:space="preserve">: Os factores problemáticos para a operação eo crescimento das empresas (pct. terem respondido "grande obstáculo" ou "sério obstáculo"). Números em negrito indicam que a restrição classificado entre os cinco primeiros no ano indicado.  </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jc w:val="center"/>
        </w:trPr>
        <w:tc>
          <w:tcPr>
            <w:tcW w:w="11271" w:type="dxa"/>
            <w:gridSpan w:val="11"/>
            <w:tcBorders>
              <w:top w:val="nil"/>
              <w:bottom w:val="nil"/>
            </w:tcBorders>
            <w:noWrap/>
            <w:vAlign w:val="bottom"/>
          </w:tcPr>
          <w:p w:rsidR="00682A88" w:rsidRPr="00CF3673" w:rsidRDefault="00682A88" w:rsidP="0083080D">
            <w:pPr>
              <w:pStyle w:val="Tablenote"/>
              <w:rPr>
                <w:noProof/>
                <w:lang w:val="pt-PT"/>
              </w:rPr>
            </w:pPr>
            <w:r w:rsidRPr="00CF3673">
              <w:rPr>
                <w:b/>
                <w:noProof/>
                <w:lang w:val="pt-PT"/>
              </w:rPr>
              <w:t xml:space="preserve">Fonte: </w:t>
            </w:r>
            <w:r w:rsidRPr="00CF3673">
              <w:rPr>
                <w:noProof/>
                <w:lang w:val="pt-PT"/>
              </w:rPr>
              <w:t>Cálculos</w:t>
            </w:r>
            <w:r w:rsidR="0083080D" w:rsidRPr="00CF3673">
              <w:rPr>
                <w:noProof/>
                <w:lang w:val="pt-PT"/>
              </w:rPr>
              <w:t xml:space="preserve"> dos autores</w:t>
            </w:r>
            <w:r w:rsidRPr="00CF3673">
              <w:rPr>
                <w:noProof/>
                <w:lang w:val="pt-PT"/>
              </w:rPr>
              <w:t xml:space="preserve">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83080D" w:rsidP="00682A88">
      <w:pPr>
        <w:spacing w:line="360" w:lineRule="auto"/>
        <w:jc w:val="both"/>
        <w:rPr>
          <w:b/>
          <w:sz w:val="28"/>
        </w:rPr>
      </w:pPr>
      <w:r w:rsidRPr="00CF3673">
        <w:rPr>
          <w:b/>
          <w:sz w:val="28"/>
        </w:rPr>
        <w:t>4.</w:t>
      </w:r>
      <w:r w:rsidR="00682A88" w:rsidRPr="00CF3673">
        <w:rPr>
          <w:b/>
          <w:sz w:val="28"/>
        </w:rPr>
        <w:t xml:space="preserve"> Emprego e educação</w:t>
      </w:r>
    </w:p>
    <w:p w:rsidR="00682A88" w:rsidRPr="00CF3673" w:rsidRDefault="00682A88" w:rsidP="00682A88">
      <w:pPr>
        <w:spacing w:line="360" w:lineRule="auto"/>
        <w:jc w:val="both"/>
      </w:pPr>
      <w:r w:rsidRPr="00CF3673">
        <w:t xml:space="preserve">Com o recente foco no "bons empregos" do Banco Mundial - em especial o Relatório sobre o Desenvolvimento Mundial 2013 - questões de emprego, mais uma vez torna-se central no debate sobre o desenvolvimento. Empregos no sector de fabricação são muitas vezes considerados "bons empregos"; </w:t>
      </w:r>
      <w:r w:rsidR="0083080D" w:rsidRPr="00CF3673">
        <w:t>a Secção</w:t>
      </w:r>
      <w:r w:rsidRPr="00CF3673">
        <w:t xml:space="preserve"> 4.1 analisa questões relacionadas aos trabalhadores e às condições de trabalho</w:t>
      </w:r>
      <w:r w:rsidRPr="00CF3673">
        <w:rPr>
          <w:rStyle w:val="FootnoteReference"/>
        </w:rPr>
        <w:footnoteReference w:id="23"/>
      </w:r>
      <w:r w:rsidRPr="00CF3673">
        <w:t>.</w:t>
      </w:r>
    </w:p>
    <w:p w:rsidR="00682A88" w:rsidRPr="00CF3673" w:rsidRDefault="00682A88" w:rsidP="00682A88">
      <w:pPr>
        <w:spacing w:line="360" w:lineRule="auto"/>
        <w:jc w:val="both"/>
      </w:pPr>
      <w:r w:rsidRPr="00CF3673">
        <w:t xml:space="preserve">A criação de empregos no sector formal, o suficiente para manter-se com o número de novos operadores no mercado de trabalho é um dos desafios mais prementes para Moçambique (ver por exemplo, Jones e </w:t>
      </w:r>
      <w:proofErr w:type="spellStart"/>
      <w:r w:rsidRPr="00CF3673">
        <w:t>Tarp</w:t>
      </w:r>
      <w:proofErr w:type="spellEnd"/>
      <w:r w:rsidRPr="00CF3673">
        <w:t xml:space="preserve">, 2012). É, portanto, de grande interesse para investigar os padrões de contratação e demissão de empresas industriais de </w:t>
      </w:r>
      <w:r w:rsidR="0083080D" w:rsidRPr="00CF3673">
        <w:t>Moçambique,</w:t>
      </w:r>
      <w:r w:rsidRPr="00CF3673">
        <w:t xml:space="preserve"> a fim de compreender a criação de empregos no sector. Isso é feito na Secção 4.</w:t>
      </w:r>
      <w:r w:rsidR="0083080D" w:rsidRPr="00CF3673">
        <w:t>2.</w:t>
      </w:r>
    </w:p>
    <w:p w:rsidR="00682A88" w:rsidRPr="00CF3673" w:rsidRDefault="00682A88" w:rsidP="00682A88">
      <w:pPr>
        <w:spacing w:line="360" w:lineRule="auto"/>
        <w:jc w:val="both"/>
      </w:pPr>
      <w:r w:rsidRPr="00CF3673">
        <w:t>Finalmente, a qualidade da força de trabalho é um factor determinante no desempenho das empresas. Educação e habilidades são os tópicos da Secção 4.3.</w:t>
      </w:r>
    </w:p>
    <w:p w:rsidR="00682A88" w:rsidRPr="00CF3673" w:rsidRDefault="00682A88" w:rsidP="00682A88">
      <w:pPr>
        <w:spacing w:line="360" w:lineRule="auto"/>
        <w:jc w:val="both"/>
        <w:rPr>
          <w:b/>
          <w:u w:val="single"/>
        </w:rPr>
      </w:pPr>
      <w:r w:rsidRPr="00CF3673">
        <w:rPr>
          <w:b/>
          <w:u w:val="single"/>
        </w:rPr>
        <w:t>4.1 . Os trabalhadores e as condições de trabalho</w:t>
      </w:r>
    </w:p>
    <w:p w:rsidR="00682A88" w:rsidRPr="00CF3673" w:rsidRDefault="00682A88" w:rsidP="00682A88">
      <w:pPr>
        <w:spacing w:line="360" w:lineRule="auto"/>
        <w:jc w:val="both"/>
      </w:pPr>
      <w:r w:rsidRPr="00CF3673">
        <w:t xml:space="preserve">Em primeiro </w:t>
      </w:r>
      <w:r w:rsidR="006A4724" w:rsidRPr="00CF3673">
        <w:t>lugar, é</w:t>
      </w:r>
      <w:r w:rsidRPr="00CF3673">
        <w:t xml:space="preserve"> fornecida uma visão geral da estrutura de emprego das empresas da amostra. A Tabela 4.1 lista a percentagem média de diferentes tipos de trabalhadores por tipo de empresa. As empresas da amostra são geralmente caracterizadas por ter uma proporção muito grande de empregados permanentes em tempo integral. Eles não empregam muitas mulheres (a parcela feminina média é de pouco menos de 9% da força de trabalho total) e eles quase não têm empregados não pagos. A extremamente baixa </w:t>
      </w:r>
      <w:r w:rsidR="006A4724" w:rsidRPr="00CF3673">
        <w:t>fracção</w:t>
      </w:r>
      <w:r w:rsidRPr="00CF3673">
        <w:t xml:space="preserve"> de trabalhadores não remunerados poderia sugerir que, mesmo quando a contratação de membros da </w:t>
      </w:r>
      <w:r w:rsidR="0083080D" w:rsidRPr="00CF3673">
        <w:t>família,</w:t>
      </w:r>
      <w:r w:rsidRPr="00CF3673">
        <w:t xml:space="preserve"> os empresários moçambicanos não pensam nisso como trabalho " não remunerado". As acções quase idênticas de trabalhadores permanentes e em tempo integral sugerem que tanto a tempo parcial/ trabalho informal não é muito prevalente em Moçambique ou que a compreensão dos donos de empresas moçambicanas de " trabalhadores a tempo inteiro " é bastante abrangente.</w:t>
      </w:r>
    </w:p>
    <w:p w:rsidR="00682A88" w:rsidRPr="00CF3673" w:rsidRDefault="00682A88" w:rsidP="00682A88">
      <w:pPr>
        <w:spacing w:line="360" w:lineRule="auto"/>
        <w:jc w:val="both"/>
      </w:pPr>
      <w:r w:rsidRPr="00CF3673">
        <w:t xml:space="preserve">As microempresas empregam trabalhadores relativamente mais temporários e não remunerados e menos mulheres do que as pequenas e médias empresas. Eles também têm uma menor proporção de trabalhadores a tempo </w:t>
      </w:r>
      <w:r w:rsidR="0083080D" w:rsidRPr="00CF3673">
        <w:t>inteiro.</w:t>
      </w:r>
      <w:r w:rsidRPr="00CF3673">
        <w:t xml:space="preserve"> Isto sugere que, como as empresas crescem, eles são capazes (ou têm necessidade) de contratar trabalhadores numa base mais permanente. Empresas informais são mais </w:t>
      </w:r>
      <w:r w:rsidRPr="00CF3673">
        <w:lastRenderedPageBreak/>
        <w:t xml:space="preserve">prováveis ​​do que qualquer outro grupo para contratar trabalhadores temporários, e eles também têm a menor proporção de mulheres e </w:t>
      </w:r>
      <w:r w:rsidR="0083080D" w:rsidRPr="00CF3673">
        <w:t>expatriados.</w:t>
      </w:r>
      <w:r w:rsidRPr="00CF3673">
        <w:t xml:space="preserve"> Por outro lado, as mulheres constituem 13% da força de trabalho das empresas e expatriados constituem quase 8%.</w:t>
      </w:r>
    </w:p>
    <w:p w:rsidR="00682A88" w:rsidRPr="00CF3673" w:rsidRDefault="00682A88" w:rsidP="00682A88">
      <w:pPr>
        <w:spacing w:line="360" w:lineRule="auto"/>
        <w:jc w:val="both"/>
        <w:rPr>
          <w:b/>
        </w:rPr>
      </w:pPr>
      <w:r w:rsidRPr="00CF3673">
        <w:rPr>
          <w:b/>
        </w:rPr>
        <w:t xml:space="preserve">Tabela 4.1: Participação dos diferentes tipos de trabalhadores por tipo de </w:t>
      </w:r>
      <w:r w:rsidR="0083080D" w:rsidRPr="00CF3673">
        <w:rPr>
          <w:b/>
        </w:rPr>
        <w:t>empresa,</w:t>
      </w:r>
      <w:r w:rsidRPr="00CF3673">
        <w:rPr>
          <w:b/>
        </w:rPr>
        <w:t xml:space="preserve"> %.</w:t>
      </w:r>
    </w:p>
    <w:tbl>
      <w:tblPr>
        <w:tblStyle w:val="StandardTable"/>
        <w:tblW w:w="0" w:type="auto"/>
        <w:jc w:val="center"/>
        <w:tblInd w:w="-146" w:type="dxa"/>
        <w:tblLayout w:type="fixed"/>
        <w:tblLook w:val="04E0" w:firstRow="1" w:lastRow="1" w:firstColumn="1" w:lastColumn="0" w:noHBand="0" w:noVBand="1"/>
      </w:tblPr>
      <w:tblGrid>
        <w:gridCol w:w="2160"/>
        <w:gridCol w:w="744"/>
        <w:gridCol w:w="693"/>
        <w:gridCol w:w="656"/>
        <w:gridCol w:w="903"/>
        <w:gridCol w:w="910"/>
        <w:gridCol w:w="785"/>
        <w:gridCol w:w="1226"/>
        <w:gridCol w:w="1137"/>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2160"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 </w:t>
            </w:r>
          </w:p>
        </w:tc>
        <w:tc>
          <w:tcPr>
            <w:tcW w:w="744"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Todas </w:t>
            </w:r>
          </w:p>
        </w:tc>
        <w:tc>
          <w:tcPr>
            <w:tcW w:w="693"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656"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Pequena</w:t>
            </w:r>
          </w:p>
        </w:tc>
        <w:tc>
          <w:tcPr>
            <w:tcW w:w="903"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Média</w:t>
            </w:r>
          </w:p>
        </w:tc>
        <w:tc>
          <w:tcPr>
            <w:tcW w:w="91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Informal</w:t>
            </w:r>
          </w:p>
        </w:tc>
        <w:tc>
          <w:tcPr>
            <w:tcW w:w="785"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Times New Roman"/>
                <w:lang w:eastAsia="zh-CN"/>
              </w:rPr>
              <w:t>Formal</w:t>
            </w:r>
          </w:p>
        </w:tc>
        <w:tc>
          <w:tcPr>
            <w:tcW w:w="1226"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Moçambicana</w:t>
            </w:r>
          </w:p>
        </w:tc>
        <w:tc>
          <w:tcPr>
            <w:tcW w:w="1137"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estrangeira</w:t>
            </w:r>
          </w:p>
        </w:tc>
      </w:tr>
      <w:tr w:rsidR="00682A88" w:rsidRPr="00CF3673" w:rsidTr="00682A88">
        <w:trPr>
          <w:trHeight w:val="300"/>
          <w:jc w:val="center"/>
        </w:trPr>
        <w:tc>
          <w:tcPr>
            <w:tcW w:w="2160"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Trabalhadores Permanentes</w:t>
            </w:r>
          </w:p>
        </w:tc>
        <w:tc>
          <w:tcPr>
            <w:tcW w:w="744" w:type="dxa"/>
            <w:noWrap/>
            <w:hideMark/>
          </w:tcPr>
          <w:p w:rsidR="00682A88" w:rsidRPr="00CF3673" w:rsidRDefault="00682A88" w:rsidP="00682A88">
            <w:pPr>
              <w:jc w:val="center"/>
            </w:pPr>
            <w:r w:rsidRPr="00CF3673">
              <w:t>92.1</w:t>
            </w:r>
          </w:p>
        </w:tc>
        <w:tc>
          <w:tcPr>
            <w:tcW w:w="693" w:type="dxa"/>
            <w:noWrap/>
            <w:hideMark/>
          </w:tcPr>
          <w:p w:rsidR="00682A88" w:rsidRPr="00CF3673" w:rsidRDefault="00682A88" w:rsidP="00682A88">
            <w:pPr>
              <w:jc w:val="center"/>
            </w:pPr>
            <w:r w:rsidRPr="00CF3673">
              <w:t>89.8</w:t>
            </w:r>
          </w:p>
        </w:tc>
        <w:tc>
          <w:tcPr>
            <w:tcW w:w="656" w:type="dxa"/>
            <w:noWrap/>
            <w:hideMark/>
          </w:tcPr>
          <w:p w:rsidR="00682A88" w:rsidRPr="00CF3673" w:rsidRDefault="00682A88" w:rsidP="00682A88">
            <w:pPr>
              <w:jc w:val="center"/>
            </w:pPr>
            <w:r w:rsidRPr="00CF3673">
              <w:t>97.6</w:t>
            </w:r>
          </w:p>
        </w:tc>
        <w:tc>
          <w:tcPr>
            <w:tcW w:w="903" w:type="dxa"/>
            <w:noWrap/>
            <w:hideMark/>
          </w:tcPr>
          <w:p w:rsidR="00682A88" w:rsidRPr="00CF3673" w:rsidRDefault="00682A88" w:rsidP="00682A88">
            <w:pPr>
              <w:jc w:val="center"/>
            </w:pPr>
            <w:r w:rsidRPr="00CF3673">
              <w:t>95.0</w:t>
            </w:r>
          </w:p>
        </w:tc>
        <w:tc>
          <w:tcPr>
            <w:tcW w:w="910" w:type="dxa"/>
            <w:noWrap/>
            <w:hideMark/>
          </w:tcPr>
          <w:p w:rsidR="00682A88" w:rsidRPr="00CF3673" w:rsidRDefault="00682A88" w:rsidP="00682A88">
            <w:pPr>
              <w:jc w:val="center"/>
            </w:pPr>
            <w:r w:rsidRPr="00CF3673">
              <w:t>89.1</w:t>
            </w:r>
          </w:p>
        </w:tc>
        <w:tc>
          <w:tcPr>
            <w:tcW w:w="785" w:type="dxa"/>
            <w:noWrap/>
            <w:hideMark/>
          </w:tcPr>
          <w:p w:rsidR="00682A88" w:rsidRPr="00CF3673" w:rsidRDefault="00682A88" w:rsidP="00682A88">
            <w:pPr>
              <w:jc w:val="center"/>
            </w:pPr>
            <w:r w:rsidRPr="00CF3673">
              <w:t>92.9</w:t>
            </w:r>
          </w:p>
        </w:tc>
        <w:tc>
          <w:tcPr>
            <w:tcW w:w="1226" w:type="dxa"/>
            <w:noWrap/>
            <w:hideMark/>
          </w:tcPr>
          <w:p w:rsidR="00682A88" w:rsidRPr="00CF3673" w:rsidRDefault="00682A88" w:rsidP="00682A88">
            <w:pPr>
              <w:jc w:val="center"/>
            </w:pPr>
            <w:r w:rsidRPr="00CF3673">
              <w:t>91.7</w:t>
            </w:r>
          </w:p>
        </w:tc>
        <w:tc>
          <w:tcPr>
            <w:tcW w:w="1137" w:type="dxa"/>
            <w:noWrap/>
            <w:hideMark/>
          </w:tcPr>
          <w:p w:rsidR="00682A88" w:rsidRPr="00CF3673" w:rsidRDefault="00682A88" w:rsidP="00682A88">
            <w:pPr>
              <w:jc w:val="center"/>
            </w:pPr>
            <w:r w:rsidRPr="00CF3673">
              <w:t>95.2</w:t>
            </w:r>
          </w:p>
        </w:tc>
      </w:tr>
      <w:tr w:rsidR="00682A88" w:rsidRPr="00CF3673" w:rsidTr="00682A88">
        <w:trPr>
          <w:trHeight w:val="300"/>
          <w:jc w:val="center"/>
        </w:trPr>
        <w:tc>
          <w:tcPr>
            <w:tcW w:w="2160"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Trabalhadores a tempo inteiro</w:t>
            </w:r>
          </w:p>
        </w:tc>
        <w:tc>
          <w:tcPr>
            <w:tcW w:w="744" w:type="dxa"/>
            <w:noWrap/>
            <w:hideMark/>
          </w:tcPr>
          <w:p w:rsidR="00682A88" w:rsidRPr="00CF3673" w:rsidRDefault="00682A88" w:rsidP="00682A88">
            <w:pPr>
              <w:jc w:val="center"/>
            </w:pPr>
            <w:r w:rsidRPr="00CF3673">
              <w:t>91.7</w:t>
            </w:r>
          </w:p>
        </w:tc>
        <w:tc>
          <w:tcPr>
            <w:tcW w:w="693" w:type="dxa"/>
            <w:noWrap/>
            <w:hideMark/>
          </w:tcPr>
          <w:p w:rsidR="00682A88" w:rsidRPr="00CF3673" w:rsidRDefault="00682A88" w:rsidP="00682A88">
            <w:pPr>
              <w:jc w:val="center"/>
            </w:pPr>
            <w:r w:rsidRPr="00CF3673">
              <w:t>89.4</w:t>
            </w:r>
          </w:p>
        </w:tc>
        <w:tc>
          <w:tcPr>
            <w:tcW w:w="656" w:type="dxa"/>
            <w:noWrap/>
            <w:hideMark/>
          </w:tcPr>
          <w:p w:rsidR="00682A88" w:rsidRPr="00CF3673" w:rsidRDefault="00682A88" w:rsidP="00682A88">
            <w:pPr>
              <w:jc w:val="center"/>
            </w:pPr>
            <w:r w:rsidRPr="00CF3673">
              <w:t>97.2</w:t>
            </w:r>
          </w:p>
        </w:tc>
        <w:tc>
          <w:tcPr>
            <w:tcW w:w="903" w:type="dxa"/>
            <w:noWrap/>
            <w:hideMark/>
          </w:tcPr>
          <w:p w:rsidR="00682A88" w:rsidRPr="00CF3673" w:rsidRDefault="00682A88" w:rsidP="00682A88">
            <w:pPr>
              <w:jc w:val="center"/>
            </w:pPr>
            <w:r w:rsidRPr="00CF3673">
              <w:t>95.0</w:t>
            </w:r>
          </w:p>
        </w:tc>
        <w:tc>
          <w:tcPr>
            <w:tcW w:w="910" w:type="dxa"/>
            <w:noWrap/>
            <w:hideMark/>
          </w:tcPr>
          <w:p w:rsidR="00682A88" w:rsidRPr="00CF3673" w:rsidRDefault="00682A88" w:rsidP="00682A88">
            <w:pPr>
              <w:jc w:val="center"/>
            </w:pPr>
            <w:r w:rsidRPr="00CF3673">
              <w:t>88.9</w:t>
            </w:r>
          </w:p>
        </w:tc>
        <w:tc>
          <w:tcPr>
            <w:tcW w:w="785" w:type="dxa"/>
            <w:noWrap/>
            <w:hideMark/>
          </w:tcPr>
          <w:p w:rsidR="00682A88" w:rsidRPr="00CF3673" w:rsidRDefault="00682A88" w:rsidP="00682A88">
            <w:pPr>
              <w:jc w:val="center"/>
            </w:pPr>
            <w:r w:rsidRPr="00CF3673">
              <w:t>92.5</w:t>
            </w:r>
          </w:p>
        </w:tc>
        <w:tc>
          <w:tcPr>
            <w:tcW w:w="1226" w:type="dxa"/>
            <w:noWrap/>
            <w:hideMark/>
          </w:tcPr>
          <w:p w:rsidR="00682A88" w:rsidRPr="00CF3673" w:rsidRDefault="00682A88" w:rsidP="00682A88">
            <w:pPr>
              <w:jc w:val="center"/>
            </w:pPr>
            <w:r w:rsidRPr="00CF3673">
              <w:t>91.3</w:t>
            </w:r>
          </w:p>
        </w:tc>
        <w:tc>
          <w:tcPr>
            <w:tcW w:w="1137" w:type="dxa"/>
            <w:noWrap/>
            <w:hideMark/>
          </w:tcPr>
          <w:p w:rsidR="00682A88" w:rsidRPr="00CF3673" w:rsidRDefault="00682A88" w:rsidP="00682A88">
            <w:pPr>
              <w:jc w:val="center"/>
            </w:pPr>
            <w:r w:rsidRPr="00CF3673">
              <w:t>95.2</w:t>
            </w:r>
          </w:p>
        </w:tc>
      </w:tr>
      <w:tr w:rsidR="00682A88" w:rsidRPr="00CF3673" w:rsidTr="00682A88">
        <w:trPr>
          <w:trHeight w:val="300"/>
          <w:jc w:val="center"/>
        </w:trPr>
        <w:tc>
          <w:tcPr>
            <w:tcW w:w="2160" w:type="dxa"/>
            <w:tcBorders>
              <w:bottom w:val="nil"/>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Trabalhadores temporários</w:t>
            </w:r>
          </w:p>
        </w:tc>
        <w:tc>
          <w:tcPr>
            <w:tcW w:w="744" w:type="dxa"/>
            <w:tcBorders>
              <w:bottom w:val="nil"/>
            </w:tcBorders>
            <w:noWrap/>
            <w:hideMark/>
          </w:tcPr>
          <w:p w:rsidR="00682A88" w:rsidRPr="00CF3673" w:rsidRDefault="00682A88" w:rsidP="00682A88">
            <w:pPr>
              <w:jc w:val="center"/>
            </w:pPr>
            <w:r w:rsidRPr="00CF3673">
              <w:t>8.3</w:t>
            </w:r>
          </w:p>
        </w:tc>
        <w:tc>
          <w:tcPr>
            <w:tcW w:w="693" w:type="dxa"/>
            <w:tcBorders>
              <w:bottom w:val="nil"/>
            </w:tcBorders>
            <w:noWrap/>
            <w:hideMark/>
          </w:tcPr>
          <w:p w:rsidR="00682A88" w:rsidRPr="00CF3673" w:rsidRDefault="00682A88" w:rsidP="00682A88">
            <w:pPr>
              <w:jc w:val="center"/>
            </w:pPr>
            <w:r w:rsidRPr="00CF3673">
              <w:t>10.8</w:t>
            </w:r>
          </w:p>
        </w:tc>
        <w:tc>
          <w:tcPr>
            <w:tcW w:w="656" w:type="dxa"/>
            <w:tcBorders>
              <w:bottom w:val="nil"/>
            </w:tcBorders>
            <w:noWrap/>
            <w:hideMark/>
          </w:tcPr>
          <w:p w:rsidR="00682A88" w:rsidRPr="00CF3673" w:rsidRDefault="00682A88" w:rsidP="00682A88">
            <w:pPr>
              <w:jc w:val="center"/>
            </w:pPr>
            <w:r w:rsidRPr="00CF3673">
              <w:t>2.5</w:t>
            </w:r>
          </w:p>
        </w:tc>
        <w:tc>
          <w:tcPr>
            <w:tcW w:w="903" w:type="dxa"/>
            <w:tcBorders>
              <w:bottom w:val="nil"/>
            </w:tcBorders>
            <w:noWrap/>
            <w:hideMark/>
          </w:tcPr>
          <w:p w:rsidR="00682A88" w:rsidRPr="00CF3673" w:rsidRDefault="00682A88" w:rsidP="00682A88">
            <w:pPr>
              <w:jc w:val="center"/>
            </w:pPr>
            <w:r w:rsidRPr="00CF3673">
              <w:t>5.0</w:t>
            </w:r>
          </w:p>
        </w:tc>
        <w:tc>
          <w:tcPr>
            <w:tcW w:w="910" w:type="dxa"/>
            <w:tcBorders>
              <w:bottom w:val="nil"/>
            </w:tcBorders>
            <w:noWrap/>
            <w:hideMark/>
          </w:tcPr>
          <w:p w:rsidR="00682A88" w:rsidRPr="00CF3673" w:rsidRDefault="00682A88" w:rsidP="00682A88">
            <w:pPr>
              <w:jc w:val="center"/>
            </w:pPr>
            <w:r w:rsidRPr="00CF3673">
              <w:t>11.6</w:t>
            </w:r>
          </w:p>
        </w:tc>
        <w:tc>
          <w:tcPr>
            <w:tcW w:w="785" w:type="dxa"/>
            <w:tcBorders>
              <w:bottom w:val="nil"/>
            </w:tcBorders>
            <w:noWrap/>
            <w:hideMark/>
          </w:tcPr>
          <w:p w:rsidR="00682A88" w:rsidRPr="00CF3673" w:rsidRDefault="00682A88" w:rsidP="00682A88">
            <w:pPr>
              <w:jc w:val="center"/>
            </w:pPr>
            <w:r w:rsidRPr="00CF3673">
              <w:t>7.5</w:t>
            </w:r>
          </w:p>
        </w:tc>
        <w:tc>
          <w:tcPr>
            <w:tcW w:w="1226" w:type="dxa"/>
            <w:tcBorders>
              <w:bottom w:val="nil"/>
            </w:tcBorders>
            <w:noWrap/>
            <w:hideMark/>
          </w:tcPr>
          <w:p w:rsidR="00682A88" w:rsidRPr="00CF3673" w:rsidRDefault="00682A88" w:rsidP="00682A88">
            <w:pPr>
              <w:jc w:val="center"/>
            </w:pPr>
            <w:r w:rsidRPr="00CF3673">
              <w:t>8.7</w:t>
            </w:r>
          </w:p>
        </w:tc>
        <w:tc>
          <w:tcPr>
            <w:tcW w:w="1137" w:type="dxa"/>
            <w:tcBorders>
              <w:bottom w:val="nil"/>
            </w:tcBorders>
            <w:noWrap/>
            <w:hideMark/>
          </w:tcPr>
          <w:p w:rsidR="00682A88" w:rsidRPr="00CF3673" w:rsidRDefault="00682A88" w:rsidP="00682A88">
            <w:pPr>
              <w:jc w:val="center"/>
            </w:pPr>
            <w:r w:rsidRPr="00CF3673">
              <w:t>5.5</w:t>
            </w:r>
          </w:p>
        </w:tc>
      </w:tr>
      <w:tr w:rsidR="00682A88" w:rsidRPr="00CF3673" w:rsidTr="00682A88">
        <w:trPr>
          <w:trHeight w:val="300"/>
          <w:jc w:val="center"/>
        </w:trPr>
        <w:tc>
          <w:tcPr>
            <w:tcW w:w="2160" w:type="dxa"/>
            <w:tcBorders>
              <w:top w:val="nil"/>
              <w:bottom w:val="single" w:sz="4" w:space="0" w:color="auto"/>
            </w:tcBorders>
            <w:noWrap/>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Trabalhadores não remunerados</w:t>
            </w:r>
          </w:p>
        </w:tc>
        <w:tc>
          <w:tcPr>
            <w:tcW w:w="744" w:type="dxa"/>
            <w:tcBorders>
              <w:top w:val="nil"/>
              <w:bottom w:val="single" w:sz="4" w:space="0" w:color="auto"/>
            </w:tcBorders>
            <w:noWrap/>
          </w:tcPr>
          <w:p w:rsidR="00682A88" w:rsidRPr="00CF3673" w:rsidRDefault="00682A88" w:rsidP="00682A88">
            <w:pPr>
              <w:jc w:val="center"/>
            </w:pPr>
            <w:r w:rsidRPr="00CF3673">
              <w:t>1.0</w:t>
            </w:r>
          </w:p>
        </w:tc>
        <w:tc>
          <w:tcPr>
            <w:tcW w:w="693" w:type="dxa"/>
            <w:tcBorders>
              <w:top w:val="nil"/>
              <w:bottom w:val="single" w:sz="4" w:space="0" w:color="auto"/>
            </w:tcBorders>
            <w:noWrap/>
          </w:tcPr>
          <w:p w:rsidR="00682A88" w:rsidRPr="00CF3673" w:rsidRDefault="00682A88" w:rsidP="00682A88">
            <w:pPr>
              <w:jc w:val="center"/>
            </w:pPr>
            <w:r w:rsidRPr="00CF3673">
              <w:t>1.3</w:t>
            </w:r>
          </w:p>
        </w:tc>
        <w:tc>
          <w:tcPr>
            <w:tcW w:w="656" w:type="dxa"/>
            <w:tcBorders>
              <w:top w:val="nil"/>
              <w:bottom w:val="single" w:sz="4" w:space="0" w:color="auto"/>
            </w:tcBorders>
            <w:noWrap/>
          </w:tcPr>
          <w:p w:rsidR="00682A88" w:rsidRPr="00CF3673" w:rsidRDefault="00682A88" w:rsidP="00682A88">
            <w:pPr>
              <w:jc w:val="center"/>
            </w:pPr>
            <w:r w:rsidRPr="00CF3673">
              <w:t>0.6</w:t>
            </w:r>
          </w:p>
        </w:tc>
        <w:tc>
          <w:tcPr>
            <w:tcW w:w="903" w:type="dxa"/>
            <w:tcBorders>
              <w:top w:val="nil"/>
              <w:bottom w:val="single" w:sz="4" w:space="0" w:color="auto"/>
            </w:tcBorders>
            <w:noWrap/>
          </w:tcPr>
          <w:p w:rsidR="00682A88" w:rsidRPr="00CF3673" w:rsidRDefault="00682A88" w:rsidP="00682A88">
            <w:pPr>
              <w:jc w:val="center"/>
            </w:pPr>
            <w:r w:rsidRPr="00CF3673">
              <w:t>0.0</w:t>
            </w:r>
          </w:p>
        </w:tc>
        <w:tc>
          <w:tcPr>
            <w:tcW w:w="910" w:type="dxa"/>
            <w:tcBorders>
              <w:top w:val="nil"/>
              <w:bottom w:val="single" w:sz="4" w:space="0" w:color="auto"/>
            </w:tcBorders>
            <w:noWrap/>
          </w:tcPr>
          <w:p w:rsidR="00682A88" w:rsidRPr="00CF3673" w:rsidRDefault="00682A88" w:rsidP="00682A88">
            <w:pPr>
              <w:jc w:val="center"/>
            </w:pPr>
            <w:r w:rsidRPr="00CF3673">
              <w:t>1.5</w:t>
            </w:r>
          </w:p>
        </w:tc>
        <w:tc>
          <w:tcPr>
            <w:tcW w:w="785" w:type="dxa"/>
            <w:tcBorders>
              <w:top w:val="nil"/>
              <w:bottom w:val="single" w:sz="4" w:space="0" w:color="auto"/>
            </w:tcBorders>
            <w:noWrap/>
          </w:tcPr>
          <w:p w:rsidR="00682A88" w:rsidRPr="00CF3673" w:rsidRDefault="00682A88" w:rsidP="00682A88">
            <w:pPr>
              <w:jc w:val="center"/>
            </w:pPr>
            <w:r w:rsidRPr="00CF3673">
              <w:t>0.9</w:t>
            </w:r>
          </w:p>
        </w:tc>
        <w:tc>
          <w:tcPr>
            <w:tcW w:w="1226" w:type="dxa"/>
            <w:tcBorders>
              <w:top w:val="nil"/>
              <w:bottom w:val="single" w:sz="4" w:space="0" w:color="auto"/>
            </w:tcBorders>
            <w:noWrap/>
          </w:tcPr>
          <w:p w:rsidR="00682A88" w:rsidRPr="00CF3673" w:rsidRDefault="00682A88" w:rsidP="00682A88">
            <w:pPr>
              <w:jc w:val="center"/>
            </w:pPr>
            <w:r w:rsidRPr="00CF3673">
              <w:t>1.0</w:t>
            </w:r>
          </w:p>
        </w:tc>
        <w:tc>
          <w:tcPr>
            <w:tcW w:w="1137" w:type="dxa"/>
            <w:tcBorders>
              <w:top w:val="nil"/>
              <w:bottom w:val="single" w:sz="4" w:space="0" w:color="auto"/>
            </w:tcBorders>
            <w:noWrap/>
          </w:tcPr>
          <w:p w:rsidR="00682A88" w:rsidRPr="00CF3673" w:rsidRDefault="00682A88" w:rsidP="00682A88">
            <w:pPr>
              <w:jc w:val="center"/>
            </w:pPr>
            <w:r w:rsidRPr="00CF3673">
              <w:t>1.1</w:t>
            </w:r>
          </w:p>
        </w:tc>
      </w:tr>
      <w:tr w:rsidR="00682A88" w:rsidRPr="00CF3673" w:rsidTr="00682A88">
        <w:trPr>
          <w:trHeight w:val="300"/>
          <w:jc w:val="center"/>
        </w:trPr>
        <w:tc>
          <w:tcPr>
            <w:tcW w:w="2160" w:type="dxa"/>
            <w:tcBorders>
              <w:top w:val="single" w:sz="4" w:space="0" w:color="auto"/>
              <w:bottom w:val="nil"/>
            </w:tcBorders>
            <w:noWrap/>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Mulheres</w:t>
            </w:r>
          </w:p>
        </w:tc>
        <w:tc>
          <w:tcPr>
            <w:tcW w:w="744" w:type="dxa"/>
            <w:tcBorders>
              <w:top w:val="single" w:sz="4" w:space="0" w:color="auto"/>
              <w:bottom w:val="nil"/>
            </w:tcBorders>
            <w:noWrap/>
          </w:tcPr>
          <w:p w:rsidR="00682A88" w:rsidRPr="00CF3673" w:rsidRDefault="00682A88" w:rsidP="00682A88">
            <w:pPr>
              <w:jc w:val="center"/>
            </w:pPr>
            <w:r w:rsidRPr="00CF3673">
              <w:t>8.5</w:t>
            </w:r>
          </w:p>
        </w:tc>
        <w:tc>
          <w:tcPr>
            <w:tcW w:w="693" w:type="dxa"/>
            <w:tcBorders>
              <w:top w:val="single" w:sz="4" w:space="0" w:color="auto"/>
              <w:bottom w:val="nil"/>
            </w:tcBorders>
            <w:noWrap/>
          </w:tcPr>
          <w:p w:rsidR="00682A88" w:rsidRPr="00CF3673" w:rsidRDefault="00682A88" w:rsidP="00682A88">
            <w:pPr>
              <w:jc w:val="center"/>
            </w:pPr>
            <w:r w:rsidRPr="00CF3673">
              <w:t>6.7</w:t>
            </w:r>
          </w:p>
        </w:tc>
        <w:tc>
          <w:tcPr>
            <w:tcW w:w="656" w:type="dxa"/>
            <w:tcBorders>
              <w:top w:val="single" w:sz="4" w:space="0" w:color="auto"/>
              <w:bottom w:val="nil"/>
            </w:tcBorders>
            <w:noWrap/>
          </w:tcPr>
          <w:p w:rsidR="00682A88" w:rsidRPr="00CF3673" w:rsidRDefault="00682A88" w:rsidP="00682A88">
            <w:pPr>
              <w:jc w:val="center"/>
            </w:pPr>
            <w:r w:rsidRPr="00CF3673">
              <w:t>12.6</w:t>
            </w:r>
          </w:p>
        </w:tc>
        <w:tc>
          <w:tcPr>
            <w:tcW w:w="903" w:type="dxa"/>
            <w:tcBorders>
              <w:top w:val="single" w:sz="4" w:space="0" w:color="auto"/>
              <w:bottom w:val="nil"/>
            </w:tcBorders>
            <w:noWrap/>
          </w:tcPr>
          <w:p w:rsidR="00682A88" w:rsidRPr="00CF3673" w:rsidRDefault="00682A88" w:rsidP="00682A88">
            <w:pPr>
              <w:jc w:val="center"/>
            </w:pPr>
            <w:r w:rsidRPr="00CF3673">
              <w:t>12.0</w:t>
            </w:r>
          </w:p>
        </w:tc>
        <w:tc>
          <w:tcPr>
            <w:tcW w:w="910" w:type="dxa"/>
            <w:tcBorders>
              <w:top w:val="single" w:sz="4" w:space="0" w:color="auto"/>
              <w:bottom w:val="nil"/>
            </w:tcBorders>
            <w:noWrap/>
          </w:tcPr>
          <w:p w:rsidR="00682A88" w:rsidRPr="00CF3673" w:rsidRDefault="00682A88" w:rsidP="00682A88">
            <w:pPr>
              <w:jc w:val="center"/>
            </w:pPr>
            <w:r w:rsidRPr="00CF3673">
              <w:t>4.4</w:t>
            </w:r>
          </w:p>
        </w:tc>
        <w:tc>
          <w:tcPr>
            <w:tcW w:w="785" w:type="dxa"/>
            <w:tcBorders>
              <w:top w:val="single" w:sz="4" w:space="0" w:color="auto"/>
              <w:bottom w:val="nil"/>
            </w:tcBorders>
            <w:noWrap/>
          </w:tcPr>
          <w:p w:rsidR="00682A88" w:rsidRPr="00CF3673" w:rsidRDefault="00682A88" w:rsidP="00682A88">
            <w:pPr>
              <w:jc w:val="center"/>
            </w:pPr>
            <w:r w:rsidRPr="00CF3673">
              <w:t>9.7</w:t>
            </w:r>
          </w:p>
        </w:tc>
        <w:tc>
          <w:tcPr>
            <w:tcW w:w="1226" w:type="dxa"/>
            <w:tcBorders>
              <w:top w:val="single" w:sz="4" w:space="0" w:color="auto"/>
              <w:bottom w:val="nil"/>
            </w:tcBorders>
            <w:noWrap/>
          </w:tcPr>
          <w:p w:rsidR="00682A88" w:rsidRPr="00CF3673" w:rsidRDefault="00682A88" w:rsidP="00682A88">
            <w:pPr>
              <w:jc w:val="center"/>
            </w:pPr>
            <w:r w:rsidRPr="00CF3673">
              <w:t>8.0</w:t>
            </w:r>
          </w:p>
        </w:tc>
        <w:tc>
          <w:tcPr>
            <w:tcW w:w="1137" w:type="dxa"/>
            <w:tcBorders>
              <w:top w:val="single" w:sz="4" w:space="0" w:color="auto"/>
              <w:bottom w:val="nil"/>
            </w:tcBorders>
            <w:noWrap/>
          </w:tcPr>
          <w:p w:rsidR="00682A88" w:rsidRPr="00CF3673" w:rsidRDefault="00682A88" w:rsidP="00682A88">
            <w:pPr>
              <w:jc w:val="center"/>
            </w:pPr>
            <w:r w:rsidRPr="00CF3673">
              <w:t>12.5</w:t>
            </w:r>
          </w:p>
        </w:tc>
      </w:tr>
      <w:tr w:rsidR="00682A88" w:rsidRPr="00CF3673" w:rsidTr="00682A88">
        <w:trPr>
          <w:trHeight w:val="300"/>
          <w:jc w:val="center"/>
        </w:trPr>
        <w:tc>
          <w:tcPr>
            <w:tcW w:w="2160" w:type="dxa"/>
            <w:tcBorders>
              <w:top w:val="nil"/>
              <w:bottom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Expatriados*</w:t>
            </w:r>
          </w:p>
        </w:tc>
        <w:tc>
          <w:tcPr>
            <w:tcW w:w="744" w:type="dxa"/>
            <w:tcBorders>
              <w:top w:val="nil"/>
              <w:bottom w:val="single" w:sz="4" w:space="0" w:color="auto"/>
            </w:tcBorders>
            <w:noWrap/>
            <w:hideMark/>
          </w:tcPr>
          <w:p w:rsidR="00682A88" w:rsidRPr="00CF3673" w:rsidRDefault="00682A88" w:rsidP="00682A88">
            <w:pPr>
              <w:jc w:val="center"/>
            </w:pPr>
            <w:r w:rsidRPr="00CF3673">
              <w:t>1.6</w:t>
            </w:r>
          </w:p>
        </w:tc>
        <w:tc>
          <w:tcPr>
            <w:tcW w:w="693" w:type="dxa"/>
            <w:tcBorders>
              <w:top w:val="nil"/>
              <w:bottom w:val="single" w:sz="4" w:space="0" w:color="auto"/>
            </w:tcBorders>
            <w:noWrap/>
            <w:hideMark/>
          </w:tcPr>
          <w:p w:rsidR="00682A88" w:rsidRPr="00CF3673" w:rsidRDefault="00682A88" w:rsidP="00682A88">
            <w:pPr>
              <w:jc w:val="center"/>
            </w:pPr>
            <w:r w:rsidRPr="00CF3673">
              <w:t>1.2</w:t>
            </w:r>
          </w:p>
        </w:tc>
        <w:tc>
          <w:tcPr>
            <w:tcW w:w="656" w:type="dxa"/>
            <w:tcBorders>
              <w:top w:val="nil"/>
              <w:bottom w:val="single" w:sz="4" w:space="0" w:color="auto"/>
            </w:tcBorders>
            <w:noWrap/>
            <w:hideMark/>
          </w:tcPr>
          <w:p w:rsidR="00682A88" w:rsidRPr="00CF3673" w:rsidRDefault="00682A88" w:rsidP="00682A88">
            <w:pPr>
              <w:jc w:val="center"/>
            </w:pPr>
            <w:r w:rsidRPr="00CF3673">
              <w:t>2.1</w:t>
            </w:r>
          </w:p>
        </w:tc>
        <w:tc>
          <w:tcPr>
            <w:tcW w:w="903" w:type="dxa"/>
            <w:tcBorders>
              <w:top w:val="nil"/>
              <w:bottom w:val="single" w:sz="4" w:space="0" w:color="auto"/>
            </w:tcBorders>
            <w:noWrap/>
            <w:hideMark/>
          </w:tcPr>
          <w:p w:rsidR="00682A88" w:rsidRPr="00CF3673" w:rsidRDefault="00682A88" w:rsidP="00682A88">
            <w:pPr>
              <w:jc w:val="center"/>
            </w:pPr>
            <w:r w:rsidRPr="00CF3673">
              <w:t>2.4</w:t>
            </w:r>
          </w:p>
        </w:tc>
        <w:tc>
          <w:tcPr>
            <w:tcW w:w="910" w:type="dxa"/>
            <w:tcBorders>
              <w:top w:val="nil"/>
              <w:bottom w:val="single" w:sz="4" w:space="0" w:color="auto"/>
            </w:tcBorders>
            <w:noWrap/>
            <w:hideMark/>
          </w:tcPr>
          <w:p w:rsidR="00682A88" w:rsidRPr="00CF3673" w:rsidRDefault="00682A88" w:rsidP="00682A88">
            <w:pPr>
              <w:jc w:val="center"/>
            </w:pPr>
            <w:r w:rsidRPr="00CF3673">
              <w:t>0.3</w:t>
            </w:r>
          </w:p>
        </w:tc>
        <w:tc>
          <w:tcPr>
            <w:tcW w:w="785" w:type="dxa"/>
            <w:tcBorders>
              <w:top w:val="nil"/>
              <w:bottom w:val="single" w:sz="4" w:space="0" w:color="auto"/>
            </w:tcBorders>
            <w:noWrap/>
            <w:hideMark/>
          </w:tcPr>
          <w:p w:rsidR="00682A88" w:rsidRPr="00CF3673" w:rsidRDefault="00682A88" w:rsidP="00682A88">
            <w:pPr>
              <w:jc w:val="center"/>
            </w:pPr>
            <w:r w:rsidRPr="00CF3673">
              <w:t>1.9</w:t>
            </w:r>
          </w:p>
        </w:tc>
        <w:tc>
          <w:tcPr>
            <w:tcW w:w="1226" w:type="dxa"/>
            <w:tcBorders>
              <w:top w:val="nil"/>
              <w:bottom w:val="single" w:sz="4" w:space="0" w:color="auto"/>
            </w:tcBorders>
            <w:noWrap/>
            <w:hideMark/>
          </w:tcPr>
          <w:p w:rsidR="00682A88" w:rsidRPr="00CF3673" w:rsidRDefault="00682A88" w:rsidP="00682A88">
            <w:pPr>
              <w:jc w:val="center"/>
            </w:pPr>
            <w:r w:rsidRPr="00CF3673">
              <w:t>0.6</w:t>
            </w:r>
          </w:p>
        </w:tc>
        <w:tc>
          <w:tcPr>
            <w:tcW w:w="1137" w:type="dxa"/>
            <w:tcBorders>
              <w:top w:val="nil"/>
              <w:bottom w:val="single" w:sz="4" w:space="0" w:color="auto"/>
            </w:tcBorders>
            <w:noWrap/>
            <w:hideMark/>
          </w:tcPr>
          <w:p w:rsidR="00682A88" w:rsidRPr="00CF3673" w:rsidRDefault="00682A88" w:rsidP="00682A88">
            <w:pPr>
              <w:jc w:val="center"/>
            </w:pPr>
            <w:r w:rsidRPr="00CF3673">
              <w:t>7.6</w:t>
            </w:r>
          </w:p>
        </w:tc>
      </w:tr>
      <w:tr w:rsidR="00682A88" w:rsidRPr="00CF3673" w:rsidTr="00682A88">
        <w:trPr>
          <w:trHeight w:val="300"/>
          <w:jc w:val="center"/>
        </w:trPr>
        <w:tc>
          <w:tcPr>
            <w:tcW w:w="2160" w:type="dxa"/>
            <w:tcBorders>
              <w:top w:val="single" w:sz="4" w:space="0" w:color="auto"/>
              <w:bottom w:val="doub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Número de </w:t>
            </w:r>
            <w:r w:rsidR="006A4724" w:rsidRPr="00CF3673">
              <w:rPr>
                <w:rFonts w:ascii="Calibri" w:eastAsia="Times New Roman" w:hAnsi="Calibri" w:cs="Calibri"/>
                <w:color w:val="000000"/>
                <w:lang w:eastAsia="zh-CN"/>
              </w:rPr>
              <w:t>observações</w:t>
            </w:r>
          </w:p>
        </w:tc>
        <w:tc>
          <w:tcPr>
            <w:tcW w:w="744" w:type="dxa"/>
            <w:tcBorders>
              <w:top w:val="single" w:sz="4" w:space="0" w:color="auto"/>
              <w:bottom w:val="double" w:sz="4" w:space="0" w:color="auto"/>
            </w:tcBorders>
            <w:noWrap/>
            <w:hideMark/>
          </w:tcPr>
          <w:p w:rsidR="00682A88" w:rsidRPr="00CF3673" w:rsidRDefault="00682A88" w:rsidP="00682A88">
            <w:pPr>
              <w:jc w:val="center"/>
            </w:pPr>
            <w:r w:rsidRPr="00CF3673">
              <w:t>736</w:t>
            </w:r>
          </w:p>
        </w:tc>
        <w:tc>
          <w:tcPr>
            <w:tcW w:w="693" w:type="dxa"/>
            <w:tcBorders>
              <w:top w:val="single" w:sz="4" w:space="0" w:color="auto"/>
              <w:bottom w:val="double" w:sz="4" w:space="0" w:color="auto"/>
            </w:tcBorders>
            <w:noWrap/>
            <w:hideMark/>
          </w:tcPr>
          <w:p w:rsidR="00682A88" w:rsidRPr="00CF3673" w:rsidRDefault="00682A88" w:rsidP="00682A88">
            <w:pPr>
              <w:jc w:val="center"/>
            </w:pPr>
            <w:r w:rsidRPr="00CF3673">
              <w:t>501</w:t>
            </w:r>
          </w:p>
        </w:tc>
        <w:tc>
          <w:tcPr>
            <w:tcW w:w="656" w:type="dxa"/>
            <w:tcBorders>
              <w:top w:val="single" w:sz="4" w:space="0" w:color="auto"/>
              <w:bottom w:val="double" w:sz="4" w:space="0" w:color="auto"/>
            </w:tcBorders>
            <w:noWrap/>
            <w:hideMark/>
          </w:tcPr>
          <w:p w:rsidR="00682A88" w:rsidRPr="00CF3673" w:rsidRDefault="00682A88" w:rsidP="00682A88">
            <w:pPr>
              <w:jc w:val="center"/>
            </w:pPr>
            <w:r w:rsidRPr="00CF3673">
              <w:t>174</w:t>
            </w:r>
          </w:p>
        </w:tc>
        <w:tc>
          <w:tcPr>
            <w:tcW w:w="903" w:type="dxa"/>
            <w:tcBorders>
              <w:top w:val="single" w:sz="4" w:space="0" w:color="auto"/>
              <w:bottom w:val="double" w:sz="4" w:space="0" w:color="auto"/>
            </w:tcBorders>
            <w:noWrap/>
            <w:hideMark/>
          </w:tcPr>
          <w:p w:rsidR="00682A88" w:rsidRPr="00CF3673" w:rsidRDefault="00682A88" w:rsidP="00682A88">
            <w:pPr>
              <w:jc w:val="center"/>
            </w:pPr>
            <w:r w:rsidRPr="00CF3673">
              <w:t>61</w:t>
            </w:r>
          </w:p>
        </w:tc>
        <w:tc>
          <w:tcPr>
            <w:tcW w:w="910" w:type="dxa"/>
            <w:tcBorders>
              <w:top w:val="single" w:sz="4" w:space="0" w:color="auto"/>
              <w:bottom w:val="double" w:sz="4" w:space="0" w:color="auto"/>
            </w:tcBorders>
            <w:noWrap/>
            <w:hideMark/>
          </w:tcPr>
          <w:p w:rsidR="00682A88" w:rsidRPr="00CF3673" w:rsidRDefault="00682A88" w:rsidP="00682A88">
            <w:pPr>
              <w:jc w:val="center"/>
            </w:pPr>
            <w:r w:rsidRPr="00CF3673">
              <w:t>160</w:t>
            </w:r>
          </w:p>
        </w:tc>
        <w:tc>
          <w:tcPr>
            <w:tcW w:w="785" w:type="dxa"/>
            <w:tcBorders>
              <w:top w:val="single" w:sz="4" w:space="0" w:color="auto"/>
              <w:bottom w:val="double" w:sz="4" w:space="0" w:color="auto"/>
            </w:tcBorders>
            <w:noWrap/>
            <w:hideMark/>
          </w:tcPr>
          <w:p w:rsidR="00682A88" w:rsidRPr="00CF3673" w:rsidRDefault="00682A88" w:rsidP="00682A88">
            <w:pPr>
              <w:jc w:val="center"/>
            </w:pPr>
            <w:r w:rsidRPr="00CF3673">
              <w:t>574</w:t>
            </w:r>
          </w:p>
        </w:tc>
        <w:tc>
          <w:tcPr>
            <w:tcW w:w="1226" w:type="dxa"/>
            <w:tcBorders>
              <w:top w:val="single" w:sz="4" w:space="0" w:color="auto"/>
              <w:bottom w:val="double" w:sz="4" w:space="0" w:color="auto"/>
            </w:tcBorders>
            <w:noWrap/>
            <w:hideMark/>
          </w:tcPr>
          <w:p w:rsidR="00682A88" w:rsidRPr="00CF3673" w:rsidRDefault="00682A88" w:rsidP="00682A88">
            <w:pPr>
              <w:jc w:val="center"/>
            </w:pPr>
            <w:r w:rsidRPr="00CF3673">
              <w:t>655</w:t>
            </w:r>
          </w:p>
        </w:tc>
        <w:tc>
          <w:tcPr>
            <w:tcW w:w="1137" w:type="dxa"/>
            <w:tcBorders>
              <w:top w:val="single" w:sz="4" w:space="0" w:color="auto"/>
              <w:bottom w:val="double" w:sz="4" w:space="0" w:color="auto"/>
            </w:tcBorders>
            <w:noWrap/>
            <w:hideMark/>
          </w:tcPr>
          <w:p w:rsidR="00682A88" w:rsidRPr="00CF3673" w:rsidRDefault="00682A88" w:rsidP="00682A88">
            <w:pPr>
              <w:jc w:val="center"/>
            </w:pPr>
            <w:r w:rsidRPr="00CF3673">
              <w:t>79</w:t>
            </w:r>
          </w:p>
        </w:tc>
      </w:tr>
      <w:tr w:rsidR="00682A88" w:rsidRPr="00CF3673" w:rsidTr="00682A88">
        <w:trPr>
          <w:trHeight w:val="300"/>
          <w:jc w:val="center"/>
        </w:trPr>
        <w:tc>
          <w:tcPr>
            <w:tcW w:w="9214" w:type="dxa"/>
            <w:gridSpan w:val="9"/>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25 </w:t>
            </w:r>
            <w:r w:rsidR="006A4724" w:rsidRPr="00CF3673">
              <w:rPr>
                <w:lang w:val="pt-PT"/>
              </w:rPr>
              <w:t>observações</w:t>
            </w:r>
            <w:r w:rsidRPr="00CF3673">
              <w:rPr>
                <w:lang w:val="pt-PT"/>
              </w:rPr>
              <w:t xml:space="preserve"> em falta para todas as variáveis ​​, excepto * </w:t>
            </w:r>
            <w:r w:rsidR="0083080D" w:rsidRPr="00CF3673">
              <w:rPr>
                <w:lang w:val="pt-PT"/>
              </w:rPr>
              <w:t>Expatriados,</w:t>
            </w:r>
            <w:r w:rsidRPr="00CF3673">
              <w:rPr>
                <w:lang w:val="pt-PT"/>
              </w:rPr>
              <w:t xml:space="preserve"> onde existem 267 </w:t>
            </w:r>
            <w:r w:rsidR="006A4724" w:rsidRPr="00CF3673">
              <w:rPr>
                <w:lang w:val="pt-PT"/>
              </w:rPr>
              <w:t>observações</w:t>
            </w:r>
            <w:r w:rsidRPr="00CF3673">
              <w:rPr>
                <w:lang w:val="pt-PT"/>
              </w:rPr>
              <w:t xml:space="preserve"> em </w:t>
            </w:r>
            <w:r w:rsidR="0083080D" w:rsidRPr="00CF3673">
              <w:rPr>
                <w:lang w:val="pt-PT"/>
              </w:rPr>
              <w:t>falta.</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jc w:val="center"/>
        </w:trPr>
        <w:tc>
          <w:tcPr>
            <w:tcW w:w="9214" w:type="dxa"/>
            <w:gridSpan w:val="9"/>
            <w:tcBorders>
              <w:top w:val="nil"/>
              <w:bottom w:val="nil"/>
            </w:tcBorders>
            <w:noWrap/>
          </w:tcPr>
          <w:p w:rsidR="00682A88" w:rsidRPr="00CF3673" w:rsidRDefault="00682A88" w:rsidP="0083080D">
            <w:pPr>
              <w:pStyle w:val="Tablenote"/>
              <w:rPr>
                <w:b/>
                <w:lang w:val="pt-PT"/>
              </w:rPr>
            </w:pPr>
            <w:r w:rsidRPr="00CF3673">
              <w:rPr>
                <w:b/>
                <w:lang w:val="pt-PT"/>
              </w:rPr>
              <w:t>Fonte:</w:t>
            </w:r>
            <w:r w:rsidRPr="00CF3673">
              <w:rPr>
                <w:lang w:val="pt-PT"/>
              </w:rPr>
              <w:t xml:space="preserve"> Cálculos </w:t>
            </w:r>
            <w:r w:rsidR="0083080D" w:rsidRPr="00CF3673">
              <w:rPr>
                <w:lang w:val="pt-PT"/>
              </w:rPr>
              <w:t>dos autores</w:t>
            </w:r>
            <w:r w:rsidRPr="00CF3673">
              <w:rPr>
                <w:lang w:val="pt-PT"/>
              </w:rPr>
              <w:t xml:space="preserve"> usando IIM 2012.</w:t>
            </w:r>
          </w:p>
        </w:tc>
      </w:tr>
    </w:tbl>
    <w:p w:rsidR="00682A88" w:rsidRPr="00CF3673" w:rsidRDefault="00682A88" w:rsidP="00682A88">
      <w:pPr>
        <w:tabs>
          <w:tab w:val="left" w:pos="2679"/>
        </w:tabs>
        <w:spacing w:line="360" w:lineRule="auto"/>
        <w:jc w:val="both"/>
      </w:pPr>
      <w:r w:rsidRPr="00CF3673">
        <w:tab/>
      </w:r>
    </w:p>
    <w:p w:rsidR="00682A88" w:rsidRPr="00CF3673" w:rsidRDefault="00682A88" w:rsidP="00682A88">
      <w:pPr>
        <w:spacing w:line="360" w:lineRule="auto"/>
        <w:jc w:val="both"/>
      </w:pPr>
      <w:r w:rsidRPr="00CF3673">
        <w:t xml:space="preserve">A Figura 4.1 mostra a percentagem de trabalhadores temporários na força de trabalho das empresas ao longo do </w:t>
      </w:r>
      <w:r w:rsidR="0083080D" w:rsidRPr="00CF3673">
        <w:t>tempo.</w:t>
      </w:r>
      <w:r w:rsidRPr="00CF3673">
        <w:t xml:space="preserve"> Há uma tendência para que as empresas utilizam trabalhadores menos temporários em todas as categorias de tamanho, com os trabalhadores temporários constituindo 6,0 % em média, em </w:t>
      </w:r>
      <w:r w:rsidR="0083080D" w:rsidRPr="00CF3673">
        <w:t>2011,</w:t>
      </w:r>
      <w:r w:rsidRPr="00CF3673">
        <w:t xml:space="preserve"> em oposição a 9,2% em 2006 (utilizando os dados do </w:t>
      </w:r>
      <w:r w:rsidR="0083080D" w:rsidRPr="00CF3673">
        <w:t xml:space="preserve">painel). </w:t>
      </w:r>
      <w:r w:rsidRPr="00CF3673">
        <w:t xml:space="preserve">A DNEAP (2006) argumenta que o uso mais </w:t>
      </w:r>
      <w:r w:rsidR="006A4724" w:rsidRPr="00CF3673">
        <w:t>frequente</w:t>
      </w:r>
      <w:r w:rsidRPr="00CF3673">
        <w:t xml:space="preserve"> de contratos temporários em 2006, especialmente para as empresas de maior porte, deveram-se a regulamentação do trabalho pesado. Para atender a este </w:t>
      </w:r>
      <w:r w:rsidR="0083080D" w:rsidRPr="00CF3673">
        <w:t>problema,</w:t>
      </w:r>
      <w:r w:rsidRPr="00CF3673">
        <w:t xml:space="preserve"> Moçambique aprovou uma nova lei de trabalho, em 2007, que de entre outras disposições pretende reduzir drasticamente o despedimento de t</w:t>
      </w:r>
      <w:r w:rsidR="006A4724" w:rsidRPr="00CF3673">
        <w:t xml:space="preserve">rabalhadores permanentes (ver </w:t>
      </w:r>
      <w:proofErr w:type="spellStart"/>
      <w:r w:rsidR="006A4724" w:rsidRPr="00CF3673">
        <w:t>Gd</w:t>
      </w:r>
      <w:r w:rsidRPr="00CF3673">
        <w:t>M</w:t>
      </w:r>
      <w:proofErr w:type="spellEnd"/>
      <w:r w:rsidRPr="00CF3673">
        <w:t xml:space="preserve"> , 2007a). A lei em vigor torna menos arriscado contratar novos funcionários permanentes, o que poderia explicar por que as empresas sentem menos necessidade de contratar trabalhadores temporários.</w:t>
      </w: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rPr>
          <w:b/>
        </w:rPr>
      </w:pPr>
      <w:r w:rsidRPr="00CF3673">
        <w:rPr>
          <w:b/>
        </w:rPr>
        <w:lastRenderedPageBreak/>
        <w:t>Figura 4.1 : Percentagem de trabalhadores temporários na força de trabalho por tamanho da empresa, 2006-2011.</w:t>
      </w:r>
    </w:p>
    <w:p w:rsidR="00682A88" w:rsidRPr="00CF3673" w:rsidRDefault="00682A88" w:rsidP="00682A88">
      <w:pPr>
        <w:spacing w:after="0" w:line="240" w:lineRule="auto"/>
        <w:jc w:val="center"/>
      </w:pPr>
      <w:r w:rsidRPr="00CF3673">
        <w:rPr>
          <w:noProof/>
          <w:lang w:val="en-US"/>
        </w:rPr>
        <w:drawing>
          <wp:inline distT="0" distB="0" distL="0" distR="0" wp14:anchorId="21129E5D" wp14:editId="62521E8A">
            <wp:extent cx="3810000" cy="2314575"/>
            <wp:effectExtent l="0" t="0" r="19050" b="9525"/>
            <wp:docPr id="1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Style w:val="SrensTable"/>
        <w:tblW w:w="6430" w:type="dxa"/>
        <w:tblInd w:w="1638" w:type="dxa"/>
        <w:tblLook w:val="04A0" w:firstRow="1" w:lastRow="0" w:firstColumn="1" w:lastColumn="0" w:noHBand="0" w:noVBand="1"/>
      </w:tblPr>
      <w:tblGrid>
        <w:gridCol w:w="6430"/>
      </w:tblGrid>
      <w:tr w:rsidR="00682A88" w:rsidRPr="00CF3673" w:rsidTr="00682A88">
        <w:trPr>
          <w:trHeight w:val="447"/>
        </w:trPr>
        <w:tc>
          <w:tcPr>
            <w:tcW w:w="6430" w:type="dxa"/>
          </w:tcPr>
          <w:p w:rsidR="00682A88" w:rsidRPr="00CF3673" w:rsidRDefault="00682A88" w:rsidP="00682A88">
            <w:pPr>
              <w:pStyle w:val="Tablenote"/>
              <w:rPr>
                <w:b/>
                <w:lang w:val="pt-PT"/>
              </w:rPr>
            </w:pPr>
            <w:r w:rsidRPr="00CF3673">
              <w:rPr>
                <w:b/>
                <w:lang w:val="pt-PT"/>
              </w:rPr>
              <w:t>Nota:</w:t>
            </w:r>
            <w:r w:rsidRPr="00CF3673">
              <w:rPr>
                <w:lang w:val="pt-PT"/>
              </w:rPr>
              <w:t xml:space="preserve"> painel equilibrado, ou seja, seguindo as mesmas empresas ao longo do tempo. Número de </w:t>
            </w:r>
            <w:r w:rsidR="006A4724" w:rsidRPr="00CF3673">
              <w:rPr>
                <w:lang w:val="pt-PT"/>
              </w:rPr>
              <w:t>observações</w:t>
            </w:r>
            <w:r w:rsidRPr="00CF3673">
              <w:rPr>
                <w:lang w:val="pt-PT"/>
              </w:rPr>
              <w:t>: 211 (5 em falta).</w:t>
            </w:r>
          </w:p>
        </w:tc>
      </w:tr>
      <w:tr w:rsidR="00682A88" w:rsidRPr="00CF3673" w:rsidTr="00682A88">
        <w:trPr>
          <w:trHeight w:val="447"/>
        </w:trPr>
        <w:tc>
          <w:tcPr>
            <w:tcW w:w="6430" w:type="dxa"/>
          </w:tcPr>
          <w:p w:rsidR="00682A88" w:rsidRPr="00CF3673" w:rsidRDefault="00682A88" w:rsidP="0083080D">
            <w:pPr>
              <w:pStyle w:val="Tablenote"/>
              <w:rPr>
                <w:b/>
                <w:lang w:val="pt-PT"/>
              </w:rPr>
            </w:pPr>
            <w:r w:rsidRPr="00CF3673">
              <w:rPr>
                <w:b/>
                <w:lang w:val="pt-PT"/>
              </w:rPr>
              <w:t>Fonte:</w:t>
            </w:r>
            <w:r w:rsidRPr="00CF3673">
              <w:rPr>
                <w:lang w:val="pt-PT"/>
              </w:rPr>
              <w:t xml:space="preserve"> Cálculos </w:t>
            </w:r>
            <w:r w:rsidR="0083080D" w:rsidRPr="00CF3673">
              <w:rPr>
                <w:lang w:val="pt-PT"/>
              </w:rPr>
              <w:t xml:space="preserve">dos autores </w:t>
            </w:r>
            <w:r w:rsidRPr="00CF3673">
              <w:rPr>
                <w:lang w:val="pt-PT"/>
              </w:rPr>
              <w:t>usando IIM 2012, DNEAP (2006) e ICA (2009).</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O uso decrescente de trabalhadores temporários a partir de 2006, então, seria uma indicação de que o direito do trabalho revisto funciona como pretendido a esse respeito. Isto é consistente com o facto de que apenas cerca de metade do número de empresas consideram a regulamentação do trabalho um grande constrangimento (Tabelas 3.9 e 3.10).</w:t>
      </w:r>
    </w:p>
    <w:p w:rsidR="00682A88" w:rsidRPr="00CF3673" w:rsidRDefault="00682A88" w:rsidP="00682A88">
      <w:pPr>
        <w:spacing w:line="360" w:lineRule="auto"/>
        <w:jc w:val="both"/>
      </w:pPr>
      <w:r w:rsidRPr="00CF3673">
        <w:t xml:space="preserve">Passamos agora para o tema dos salários, começando com uma discussão sobre o salário mínimo. O salário mínimo é um conceito poderoso em Moçambique e a DNEAP (2006) descobriu que as </w:t>
      </w:r>
      <w:r w:rsidR="006A4724" w:rsidRPr="00CF3673">
        <w:t>negociações</w:t>
      </w:r>
      <w:r w:rsidRPr="00CF3673">
        <w:t xml:space="preserve"> tripartidas anuais sobre o salário mínimo têm implicações para a fixação dos salários em grandes partes do mercado (formal) de trabalho. No entanto, desde 2006, a proporção de trabalhadores que recebem o salário mínimo diminuiu substancialmente para as empresas de todos os tamanhos, como ilustrado na figura 4.2. Em 2006, em média 44% dos trabalhadores foram pagos o salário mínimo - em 2011 este número havia caído para 27 por cento.</w:t>
      </w: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r w:rsidRPr="00CF3673">
        <w:rPr>
          <w:b/>
        </w:rPr>
        <w:lastRenderedPageBreak/>
        <w:t>Figura 4.2: Percentagem de trabalhadores que recebem o salário mínimo por tamanho da empresa, 2006-2011, %</w:t>
      </w:r>
      <w:r w:rsidRPr="00CF3673">
        <w:t>.</w:t>
      </w:r>
    </w:p>
    <w:p w:rsidR="00682A88" w:rsidRPr="00CF3673" w:rsidRDefault="00682A88" w:rsidP="00682A88">
      <w:pPr>
        <w:spacing w:after="0" w:line="240" w:lineRule="auto"/>
        <w:jc w:val="center"/>
      </w:pPr>
      <w:r w:rsidRPr="00CF3673">
        <w:rPr>
          <w:noProof/>
          <w:lang w:val="en-US"/>
        </w:rPr>
        <w:drawing>
          <wp:inline distT="0" distB="0" distL="0" distR="0" wp14:anchorId="036A7C4A" wp14:editId="272EC26E">
            <wp:extent cx="3933825" cy="2638425"/>
            <wp:effectExtent l="0" t="0" r="9525" b="9525"/>
            <wp:docPr id="21"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bl>
      <w:tblPr>
        <w:tblStyle w:val="SrensTable"/>
        <w:tblW w:w="6300" w:type="dxa"/>
        <w:tblInd w:w="1728" w:type="dxa"/>
        <w:tblLook w:val="04A0" w:firstRow="1" w:lastRow="0" w:firstColumn="1" w:lastColumn="0" w:noHBand="0" w:noVBand="1"/>
      </w:tblPr>
      <w:tblGrid>
        <w:gridCol w:w="6300"/>
      </w:tblGrid>
      <w:tr w:rsidR="00682A88" w:rsidRPr="00CF3673" w:rsidTr="00682A88">
        <w:trPr>
          <w:trHeight w:val="431"/>
        </w:trPr>
        <w:tc>
          <w:tcPr>
            <w:tcW w:w="6300" w:type="dxa"/>
          </w:tcPr>
          <w:p w:rsidR="00682A88" w:rsidRPr="00CF3673" w:rsidRDefault="00682A88" w:rsidP="00682A88">
            <w:pPr>
              <w:pStyle w:val="Tablenote"/>
              <w:rPr>
                <w:b/>
                <w:lang w:val="pt-PT"/>
              </w:rPr>
            </w:pPr>
            <w:r w:rsidRPr="00CF3673">
              <w:rPr>
                <w:b/>
                <w:lang w:val="pt-PT"/>
              </w:rPr>
              <w:t>Nota:</w:t>
            </w:r>
            <w:r w:rsidRPr="00CF3673">
              <w:rPr>
                <w:lang w:val="pt-PT"/>
              </w:rPr>
              <w:t xml:space="preserve"> painel equilibrado, ou seja, seguindo as mesmas empresas ao longo do tempo. Número de </w:t>
            </w:r>
            <w:r w:rsidR="006A4724" w:rsidRPr="00CF3673">
              <w:rPr>
                <w:lang w:val="pt-PT"/>
              </w:rPr>
              <w:t>observações</w:t>
            </w:r>
            <w:r w:rsidRPr="00CF3673">
              <w:rPr>
                <w:lang w:val="pt-PT"/>
              </w:rPr>
              <w:t>: 209 (7 em falta).</w:t>
            </w:r>
          </w:p>
        </w:tc>
      </w:tr>
      <w:tr w:rsidR="00682A88" w:rsidRPr="00CF3673" w:rsidTr="00682A88">
        <w:trPr>
          <w:trHeight w:val="431"/>
        </w:trPr>
        <w:tc>
          <w:tcPr>
            <w:tcW w:w="6300" w:type="dxa"/>
          </w:tcPr>
          <w:p w:rsidR="00682A88" w:rsidRPr="00CF3673" w:rsidRDefault="00682A88" w:rsidP="00682A88">
            <w:pPr>
              <w:pStyle w:val="Tablenote"/>
              <w:rPr>
                <w:b/>
                <w:lang w:val="pt-PT"/>
              </w:rPr>
            </w:pPr>
            <w:r w:rsidRPr="00CF3673">
              <w:rPr>
                <w:b/>
                <w:lang w:val="pt-PT"/>
              </w:rPr>
              <w:t>Fonte:</w:t>
            </w:r>
            <w:r w:rsidRPr="00CF3673">
              <w:rPr>
                <w:lang w:val="pt-PT"/>
              </w:rPr>
              <w:t xml:space="preserve"> Cálculos próprios usando IIM 2012, DNEAP (2006) e ICA (2009).</w:t>
            </w:r>
          </w:p>
        </w:tc>
      </w:tr>
    </w:tbl>
    <w:p w:rsidR="00682A88" w:rsidRPr="00CF3673" w:rsidRDefault="00682A88" w:rsidP="00682A88">
      <w:pPr>
        <w:spacing w:after="0" w:line="360" w:lineRule="auto"/>
        <w:jc w:val="both"/>
      </w:pPr>
    </w:p>
    <w:p w:rsidR="00682A88" w:rsidRPr="00CF3673" w:rsidRDefault="00682A88" w:rsidP="00682A88">
      <w:pPr>
        <w:spacing w:line="360" w:lineRule="auto"/>
        <w:jc w:val="both"/>
      </w:pPr>
      <w:r w:rsidRPr="00CF3673">
        <w:t>A razão para essa queda pode ser que muitas empresas têm cada vez mais dificuldades para pagar o salário mínimo. O (nominal) salário mínimo aumentou em 115% em 2006-2011, enquanto o nível de preços só aumentaram 60% no mesmo período</w:t>
      </w:r>
      <w:r w:rsidRPr="00CF3673">
        <w:rPr>
          <w:rStyle w:val="FootnoteReference"/>
        </w:rPr>
        <w:footnoteReference w:id="24"/>
      </w:r>
      <w:r w:rsidRPr="00CF3673">
        <w:t>. Isso equivale a um aumento acentuado dos salários reais , o que pode ser difícil para as empresas enfrentarem, especialmente face à produtividade do trabalho estagnado, conforme descrito no Capítulo 5.</w:t>
      </w:r>
    </w:p>
    <w:p w:rsidR="00682A88" w:rsidRPr="00CF3673" w:rsidRDefault="00682A88" w:rsidP="00682A88">
      <w:pPr>
        <w:spacing w:line="360" w:lineRule="auto"/>
        <w:jc w:val="both"/>
      </w:pPr>
      <w:r w:rsidRPr="00CF3673">
        <w:t>A Tabela 4.2 examina o processo de fixação dos salários mais detalhadamente. A primeira parte da tabela 4.2 apresenta o percentual de trabalhadores em cada grupo de empresas que recebe o salário mínimo. Cerca de um quarto da força de trabalho recebe o salário mínimo, um pouco menos no sector informal. A segunda parte da tabela 4.2 mostra que o critério mais importante para a fixação dos salários é ", baseado no salário mínimo", especialmente para empresas de pequeno e médio porte. Empresas informais são menos propensas a usar o salário mínimo como o principal critério para fixação de salários .</w:t>
      </w:r>
    </w:p>
    <w:p w:rsidR="00682A88" w:rsidRPr="00CF3673" w:rsidRDefault="00682A88" w:rsidP="00682A88">
      <w:pPr>
        <w:spacing w:line="360" w:lineRule="auto"/>
        <w:jc w:val="both"/>
      </w:pPr>
      <w:r w:rsidRPr="00CF3673">
        <w:t xml:space="preserve">Para as micro empresas e as empresas informais "a negociação individual com cada trabalhador" e a "capacidade de pagamento da empresa" são critérios muito importantes. Isto poderia sugerir que algumas empresas micro e informais nem sempre se podem dar ao luxo de pagar aos seus trabalhadores o salário </w:t>
      </w:r>
      <w:r w:rsidRPr="00CF3673">
        <w:lastRenderedPageBreak/>
        <w:t>mínimo, mas que o salário é dependente das receitas da empresa. Por outro lado, para as médias empresas, a queda na proporção de trabalhadores que recebem o salário mínimo (ver figura 4.2) parece reflectir que muitas empresas estão usando alguma fracção do salário mínimo em vez do próprio salário mínimo (pagando assim mais do que o salário mínimo)</w:t>
      </w:r>
      <w:r w:rsidRPr="00CF3673">
        <w:rPr>
          <w:rStyle w:val="FootnoteReference"/>
        </w:rPr>
        <w:footnoteReference w:id="25"/>
      </w:r>
      <w:r w:rsidRPr="00CF3673">
        <w:t>. Além disso, observe que os salários na agricultura ou outras empresas não figuram como critérios muito importantes. Isto poderia sugerir que a competição do lado da procura no mercado de trabalho não é muito feroz.</w:t>
      </w:r>
    </w:p>
    <w:p w:rsidR="00682A88" w:rsidRPr="00CF3673" w:rsidRDefault="00682A88" w:rsidP="00682A88">
      <w:pPr>
        <w:spacing w:line="360" w:lineRule="auto"/>
        <w:jc w:val="both"/>
      </w:pPr>
      <w:r w:rsidRPr="00CF3673">
        <w:rPr>
          <w:b/>
        </w:rPr>
        <w:t>Tabela 4.</w:t>
      </w:r>
      <w:r w:rsidR="0083080D" w:rsidRPr="00CF3673">
        <w:rPr>
          <w:b/>
        </w:rPr>
        <w:t>2:</w:t>
      </w:r>
      <w:r w:rsidRPr="00CF3673">
        <w:rPr>
          <w:b/>
        </w:rPr>
        <w:t xml:space="preserve"> Percentagem de trabalhadores que recebem salário mínimo, e critérios mais importantes de fixação dos salários, %</w:t>
      </w:r>
      <w:r w:rsidRPr="00CF3673">
        <w:t>.</w:t>
      </w:r>
    </w:p>
    <w:tbl>
      <w:tblPr>
        <w:tblStyle w:val="StandardTable"/>
        <w:tblW w:w="9828" w:type="dxa"/>
        <w:jc w:val="center"/>
        <w:tblLayout w:type="fixed"/>
        <w:tblLook w:val="04E0" w:firstRow="1" w:lastRow="1" w:firstColumn="1" w:lastColumn="0" w:noHBand="0" w:noVBand="1"/>
      </w:tblPr>
      <w:tblGrid>
        <w:gridCol w:w="4698"/>
        <w:gridCol w:w="720"/>
        <w:gridCol w:w="720"/>
        <w:gridCol w:w="1024"/>
        <w:gridCol w:w="812"/>
        <w:gridCol w:w="990"/>
        <w:gridCol w:w="864"/>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4698" w:type="dxa"/>
            <w:noWrap/>
          </w:tcPr>
          <w:p w:rsidR="00682A88" w:rsidRPr="00CF3673" w:rsidRDefault="00682A88" w:rsidP="00682A88">
            <w:pPr>
              <w:rPr>
                <w:rFonts w:ascii="Calibri" w:eastAsia="Times New Roman" w:hAnsi="Calibri" w:cs="Times New Roman"/>
                <w:lang w:eastAsia="zh-CN"/>
              </w:rPr>
            </w:pPr>
          </w:p>
        </w:tc>
        <w:tc>
          <w:tcPr>
            <w:tcW w:w="72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 xml:space="preserve">Todas </w:t>
            </w:r>
          </w:p>
        </w:tc>
        <w:tc>
          <w:tcPr>
            <w:tcW w:w="72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1024"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 xml:space="preserve">Pequena </w:t>
            </w:r>
          </w:p>
        </w:tc>
        <w:tc>
          <w:tcPr>
            <w:tcW w:w="812"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Média</w:t>
            </w:r>
          </w:p>
        </w:tc>
        <w:tc>
          <w:tcPr>
            <w:tcW w:w="99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864"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Formal</w:t>
            </w:r>
          </w:p>
        </w:tc>
      </w:tr>
      <w:tr w:rsidR="00682A88" w:rsidRPr="00CF3673" w:rsidTr="00682A88">
        <w:trPr>
          <w:trHeight w:val="300"/>
          <w:jc w:val="center"/>
        </w:trPr>
        <w:tc>
          <w:tcPr>
            <w:tcW w:w="4698" w:type="dxa"/>
            <w:tcBorders>
              <w:top w:val="single" w:sz="4" w:space="0" w:color="auto"/>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Percentagem de trabalhadores a receber salário mínimo*</w:t>
            </w:r>
          </w:p>
        </w:tc>
        <w:tc>
          <w:tcPr>
            <w:tcW w:w="720" w:type="dxa"/>
            <w:tcBorders>
              <w:top w:val="single" w:sz="4" w:space="0" w:color="auto"/>
              <w:bottom w:val="nil"/>
            </w:tcBorders>
            <w:noWrap/>
            <w:hideMark/>
          </w:tcPr>
          <w:p w:rsidR="00682A88" w:rsidRPr="00CF3673" w:rsidRDefault="00682A88" w:rsidP="00682A88">
            <w:pPr>
              <w:jc w:val="center"/>
            </w:pPr>
            <w:r w:rsidRPr="00CF3673">
              <w:t>24.2</w:t>
            </w:r>
          </w:p>
        </w:tc>
        <w:tc>
          <w:tcPr>
            <w:tcW w:w="720" w:type="dxa"/>
            <w:tcBorders>
              <w:top w:val="single" w:sz="4" w:space="0" w:color="auto"/>
              <w:bottom w:val="nil"/>
            </w:tcBorders>
            <w:noWrap/>
            <w:hideMark/>
          </w:tcPr>
          <w:p w:rsidR="00682A88" w:rsidRPr="00CF3673" w:rsidRDefault="00682A88" w:rsidP="00682A88">
            <w:pPr>
              <w:jc w:val="center"/>
            </w:pPr>
            <w:r w:rsidRPr="00CF3673">
              <w:t>23.2</w:t>
            </w:r>
          </w:p>
        </w:tc>
        <w:tc>
          <w:tcPr>
            <w:tcW w:w="1024" w:type="dxa"/>
            <w:tcBorders>
              <w:top w:val="single" w:sz="4" w:space="0" w:color="auto"/>
              <w:bottom w:val="nil"/>
            </w:tcBorders>
            <w:noWrap/>
            <w:hideMark/>
          </w:tcPr>
          <w:p w:rsidR="00682A88" w:rsidRPr="00CF3673" w:rsidRDefault="00682A88" w:rsidP="00682A88">
            <w:pPr>
              <w:jc w:val="center"/>
            </w:pPr>
            <w:r w:rsidRPr="00CF3673">
              <w:t>26.5</w:t>
            </w:r>
          </w:p>
        </w:tc>
        <w:tc>
          <w:tcPr>
            <w:tcW w:w="812" w:type="dxa"/>
            <w:tcBorders>
              <w:top w:val="single" w:sz="4" w:space="0" w:color="auto"/>
              <w:bottom w:val="nil"/>
            </w:tcBorders>
            <w:noWrap/>
            <w:hideMark/>
          </w:tcPr>
          <w:p w:rsidR="00682A88" w:rsidRPr="00CF3673" w:rsidRDefault="00682A88" w:rsidP="00682A88">
            <w:pPr>
              <w:jc w:val="center"/>
            </w:pPr>
            <w:r w:rsidRPr="00CF3673">
              <w:t>25.4</w:t>
            </w:r>
          </w:p>
        </w:tc>
        <w:tc>
          <w:tcPr>
            <w:tcW w:w="990" w:type="dxa"/>
            <w:tcBorders>
              <w:top w:val="single" w:sz="4" w:space="0" w:color="auto"/>
              <w:bottom w:val="nil"/>
            </w:tcBorders>
            <w:noWrap/>
            <w:hideMark/>
          </w:tcPr>
          <w:p w:rsidR="00682A88" w:rsidRPr="00CF3673" w:rsidRDefault="00682A88" w:rsidP="00682A88">
            <w:pPr>
              <w:jc w:val="center"/>
            </w:pPr>
            <w:r w:rsidRPr="00CF3673">
              <w:t>18.1</w:t>
            </w:r>
          </w:p>
        </w:tc>
        <w:tc>
          <w:tcPr>
            <w:tcW w:w="864" w:type="dxa"/>
            <w:tcBorders>
              <w:top w:val="single" w:sz="4" w:space="0" w:color="auto"/>
              <w:bottom w:val="nil"/>
            </w:tcBorders>
            <w:noWrap/>
            <w:hideMark/>
          </w:tcPr>
          <w:p w:rsidR="00682A88" w:rsidRPr="00CF3673" w:rsidRDefault="00682A88" w:rsidP="00682A88">
            <w:pPr>
              <w:jc w:val="center"/>
            </w:pPr>
            <w:r w:rsidRPr="00CF3673">
              <w:t>25.8</w:t>
            </w:r>
          </w:p>
        </w:tc>
      </w:tr>
      <w:tr w:rsidR="00682A88" w:rsidRPr="00CF3673" w:rsidTr="00682A88">
        <w:trPr>
          <w:trHeight w:val="300"/>
          <w:jc w:val="center"/>
        </w:trPr>
        <w:tc>
          <w:tcPr>
            <w:tcW w:w="4698" w:type="dxa"/>
            <w:tcBorders>
              <w:top w:val="nil"/>
              <w:bottom w:val="nil"/>
            </w:tcBorders>
            <w:noWrap/>
          </w:tcPr>
          <w:p w:rsidR="00682A88" w:rsidRPr="00CF3673" w:rsidRDefault="00682A88" w:rsidP="00682A88">
            <w:pPr>
              <w:rPr>
                <w:rFonts w:ascii="Calibri" w:eastAsia="Times New Roman" w:hAnsi="Calibri" w:cs="Times New Roman"/>
                <w:lang w:eastAsia="zh-CN"/>
              </w:rPr>
            </w:pPr>
          </w:p>
        </w:tc>
        <w:tc>
          <w:tcPr>
            <w:tcW w:w="720" w:type="dxa"/>
            <w:tcBorders>
              <w:top w:val="nil"/>
              <w:bottom w:val="nil"/>
            </w:tcBorders>
            <w:noWrap/>
          </w:tcPr>
          <w:p w:rsidR="00682A88" w:rsidRPr="00CF3673" w:rsidRDefault="00682A88" w:rsidP="00682A88">
            <w:pPr>
              <w:jc w:val="center"/>
              <w:rPr>
                <w:rFonts w:ascii="Calibri" w:eastAsia="Times New Roman" w:hAnsi="Calibri" w:cs="Times New Roman"/>
                <w:lang w:eastAsia="zh-CN"/>
              </w:rPr>
            </w:pPr>
          </w:p>
        </w:tc>
        <w:tc>
          <w:tcPr>
            <w:tcW w:w="720" w:type="dxa"/>
            <w:tcBorders>
              <w:top w:val="nil"/>
              <w:bottom w:val="nil"/>
            </w:tcBorders>
            <w:noWrap/>
          </w:tcPr>
          <w:p w:rsidR="00682A88" w:rsidRPr="00CF3673" w:rsidRDefault="00682A88" w:rsidP="00682A88">
            <w:pPr>
              <w:jc w:val="center"/>
              <w:rPr>
                <w:rFonts w:ascii="Calibri" w:eastAsia="Times New Roman" w:hAnsi="Calibri" w:cs="Times New Roman"/>
                <w:lang w:eastAsia="zh-CN"/>
              </w:rPr>
            </w:pPr>
          </w:p>
        </w:tc>
        <w:tc>
          <w:tcPr>
            <w:tcW w:w="1024" w:type="dxa"/>
            <w:tcBorders>
              <w:top w:val="nil"/>
              <w:bottom w:val="nil"/>
            </w:tcBorders>
            <w:noWrap/>
          </w:tcPr>
          <w:p w:rsidR="00682A88" w:rsidRPr="00CF3673" w:rsidRDefault="00682A88" w:rsidP="00682A88">
            <w:pPr>
              <w:jc w:val="center"/>
              <w:rPr>
                <w:rFonts w:ascii="Calibri" w:eastAsia="Times New Roman" w:hAnsi="Calibri" w:cs="Times New Roman"/>
                <w:lang w:eastAsia="zh-CN"/>
              </w:rPr>
            </w:pPr>
          </w:p>
        </w:tc>
        <w:tc>
          <w:tcPr>
            <w:tcW w:w="812" w:type="dxa"/>
            <w:tcBorders>
              <w:top w:val="nil"/>
              <w:bottom w:val="nil"/>
            </w:tcBorders>
            <w:noWrap/>
          </w:tcPr>
          <w:p w:rsidR="00682A88" w:rsidRPr="00CF3673" w:rsidRDefault="00682A88" w:rsidP="00682A88">
            <w:pPr>
              <w:jc w:val="center"/>
              <w:rPr>
                <w:rFonts w:ascii="Calibri" w:eastAsia="Times New Roman" w:hAnsi="Calibri" w:cs="Times New Roman"/>
                <w:lang w:eastAsia="zh-CN"/>
              </w:rPr>
            </w:pPr>
          </w:p>
        </w:tc>
        <w:tc>
          <w:tcPr>
            <w:tcW w:w="990" w:type="dxa"/>
            <w:tcBorders>
              <w:top w:val="nil"/>
              <w:bottom w:val="nil"/>
            </w:tcBorders>
            <w:noWrap/>
          </w:tcPr>
          <w:p w:rsidR="00682A88" w:rsidRPr="00CF3673" w:rsidRDefault="00682A88" w:rsidP="00682A88">
            <w:pPr>
              <w:jc w:val="center"/>
              <w:rPr>
                <w:rFonts w:ascii="Calibri" w:eastAsia="Times New Roman" w:hAnsi="Calibri" w:cs="Times New Roman"/>
                <w:lang w:eastAsia="zh-CN"/>
              </w:rPr>
            </w:pPr>
          </w:p>
        </w:tc>
        <w:tc>
          <w:tcPr>
            <w:tcW w:w="864" w:type="dxa"/>
            <w:tcBorders>
              <w:top w:val="nil"/>
              <w:bottom w:val="nil"/>
            </w:tcBorders>
            <w:noWrap/>
          </w:tcPr>
          <w:p w:rsidR="00682A88" w:rsidRPr="00CF3673" w:rsidRDefault="00682A88" w:rsidP="00682A88">
            <w:pPr>
              <w:jc w:val="center"/>
              <w:rPr>
                <w:rFonts w:ascii="Calibri" w:eastAsia="Times New Roman" w:hAnsi="Calibri" w:cs="Times New Roman"/>
                <w:lang w:eastAsia="zh-CN"/>
              </w:rPr>
            </w:pPr>
          </w:p>
        </w:tc>
      </w:tr>
      <w:tr w:rsidR="00682A88" w:rsidRPr="00CF3673" w:rsidTr="00682A88">
        <w:trPr>
          <w:trHeight w:val="300"/>
          <w:jc w:val="center"/>
        </w:trPr>
        <w:tc>
          <w:tcPr>
            <w:tcW w:w="4698" w:type="dxa"/>
            <w:tcBorders>
              <w:top w:val="nil"/>
              <w:bottom w:val="single" w:sz="4" w:space="0" w:color="auto"/>
            </w:tcBorders>
            <w:noWrap/>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Critérios de fixação de salários</w:t>
            </w:r>
          </w:p>
        </w:tc>
        <w:tc>
          <w:tcPr>
            <w:tcW w:w="720" w:type="dxa"/>
            <w:tcBorders>
              <w:top w:val="nil"/>
              <w:bottom w:val="single" w:sz="4" w:space="0" w:color="auto"/>
            </w:tcBorders>
            <w:noWrap/>
          </w:tcPr>
          <w:p w:rsidR="00682A88" w:rsidRPr="00CF3673" w:rsidRDefault="00682A88" w:rsidP="00682A88">
            <w:pPr>
              <w:jc w:val="center"/>
              <w:rPr>
                <w:rFonts w:ascii="Calibri" w:eastAsia="Times New Roman" w:hAnsi="Calibri" w:cs="Times New Roman"/>
                <w:lang w:eastAsia="zh-CN"/>
              </w:rPr>
            </w:pPr>
          </w:p>
        </w:tc>
        <w:tc>
          <w:tcPr>
            <w:tcW w:w="720" w:type="dxa"/>
            <w:tcBorders>
              <w:top w:val="nil"/>
              <w:bottom w:val="single" w:sz="4" w:space="0" w:color="auto"/>
            </w:tcBorders>
            <w:noWrap/>
          </w:tcPr>
          <w:p w:rsidR="00682A88" w:rsidRPr="00CF3673" w:rsidRDefault="00682A88" w:rsidP="00682A88">
            <w:pPr>
              <w:jc w:val="center"/>
              <w:rPr>
                <w:rFonts w:ascii="Calibri" w:eastAsia="Times New Roman" w:hAnsi="Calibri" w:cs="Times New Roman"/>
                <w:lang w:eastAsia="zh-CN"/>
              </w:rPr>
            </w:pPr>
          </w:p>
        </w:tc>
        <w:tc>
          <w:tcPr>
            <w:tcW w:w="1024" w:type="dxa"/>
            <w:tcBorders>
              <w:top w:val="nil"/>
              <w:bottom w:val="single" w:sz="4" w:space="0" w:color="auto"/>
            </w:tcBorders>
            <w:noWrap/>
          </w:tcPr>
          <w:p w:rsidR="00682A88" w:rsidRPr="00CF3673" w:rsidRDefault="00682A88" w:rsidP="00682A88">
            <w:pPr>
              <w:jc w:val="center"/>
              <w:rPr>
                <w:rFonts w:ascii="Calibri" w:eastAsia="Times New Roman" w:hAnsi="Calibri" w:cs="Times New Roman"/>
                <w:lang w:eastAsia="zh-CN"/>
              </w:rPr>
            </w:pPr>
          </w:p>
        </w:tc>
        <w:tc>
          <w:tcPr>
            <w:tcW w:w="812" w:type="dxa"/>
            <w:tcBorders>
              <w:top w:val="nil"/>
              <w:bottom w:val="single" w:sz="4" w:space="0" w:color="auto"/>
            </w:tcBorders>
            <w:noWrap/>
          </w:tcPr>
          <w:p w:rsidR="00682A88" w:rsidRPr="00CF3673" w:rsidRDefault="00682A88" w:rsidP="00682A88">
            <w:pPr>
              <w:jc w:val="center"/>
              <w:rPr>
                <w:rFonts w:ascii="Calibri" w:eastAsia="Times New Roman" w:hAnsi="Calibri" w:cs="Times New Roman"/>
                <w:lang w:eastAsia="zh-CN"/>
              </w:rPr>
            </w:pPr>
          </w:p>
        </w:tc>
        <w:tc>
          <w:tcPr>
            <w:tcW w:w="990" w:type="dxa"/>
            <w:tcBorders>
              <w:top w:val="nil"/>
              <w:bottom w:val="single" w:sz="4" w:space="0" w:color="auto"/>
            </w:tcBorders>
            <w:noWrap/>
          </w:tcPr>
          <w:p w:rsidR="00682A88" w:rsidRPr="00CF3673" w:rsidRDefault="00682A88" w:rsidP="00682A88">
            <w:pPr>
              <w:jc w:val="center"/>
              <w:rPr>
                <w:rFonts w:ascii="Calibri" w:eastAsia="Times New Roman" w:hAnsi="Calibri" w:cs="Times New Roman"/>
                <w:lang w:eastAsia="zh-CN"/>
              </w:rPr>
            </w:pPr>
          </w:p>
        </w:tc>
        <w:tc>
          <w:tcPr>
            <w:tcW w:w="864" w:type="dxa"/>
            <w:tcBorders>
              <w:top w:val="nil"/>
              <w:bottom w:val="single" w:sz="4" w:space="0" w:color="auto"/>
            </w:tcBorders>
            <w:noWrap/>
          </w:tcPr>
          <w:p w:rsidR="00682A88" w:rsidRPr="00CF3673" w:rsidRDefault="00682A88" w:rsidP="00682A88">
            <w:pPr>
              <w:jc w:val="center"/>
              <w:rPr>
                <w:rFonts w:ascii="Calibri" w:eastAsia="Times New Roman" w:hAnsi="Calibri" w:cs="Times New Roman"/>
                <w:lang w:eastAsia="zh-CN"/>
              </w:rPr>
            </w:pPr>
          </w:p>
        </w:tc>
      </w:tr>
      <w:tr w:rsidR="00682A88" w:rsidRPr="00CF3673" w:rsidTr="00682A88">
        <w:trPr>
          <w:trHeight w:val="300"/>
          <w:jc w:val="center"/>
        </w:trPr>
        <w:tc>
          <w:tcPr>
            <w:tcW w:w="4698" w:type="dxa"/>
            <w:tcBorders>
              <w:top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Salários em outras empresas não-estatais locais</w:t>
            </w:r>
          </w:p>
        </w:tc>
        <w:tc>
          <w:tcPr>
            <w:tcW w:w="720" w:type="dxa"/>
            <w:tcBorders>
              <w:top w:val="single" w:sz="4" w:space="0" w:color="auto"/>
            </w:tcBorders>
            <w:noWrap/>
            <w:hideMark/>
          </w:tcPr>
          <w:p w:rsidR="00682A88" w:rsidRPr="00CF3673" w:rsidRDefault="00682A88" w:rsidP="00682A88">
            <w:pPr>
              <w:jc w:val="center"/>
            </w:pPr>
            <w:r w:rsidRPr="00CF3673">
              <w:t>4.0</w:t>
            </w:r>
          </w:p>
        </w:tc>
        <w:tc>
          <w:tcPr>
            <w:tcW w:w="720" w:type="dxa"/>
            <w:tcBorders>
              <w:top w:val="single" w:sz="4" w:space="0" w:color="auto"/>
            </w:tcBorders>
            <w:noWrap/>
            <w:hideMark/>
          </w:tcPr>
          <w:p w:rsidR="00682A88" w:rsidRPr="00CF3673" w:rsidRDefault="00682A88" w:rsidP="00682A88">
            <w:pPr>
              <w:jc w:val="center"/>
            </w:pPr>
            <w:r w:rsidRPr="00CF3673">
              <w:t>3.3</w:t>
            </w:r>
          </w:p>
        </w:tc>
        <w:tc>
          <w:tcPr>
            <w:tcW w:w="1024" w:type="dxa"/>
            <w:tcBorders>
              <w:top w:val="single" w:sz="4" w:space="0" w:color="auto"/>
            </w:tcBorders>
            <w:noWrap/>
            <w:hideMark/>
          </w:tcPr>
          <w:p w:rsidR="00682A88" w:rsidRPr="00CF3673" w:rsidRDefault="00682A88" w:rsidP="00682A88">
            <w:pPr>
              <w:jc w:val="center"/>
            </w:pPr>
            <w:r w:rsidRPr="00CF3673">
              <w:t>3.9</w:t>
            </w:r>
          </w:p>
        </w:tc>
        <w:tc>
          <w:tcPr>
            <w:tcW w:w="812" w:type="dxa"/>
            <w:tcBorders>
              <w:top w:val="single" w:sz="4" w:space="0" w:color="auto"/>
            </w:tcBorders>
            <w:noWrap/>
            <w:hideMark/>
          </w:tcPr>
          <w:p w:rsidR="00682A88" w:rsidRPr="00CF3673" w:rsidRDefault="00682A88" w:rsidP="00682A88">
            <w:pPr>
              <w:jc w:val="center"/>
            </w:pPr>
            <w:r w:rsidRPr="00CF3673">
              <w:t>9.1</w:t>
            </w:r>
          </w:p>
        </w:tc>
        <w:tc>
          <w:tcPr>
            <w:tcW w:w="990" w:type="dxa"/>
            <w:tcBorders>
              <w:top w:val="single" w:sz="4" w:space="0" w:color="auto"/>
            </w:tcBorders>
            <w:noWrap/>
            <w:hideMark/>
          </w:tcPr>
          <w:p w:rsidR="00682A88" w:rsidRPr="00CF3673" w:rsidRDefault="00682A88" w:rsidP="00682A88">
            <w:pPr>
              <w:jc w:val="center"/>
            </w:pPr>
            <w:r w:rsidRPr="00CF3673">
              <w:t>3.7</w:t>
            </w:r>
          </w:p>
        </w:tc>
        <w:tc>
          <w:tcPr>
            <w:tcW w:w="864" w:type="dxa"/>
            <w:tcBorders>
              <w:top w:val="single" w:sz="4" w:space="0" w:color="auto"/>
            </w:tcBorders>
            <w:noWrap/>
            <w:hideMark/>
          </w:tcPr>
          <w:p w:rsidR="00682A88" w:rsidRPr="00CF3673" w:rsidRDefault="00682A88" w:rsidP="00682A88">
            <w:pPr>
              <w:jc w:val="center"/>
            </w:pPr>
            <w:r w:rsidRPr="00CF3673">
              <w:t>4.0</w:t>
            </w:r>
          </w:p>
        </w:tc>
      </w:tr>
      <w:tr w:rsidR="00682A88" w:rsidRPr="00CF3673" w:rsidTr="00682A88">
        <w:trPr>
          <w:trHeight w:val="300"/>
          <w:jc w:val="center"/>
        </w:trPr>
        <w:tc>
          <w:tcPr>
            <w:tcW w:w="4698"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Salários em empresas estatais locais</w:t>
            </w:r>
          </w:p>
        </w:tc>
        <w:tc>
          <w:tcPr>
            <w:tcW w:w="720" w:type="dxa"/>
            <w:noWrap/>
            <w:hideMark/>
          </w:tcPr>
          <w:p w:rsidR="00682A88" w:rsidRPr="00CF3673" w:rsidRDefault="00682A88" w:rsidP="00682A88">
            <w:pPr>
              <w:jc w:val="center"/>
            </w:pPr>
            <w:r w:rsidRPr="00CF3673">
              <w:t>2.1</w:t>
            </w:r>
          </w:p>
        </w:tc>
        <w:tc>
          <w:tcPr>
            <w:tcW w:w="720" w:type="dxa"/>
            <w:noWrap/>
            <w:hideMark/>
          </w:tcPr>
          <w:p w:rsidR="00682A88" w:rsidRPr="00CF3673" w:rsidRDefault="00682A88" w:rsidP="00682A88">
            <w:pPr>
              <w:jc w:val="center"/>
            </w:pPr>
            <w:r w:rsidRPr="00CF3673">
              <w:t>1.9</w:t>
            </w:r>
          </w:p>
        </w:tc>
        <w:tc>
          <w:tcPr>
            <w:tcW w:w="1024" w:type="dxa"/>
            <w:noWrap/>
            <w:hideMark/>
          </w:tcPr>
          <w:p w:rsidR="00682A88" w:rsidRPr="00CF3673" w:rsidRDefault="00682A88" w:rsidP="00682A88">
            <w:pPr>
              <w:jc w:val="center"/>
            </w:pPr>
            <w:r w:rsidRPr="00CF3673">
              <w:t>2.2</w:t>
            </w:r>
          </w:p>
        </w:tc>
        <w:tc>
          <w:tcPr>
            <w:tcW w:w="812" w:type="dxa"/>
            <w:noWrap/>
            <w:hideMark/>
          </w:tcPr>
          <w:p w:rsidR="00682A88" w:rsidRPr="00CF3673" w:rsidRDefault="00682A88" w:rsidP="00682A88">
            <w:pPr>
              <w:jc w:val="center"/>
            </w:pPr>
            <w:r w:rsidRPr="00CF3673">
              <w:t>3.0</w:t>
            </w:r>
          </w:p>
        </w:tc>
        <w:tc>
          <w:tcPr>
            <w:tcW w:w="990" w:type="dxa"/>
            <w:noWrap/>
            <w:hideMark/>
          </w:tcPr>
          <w:p w:rsidR="00682A88" w:rsidRPr="00CF3673" w:rsidRDefault="00682A88" w:rsidP="00682A88">
            <w:pPr>
              <w:jc w:val="center"/>
            </w:pPr>
            <w:r w:rsidRPr="00CF3673">
              <w:t>0.0</w:t>
            </w:r>
          </w:p>
        </w:tc>
        <w:tc>
          <w:tcPr>
            <w:tcW w:w="864" w:type="dxa"/>
            <w:noWrap/>
            <w:hideMark/>
          </w:tcPr>
          <w:p w:rsidR="00682A88" w:rsidRPr="00CF3673" w:rsidRDefault="00682A88" w:rsidP="00682A88">
            <w:pPr>
              <w:jc w:val="center"/>
            </w:pPr>
            <w:r w:rsidRPr="00CF3673">
              <w:t>2.7</w:t>
            </w:r>
          </w:p>
        </w:tc>
      </w:tr>
      <w:tr w:rsidR="00682A88" w:rsidRPr="00CF3673" w:rsidTr="00682A88">
        <w:trPr>
          <w:trHeight w:val="300"/>
          <w:jc w:val="center"/>
        </w:trPr>
        <w:tc>
          <w:tcPr>
            <w:tcW w:w="4698"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Com base no salário mínimo</w:t>
            </w:r>
          </w:p>
        </w:tc>
        <w:tc>
          <w:tcPr>
            <w:tcW w:w="720" w:type="dxa"/>
            <w:noWrap/>
            <w:hideMark/>
          </w:tcPr>
          <w:p w:rsidR="00682A88" w:rsidRPr="00CF3673" w:rsidRDefault="00682A88" w:rsidP="00682A88">
            <w:pPr>
              <w:jc w:val="center"/>
            </w:pPr>
            <w:r w:rsidRPr="00CF3673">
              <w:t>32.5</w:t>
            </w:r>
          </w:p>
        </w:tc>
        <w:tc>
          <w:tcPr>
            <w:tcW w:w="720" w:type="dxa"/>
            <w:noWrap/>
            <w:hideMark/>
          </w:tcPr>
          <w:p w:rsidR="00682A88" w:rsidRPr="00CF3673" w:rsidRDefault="00682A88" w:rsidP="00682A88">
            <w:pPr>
              <w:jc w:val="center"/>
            </w:pPr>
            <w:r w:rsidRPr="00CF3673">
              <w:t>23.5</w:t>
            </w:r>
          </w:p>
        </w:tc>
        <w:tc>
          <w:tcPr>
            <w:tcW w:w="1024" w:type="dxa"/>
            <w:noWrap/>
            <w:hideMark/>
          </w:tcPr>
          <w:p w:rsidR="00682A88" w:rsidRPr="00CF3673" w:rsidRDefault="00682A88" w:rsidP="00682A88">
            <w:pPr>
              <w:jc w:val="center"/>
            </w:pPr>
            <w:r w:rsidRPr="00CF3673">
              <w:t>48.3</w:t>
            </w:r>
          </w:p>
        </w:tc>
        <w:tc>
          <w:tcPr>
            <w:tcW w:w="812" w:type="dxa"/>
            <w:noWrap/>
            <w:hideMark/>
          </w:tcPr>
          <w:p w:rsidR="00682A88" w:rsidRPr="00CF3673" w:rsidRDefault="00682A88" w:rsidP="00682A88">
            <w:pPr>
              <w:jc w:val="center"/>
            </w:pPr>
            <w:r w:rsidRPr="00CF3673">
              <w:t>60.6</w:t>
            </w:r>
          </w:p>
        </w:tc>
        <w:tc>
          <w:tcPr>
            <w:tcW w:w="990" w:type="dxa"/>
            <w:noWrap/>
            <w:hideMark/>
          </w:tcPr>
          <w:p w:rsidR="00682A88" w:rsidRPr="00CF3673" w:rsidRDefault="00682A88" w:rsidP="00682A88">
            <w:pPr>
              <w:jc w:val="center"/>
            </w:pPr>
            <w:r w:rsidRPr="00CF3673">
              <w:t>13.4</w:t>
            </w:r>
          </w:p>
        </w:tc>
        <w:tc>
          <w:tcPr>
            <w:tcW w:w="864" w:type="dxa"/>
            <w:noWrap/>
            <w:hideMark/>
          </w:tcPr>
          <w:p w:rsidR="00682A88" w:rsidRPr="00CF3673" w:rsidRDefault="00682A88" w:rsidP="00682A88">
            <w:pPr>
              <w:jc w:val="center"/>
            </w:pPr>
            <w:r w:rsidRPr="00CF3673">
              <w:t>37.8</w:t>
            </w:r>
          </w:p>
        </w:tc>
      </w:tr>
      <w:tr w:rsidR="00682A88" w:rsidRPr="00CF3673" w:rsidTr="00682A88">
        <w:trPr>
          <w:trHeight w:val="300"/>
          <w:jc w:val="center"/>
        </w:trPr>
        <w:tc>
          <w:tcPr>
            <w:tcW w:w="4698"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Renda </w:t>
            </w:r>
            <w:r w:rsidR="006A4724" w:rsidRPr="00CF3673">
              <w:rPr>
                <w:rFonts w:ascii="Calibri" w:eastAsia="Times New Roman" w:hAnsi="Calibri" w:cs="Calibri"/>
                <w:color w:val="000000"/>
                <w:lang w:eastAsia="zh-CN"/>
              </w:rPr>
              <w:t>média</w:t>
            </w:r>
            <w:r w:rsidRPr="00CF3673">
              <w:rPr>
                <w:rFonts w:ascii="Calibri" w:eastAsia="Times New Roman" w:hAnsi="Calibri" w:cs="Calibri"/>
                <w:color w:val="000000"/>
                <w:lang w:eastAsia="zh-CN"/>
              </w:rPr>
              <w:t xml:space="preserve"> líquida na agricultura</w:t>
            </w:r>
          </w:p>
        </w:tc>
        <w:tc>
          <w:tcPr>
            <w:tcW w:w="720" w:type="dxa"/>
            <w:noWrap/>
            <w:hideMark/>
          </w:tcPr>
          <w:p w:rsidR="00682A88" w:rsidRPr="00CF3673" w:rsidRDefault="00682A88" w:rsidP="00682A88">
            <w:pPr>
              <w:jc w:val="center"/>
            </w:pPr>
            <w:r w:rsidRPr="00CF3673">
              <w:t>0.7</w:t>
            </w:r>
          </w:p>
        </w:tc>
        <w:tc>
          <w:tcPr>
            <w:tcW w:w="720" w:type="dxa"/>
            <w:noWrap/>
            <w:hideMark/>
          </w:tcPr>
          <w:p w:rsidR="00682A88" w:rsidRPr="00CF3673" w:rsidRDefault="00682A88" w:rsidP="00682A88">
            <w:pPr>
              <w:jc w:val="center"/>
            </w:pPr>
            <w:r w:rsidRPr="00CF3673">
              <w:t>0.8</w:t>
            </w:r>
          </w:p>
        </w:tc>
        <w:tc>
          <w:tcPr>
            <w:tcW w:w="1024" w:type="dxa"/>
            <w:noWrap/>
            <w:hideMark/>
          </w:tcPr>
          <w:p w:rsidR="00682A88" w:rsidRPr="00CF3673" w:rsidRDefault="00682A88" w:rsidP="00682A88">
            <w:pPr>
              <w:jc w:val="center"/>
            </w:pPr>
            <w:r w:rsidRPr="00CF3673">
              <w:t>0.6</w:t>
            </w:r>
          </w:p>
        </w:tc>
        <w:tc>
          <w:tcPr>
            <w:tcW w:w="812" w:type="dxa"/>
            <w:noWrap/>
            <w:hideMark/>
          </w:tcPr>
          <w:p w:rsidR="00682A88" w:rsidRPr="00CF3673" w:rsidRDefault="00682A88" w:rsidP="00682A88">
            <w:pPr>
              <w:jc w:val="center"/>
            </w:pPr>
            <w:r w:rsidRPr="00CF3673">
              <w:t>0.0</w:t>
            </w:r>
          </w:p>
        </w:tc>
        <w:tc>
          <w:tcPr>
            <w:tcW w:w="990" w:type="dxa"/>
            <w:noWrap/>
            <w:hideMark/>
          </w:tcPr>
          <w:p w:rsidR="00682A88" w:rsidRPr="00CF3673" w:rsidRDefault="00682A88" w:rsidP="00682A88">
            <w:pPr>
              <w:jc w:val="center"/>
            </w:pPr>
            <w:r w:rsidRPr="00CF3673">
              <w:t>0.6</w:t>
            </w:r>
          </w:p>
        </w:tc>
        <w:tc>
          <w:tcPr>
            <w:tcW w:w="864" w:type="dxa"/>
            <w:noWrap/>
            <w:hideMark/>
          </w:tcPr>
          <w:p w:rsidR="00682A88" w:rsidRPr="00CF3673" w:rsidRDefault="00682A88" w:rsidP="00682A88">
            <w:pPr>
              <w:jc w:val="center"/>
            </w:pPr>
            <w:r w:rsidRPr="00CF3673">
              <w:t>0.7</w:t>
            </w:r>
          </w:p>
        </w:tc>
      </w:tr>
      <w:tr w:rsidR="00682A88" w:rsidRPr="00CF3673" w:rsidTr="00682A88">
        <w:trPr>
          <w:trHeight w:val="300"/>
          <w:jc w:val="center"/>
        </w:trPr>
        <w:tc>
          <w:tcPr>
            <w:tcW w:w="4698"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Taxa de emprego assalariado na agricultura na época alta</w:t>
            </w:r>
          </w:p>
        </w:tc>
        <w:tc>
          <w:tcPr>
            <w:tcW w:w="720" w:type="dxa"/>
            <w:noWrap/>
            <w:hideMark/>
          </w:tcPr>
          <w:p w:rsidR="00682A88" w:rsidRPr="00CF3673" w:rsidRDefault="00682A88" w:rsidP="00682A88">
            <w:pPr>
              <w:jc w:val="center"/>
            </w:pPr>
            <w:r w:rsidRPr="00CF3673">
              <w:t>0.3</w:t>
            </w:r>
          </w:p>
        </w:tc>
        <w:tc>
          <w:tcPr>
            <w:tcW w:w="720" w:type="dxa"/>
            <w:noWrap/>
            <w:hideMark/>
          </w:tcPr>
          <w:p w:rsidR="00682A88" w:rsidRPr="00CF3673" w:rsidRDefault="00682A88" w:rsidP="00682A88">
            <w:pPr>
              <w:jc w:val="center"/>
            </w:pPr>
            <w:r w:rsidRPr="00CF3673">
              <w:t>0.4</w:t>
            </w:r>
          </w:p>
        </w:tc>
        <w:tc>
          <w:tcPr>
            <w:tcW w:w="1024" w:type="dxa"/>
            <w:noWrap/>
            <w:hideMark/>
          </w:tcPr>
          <w:p w:rsidR="00682A88" w:rsidRPr="00CF3673" w:rsidRDefault="00682A88" w:rsidP="00682A88">
            <w:pPr>
              <w:jc w:val="center"/>
            </w:pPr>
            <w:r w:rsidRPr="00CF3673">
              <w:t>0.0</w:t>
            </w:r>
          </w:p>
        </w:tc>
        <w:tc>
          <w:tcPr>
            <w:tcW w:w="812" w:type="dxa"/>
            <w:noWrap/>
            <w:hideMark/>
          </w:tcPr>
          <w:p w:rsidR="00682A88" w:rsidRPr="00CF3673" w:rsidRDefault="00682A88" w:rsidP="00682A88">
            <w:pPr>
              <w:jc w:val="center"/>
            </w:pPr>
            <w:r w:rsidRPr="00CF3673">
              <w:t>0.0</w:t>
            </w:r>
          </w:p>
        </w:tc>
        <w:tc>
          <w:tcPr>
            <w:tcW w:w="990" w:type="dxa"/>
            <w:noWrap/>
            <w:hideMark/>
          </w:tcPr>
          <w:p w:rsidR="00682A88" w:rsidRPr="00CF3673" w:rsidRDefault="00682A88" w:rsidP="00682A88">
            <w:pPr>
              <w:jc w:val="center"/>
            </w:pPr>
            <w:r w:rsidRPr="00CF3673">
              <w:t>0.6</w:t>
            </w:r>
          </w:p>
        </w:tc>
        <w:tc>
          <w:tcPr>
            <w:tcW w:w="864" w:type="dxa"/>
            <w:noWrap/>
            <w:hideMark/>
          </w:tcPr>
          <w:p w:rsidR="00682A88" w:rsidRPr="00CF3673" w:rsidRDefault="00682A88" w:rsidP="00682A88">
            <w:pPr>
              <w:jc w:val="center"/>
            </w:pPr>
            <w:r w:rsidRPr="00CF3673">
              <w:t>0.2</w:t>
            </w:r>
          </w:p>
        </w:tc>
      </w:tr>
      <w:tr w:rsidR="00682A88" w:rsidRPr="00CF3673" w:rsidTr="00682A88">
        <w:trPr>
          <w:trHeight w:val="300"/>
          <w:jc w:val="center"/>
        </w:trPr>
        <w:tc>
          <w:tcPr>
            <w:tcW w:w="4698"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Negociação individual com cada trabalhador</w:t>
            </w:r>
          </w:p>
        </w:tc>
        <w:tc>
          <w:tcPr>
            <w:tcW w:w="720" w:type="dxa"/>
            <w:noWrap/>
            <w:hideMark/>
          </w:tcPr>
          <w:p w:rsidR="00682A88" w:rsidRPr="00CF3673" w:rsidRDefault="00682A88" w:rsidP="00682A88">
            <w:pPr>
              <w:jc w:val="center"/>
            </w:pPr>
            <w:r w:rsidRPr="00CF3673">
              <w:t>18.8</w:t>
            </w:r>
          </w:p>
        </w:tc>
        <w:tc>
          <w:tcPr>
            <w:tcW w:w="720" w:type="dxa"/>
            <w:noWrap/>
            <w:hideMark/>
          </w:tcPr>
          <w:p w:rsidR="00682A88" w:rsidRPr="00CF3673" w:rsidRDefault="00682A88" w:rsidP="00682A88">
            <w:pPr>
              <w:jc w:val="center"/>
            </w:pPr>
            <w:r w:rsidRPr="00CF3673">
              <w:t>24.1</w:t>
            </w:r>
          </w:p>
        </w:tc>
        <w:tc>
          <w:tcPr>
            <w:tcW w:w="1024" w:type="dxa"/>
            <w:noWrap/>
            <w:hideMark/>
          </w:tcPr>
          <w:p w:rsidR="00682A88" w:rsidRPr="00CF3673" w:rsidRDefault="00682A88" w:rsidP="00682A88">
            <w:pPr>
              <w:jc w:val="center"/>
            </w:pPr>
            <w:r w:rsidRPr="00CF3673">
              <w:t>9.0</w:t>
            </w:r>
          </w:p>
        </w:tc>
        <w:tc>
          <w:tcPr>
            <w:tcW w:w="812" w:type="dxa"/>
            <w:noWrap/>
            <w:hideMark/>
          </w:tcPr>
          <w:p w:rsidR="00682A88" w:rsidRPr="00CF3673" w:rsidRDefault="00682A88" w:rsidP="00682A88">
            <w:pPr>
              <w:jc w:val="center"/>
            </w:pPr>
            <w:r w:rsidRPr="00CF3673">
              <w:t>4.5</w:t>
            </w:r>
          </w:p>
        </w:tc>
        <w:tc>
          <w:tcPr>
            <w:tcW w:w="990" w:type="dxa"/>
            <w:noWrap/>
            <w:hideMark/>
          </w:tcPr>
          <w:p w:rsidR="00682A88" w:rsidRPr="00CF3673" w:rsidRDefault="00682A88" w:rsidP="00682A88">
            <w:pPr>
              <w:jc w:val="center"/>
            </w:pPr>
            <w:r w:rsidRPr="00CF3673">
              <w:t>22.0</w:t>
            </w:r>
          </w:p>
        </w:tc>
        <w:tc>
          <w:tcPr>
            <w:tcW w:w="864" w:type="dxa"/>
            <w:noWrap/>
            <w:hideMark/>
          </w:tcPr>
          <w:p w:rsidR="00682A88" w:rsidRPr="00CF3673" w:rsidRDefault="00682A88" w:rsidP="00682A88">
            <w:pPr>
              <w:jc w:val="center"/>
            </w:pPr>
            <w:r w:rsidRPr="00CF3673">
              <w:t>18.0</w:t>
            </w:r>
          </w:p>
        </w:tc>
      </w:tr>
      <w:tr w:rsidR="00682A88" w:rsidRPr="00CF3673" w:rsidTr="00682A88">
        <w:trPr>
          <w:trHeight w:val="300"/>
          <w:jc w:val="center"/>
        </w:trPr>
        <w:tc>
          <w:tcPr>
            <w:tcW w:w="4698"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Negociação colectiva</w:t>
            </w:r>
          </w:p>
        </w:tc>
        <w:tc>
          <w:tcPr>
            <w:tcW w:w="720" w:type="dxa"/>
            <w:noWrap/>
            <w:hideMark/>
          </w:tcPr>
          <w:p w:rsidR="00682A88" w:rsidRPr="00CF3673" w:rsidRDefault="00682A88" w:rsidP="00682A88">
            <w:pPr>
              <w:jc w:val="center"/>
            </w:pPr>
            <w:r w:rsidRPr="00CF3673">
              <w:t>3.7</w:t>
            </w:r>
          </w:p>
        </w:tc>
        <w:tc>
          <w:tcPr>
            <w:tcW w:w="720" w:type="dxa"/>
            <w:noWrap/>
            <w:hideMark/>
          </w:tcPr>
          <w:p w:rsidR="00682A88" w:rsidRPr="00CF3673" w:rsidRDefault="00682A88" w:rsidP="00682A88">
            <w:pPr>
              <w:jc w:val="center"/>
            </w:pPr>
            <w:r w:rsidRPr="00CF3673">
              <w:t>4.7</w:t>
            </w:r>
          </w:p>
        </w:tc>
        <w:tc>
          <w:tcPr>
            <w:tcW w:w="1024" w:type="dxa"/>
            <w:noWrap/>
            <w:hideMark/>
          </w:tcPr>
          <w:p w:rsidR="00682A88" w:rsidRPr="00CF3673" w:rsidRDefault="00682A88" w:rsidP="00682A88">
            <w:pPr>
              <w:jc w:val="center"/>
            </w:pPr>
            <w:r w:rsidRPr="00CF3673">
              <w:t>2.2</w:t>
            </w:r>
          </w:p>
        </w:tc>
        <w:tc>
          <w:tcPr>
            <w:tcW w:w="812" w:type="dxa"/>
            <w:noWrap/>
            <w:hideMark/>
          </w:tcPr>
          <w:p w:rsidR="00682A88" w:rsidRPr="00CF3673" w:rsidRDefault="00682A88" w:rsidP="00682A88">
            <w:pPr>
              <w:jc w:val="center"/>
            </w:pPr>
            <w:r w:rsidRPr="00CF3673">
              <w:t>0.0</w:t>
            </w:r>
          </w:p>
        </w:tc>
        <w:tc>
          <w:tcPr>
            <w:tcW w:w="990" w:type="dxa"/>
            <w:noWrap/>
            <w:hideMark/>
          </w:tcPr>
          <w:p w:rsidR="00682A88" w:rsidRPr="00CF3673" w:rsidRDefault="00682A88" w:rsidP="00682A88">
            <w:pPr>
              <w:jc w:val="center"/>
            </w:pPr>
            <w:r w:rsidRPr="00CF3673">
              <w:t>5.5</w:t>
            </w:r>
          </w:p>
        </w:tc>
        <w:tc>
          <w:tcPr>
            <w:tcW w:w="864" w:type="dxa"/>
            <w:noWrap/>
            <w:hideMark/>
          </w:tcPr>
          <w:p w:rsidR="00682A88" w:rsidRPr="00CF3673" w:rsidRDefault="00682A88" w:rsidP="00682A88">
            <w:pPr>
              <w:jc w:val="center"/>
            </w:pPr>
            <w:r w:rsidRPr="00CF3673">
              <w:t>3.0</w:t>
            </w:r>
          </w:p>
        </w:tc>
      </w:tr>
      <w:tr w:rsidR="00682A88" w:rsidRPr="00CF3673" w:rsidTr="00682A88">
        <w:trPr>
          <w:trHeight w:val="300"/>
          <w:jc w:val="center"/>
        </w:trPr>
        <w:tc>
          <w:tcPr>
            <w:tcW w:w="4698"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Capacidade da empresa para pagar</w:t>
            </w:r>
          </w:p>
        </w:tc>
        <w:tc>
          <w:tcPr>
            <w:tcW w:w="720" w:type="dxa"/>
            <w:noWrap/>
            <w:hideMark/>
          </w:tcPr>
          <w:p w:rsidR="00682A88" w:rsidRPr="00CF3673" w:rsidRDefault="00682A88" w:rsidP="00682A88">
            <w:pPr>
              <w:jc w:val="center"/>
            </w:pPr>
            <w:r w:rsidRPr="00CF3673">
              <w:t>22.0</w:t>
            </w:r>
          </w:p>
        </w:tc>
        <w:tc>
          <w:tcPr>
            <w:tcW w:w="720" w:type="dxa"/>
            <w:noWrap/>
            <w:hideMark/>
          </w:tcPr>
          <w:p w:rsidR="00682A88" w:rsidRPr="00CF3673" w:rsidRDefault="00682A88" w:rsidP="00682A88">
            <w:pPr>
              <w:jc w:val="center"/>
            </w:pPr>
            <w:r w:rsidRPr="00CF3673">
              <w:t>24.9</w:t>
            </w:r>
          </w:p>
        </w:tc>
        <w:tc>
          <w:tcPr>
            <w:tcW w:w="1024" w:type="dxa"/>
            <w:noWrap/>
            <w:hideMark/>
          </w:tcPr>
          <w:p w:rsidR="00682A88" w:rsidRPr="00CF3673" w:rsidRDefault="00682A88" w:rsidP="00682A88">
            <w:pPr>
              <w:jc w:val="center"/>
            </w:pPr>
            <w:r w:rsidRPr="00CF3673">
              <w:t>19.7</w:t>
            </w:r>
          </w:p>
        </w:tc>
        <w:tc>
          <w:tcPr>
            <w:tcW w:w="812" w:type="dxa"/>
            <w:noWrap/>
            <w:hideMark/>
          </w:tcPr>
          <w:p w:rsidR="00682A88" w:rsidRPr="00CF3673" w:rsidRDefault="00682A88" w:rsidP="00682A88">
            <w:pPr>
              <w:jc w:val="center"/>
            </w:pPr>
            <w:r w:rsidRPr="00CF3673">
              <w:t>6.1</w:t>
            </w:r>
          </w:p>
        </w:tc>
        <w:tc>
          <w:tcPr>
            <w:tcW w:w="990" w:type="dxa"/>
            <w:noWrap/>
            <w:hideMark/>
          </w:tcPr>
          <w:p w:rsidR="00682A88" w:rsidRPr="00CF3673" w:rsidRDefault="00682A88" w:rsidP="00682A88">
            <w:pPr>
              <w:jc w:val="center"/>
            </w:pPr>
            <w:r w:rsidRPr="00CF3673">
              <w:t>34.8</w:t>
            </w:r>
          </w:p>
        </w:tc>
        <w:tc>
          <w:tcPr>
            <w:tcW w:w="864" w:type="dxa"/>
            <w:noWrap/>
            <w:hideMark/>
          </w:tcPr>
          <w:p w:rsidR="00682A88" w:rsidRPr="00CF3673" w:rsidRDefault="00682A88" w:rsidP="00682A88">
            <w:pPr>
              <w:jc w:val="center"/>
            </w:pPr>
            <w:r w:rsidRPr="00CF3673">
              <w:t>18.5</w:t>
            </w:r>
          </w:p>
        </w:tc>
      </w:tr>
      <w:tr w:rsidR="00682A88" w:rsidRPr="00CF3673" w:rsidTr="00682A88">
        <w:trPr>
          <w:trHeight w:val="300"/>
          <w:jc w:val="center"/>
        </w:trPr>
        <w:tc>
          <w:tcPr>
            <w:tcW w:w="4698" w:type="dxa"/>
            <w:noWrap/>
            <w:hideMark/>
          </w:tcPr>
          <w:p w:rsidR="00682A88" w:rsidRPr="00CF3673" w:rsidRDefault="006A4724"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Qualificações</w:t>
            </w:r>
            <w:r w:rsidR="00682A88" w:rsidRPr="00CF3673">
              <w:rPr>
                <w:rFonts w:ascii="Calibri" w:eastAsia="Times New Roman" w:hAnsi="Calibri" w:cs="Calibri"/>
                <w:color w:val="000000"/>
                <w:lang w:eastAsia="zh-CN"/>
              </w:rPr>
              <w:t xml:space="preserve"> e/ou experiência do trabalhador</w:t>
            </w:r>
          </w:p>
        </w:tc>
        <w:tc>
          <w:tcPr>
            <w:tcW w:w="720" w:type="dxa"/>
            <w:noWrap/>
            <w:hideMark/>
          </w:tcPr>
          <w:p w:rsidR="00682A88" w:rsidRPr="00CF3673" w:rsidRDefault="00682A88" w:rsidP="00682A88">
            <w:pPr>
              <w:jc w:val="center"/>
            </w:pPr>
            <w:r w:rsidRPr="00CF3673">
              <w:t>11.5</w:t>
            </w:r>
          </w:p>
        </w:tc>
        <w:tc>
          <w:tcPr>
            <w:tcW w:w="720" w:type="dxa"/>
            <w:noWrap/>
            <w:hideMark/>
          </w:tcPr>
          <w:p w:rsidR="00682A88" w:rsidRPr="00CF3673" w:rsidRDefault="00682A88" w:rsidP="00682A88">
            <w:pPr>
              <w:jc w:val="center"/>
            </w:pPr>
            <w:r w:rsidRPr="00CF3673">
              <w:t>10.7</w:t>
            </w:r>
          </w:p>
        </w:tc>
        <w:tc>
          <w:tcPr>
            <w:tcW w:w="1024" w:type="dxa"/>
            <w:noWrap/>
            <w:hideMark/>
          </w:tcPr>
          <w:p w:rsidR="00682A88" w:rsidRPr="00CF3673" w:rsidRDefault="00682A88" w:rsidP="00682A88">
            <w:pPr>
              <w:jc w:val="center"/>
            </w:pPr>
            <w:r w:rsidRPr="00CF3673">
              <w:t>11.8</w:t>
            </w:r>
          </w:p>
        </w:tc>
        <w:tc>
          <w:tcPr>
            <w:tcW w:w="812" w:type="dxa"/>
            <w:noWrap/>
            <w:hideMark/>
          </w:tcPr>
          <w:p w:rsidR="00682A88" w:rsidRPr="00CF3673" w:rsidRDefault="00682A88" w:rsidP="00682A88">
            <w:pPr>
              <w:jc w:val="center"/>
            </w:pPr>
            <w:r w:rsidRPr="00CF3673">
              <w:t>16.7</w:t>
            </w:r>
          </w:p>
        </w:tc>
        <w:tc>
          <w:tcPr>
            <w:tcW w:w="990" w:type="dxa"/>
            <w:noWrap/>
            <w:hideMark/>
          </w:tcPr>
          <w:p w:rsidR="00682A88" w:rsidRPr="00CF3673" w:rsidRDefault="00682A88" w:rsidP="00682A88">
            <w:pPr>
              <w:jc w:val="center"/>
            </w:pPr>
            <w:r w:rsidRPr="00CF3673">
              <w:t>13.4</w:t>
            </w:r>
          </w:p>
        </w:tc>
        <w:tc>
          <w:tcPr>
            <w:tcW w:w="864" w:type="dxa"/>
            <w:noWrap/>
            <w:hideMark/>
          </w:tcPr>
          <w:p w:rsidR="00682A88" w:rsidRPr="00CF3673" w:rsidRDefault="00682A88" w:rsidP="00682A88">
            <w:pPr>
              <w:jc w:val="center"/>
            </w:pPr>
            <w:r w:rsidRPr="00CF3673">
              <w:t>11.0</w:t>
            </w:r>
          </w:p>
        </w:tc>
      </w:tr>
      <w:tr w:rsidR="00682A88" w:rsidRPr="00CF3673" w:rsidTr="00682A88">
        <w:trPr>
          <w:trHeight w:val="300"/>
          <w:jc w:val="center"/>
        </w:trPr>
        <w:tc>
          <w:tcPr>
            <w:tcW w:w="4698" w:type="dxa"/>
            <w:tcBorders>
              <w:bottom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Outros</w:t>
            </w:r>
          </w:p>
        </w:tc>
        <w:tc>
          <w:tcPr>
            <w:tcW w:w="720" w:type="dxa"/>
            <w:tcBorders>
              <w:bottom w:val="single" w:sz="4" w:space="0" w:color="auto"/>
            </w:tcBorders>
            <w:noWrap/>
            <w:hideMark/>
          </w:tcPr>
          <w:p w:rsidR="00682A88" w:rsidRPr="00CF3673" w:rsidRDefault="00682A88" w:rsidP="00682A88">
            <w:pPr>
              <w:jc w:val="center"/>
            </w:pPr>
            <w:r w:rsidRPr="00CF3673">
              <w:t>4.5</w:t>
            </w:r>
          </w:p>
        </w:tc>
        <w:tc>
          <w:tcPr>
            <w:tcW w:w="720" w:type="dxa"/>
            <w:tcBorders>
              <w:bottom w:val="single" w:sz="4" w:space="0" w:color="auto"/>
            </w:tcBorders>
            <w:noWrap/>
            <w:hideMark/>
          </w:tcPr>
          <w:p w:rsidR="00682A88" w:rsidRPr="00CF3673" w:rsidRDefault="00682A88" w:rsidP="00682A88">
            <w:pPr>
              <w:jc w:val="center"/>
            </w:pPr>
            <w:r w:rsidRPr="00CF3673">
              <w:t>5.8</w:t>
            </w:r>
          </w:p>
        </w:tc>
        <w:tc>
          <w:tcPr>
            <w:tcW w:w="1024" w:type="dxa"/>
            <w:tcBorders>
              <w:bottom w:val="single" w:sz="4" w:space="0" w:color="auto"/>
            </w:tcBorders>
            <w:noWrap/>
            <w:hideMark/>
          </w:tcPr>
          <w:p w:rsidR="00682A88" w:rsidRPr="00CF3673" w:rsidRDefault="00682A88" w:rsidP="00682A88">
            <w:pPr>
              <w:jc w:val="center"/>
            </w:pPr>
            <w:r w:rsidRPr="00CF3673">
              <w:t>2.2</w:t>
            </w:r>
          </w:p>
        </w:tc>
        <w:tc>
          <w:tcPr>
            <w:tcW w:w="812" w:type="dxa"/>
            <w:tcBorders>
              <w:bottom w:val="single" w:sz="4" w:space="0" w:color="auto"/>
            </w:tcBorders>
            <w:noWrap/>
            <w:hideMark/>
          </w:tcPr>
          <w:p w:rsidR="00682A88" w:rsidRPr="00CF3673" w:rsidRDefault="00682A88" w:rsidP="00682A88">
            <w:pPr>
              <w:jc w:val="center"/>
            </w:pPr>
            <w:r w:rsidRPr="00CF3673">
              <w:t>0.0</w:t>
            </w:r>
          </w:p>
        </w:tc>
        <w:tc>
          <w:tcPr>
            <w:tcW w:w="990" w:type="dxa"/>
            <w:tcBorders>
              <w:bottom w:val="single" w:sz="4" w:space="0" w:color="auto"/>
            </w:tcBorders>
            <w:noWrap/>
            <w:hideMark/>
          </w:tcPr>
          <w:p w:rsidR="00682A88" w:rsidRPr="00CF3673" w:rsidRDefault="00682A88" w:rsidP="00682A88">
            <w:pPr>
              <w:jc w:val="center"/>
            </w:pPr>
            <w:r w:rsidRPr="00CF3673">
              <w:t>6.1</w:t>
            </w:r>
          </w:p>
        </w:tc>
        <w:tc>
          <w:tcPr>
            <w:tcW w:w="864" w:type="dxa"/>
            <w:tcBorders>
              <w:bottom w:val="single" w:sz="4" w:space="0" w:color="auto"/>
            </w:tcBorders>
            <w:noWrap/>
            <w:hideMark/>
          </w:tcPr>
          <w:p w:rsidR="00682A88" w:rsidRPr="00CF3673" w:rsidRDefault="00682A88" w:rsidP="00682A88">
            <w:pPr>
              <w:jc w:val="center"/>
            </w:pPr>
            <w:r w:rsidRPr="00CF3673">
              <w:t>4.0</w:t>
            </w:r>
          </w:p>
        </w:tc>
      </w:tr>
      <w:tr w:rsidR="00682A88" w:rsidRPr="00CF3673" w:rsidTr="00682A88">
        <w:trPr>
          <w:trHeight w:val="300"/>
          <w:jc w:val="center"/>
        </w:trPr>
        <w:tc>
          <w:tcPr>
            <w:tcW w:w="4698" w:type="dxa"/>
            <w:tcBorders>
              <w:top w:val="single" w:sz="4" w:space="0" w:color="auto"/>
              <w:bottom w:val="doub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Nº de obs.</w:t>
            </w:r>
          </w:p>
        </w:tc>
        <w:tc>
          <w:tcPr>
            <w:tcW w:w="720" w:type="dxa"/>
            <w:tcBorders>
              <w:top w:val="single" w:sz="4" w:space="0" w:color="auto"/>
              <w:bottom w:val="double" w:sz="4" w:space="0" w:color="auto"/>
            </w:tcBorders>
            <w:noWrap/>
            <w:hideMark/>
          </w:tcPr>
          <w:p w:rsidR="00682A88" w:rsidRPr="00CF3673" w:rsidRDefault="00682A88" w:rsidP="00682A88">
            <w:pPr>
              <w:jc w:val="center"/>
            </w:pPr>
            <w:r w:rsidRPr="00CF3673">
              <w:t>759</w:t>
            </w:r>
          </w:p>
        </w:tc>
        <w:tc>
          <w:tcPr>
            <w:tcW w:w="720" w:type="dxa"/>
            <w:tcBorders>
              <w:top w:val="single" w:sz="4" w:space="0" w:color="auto"/>
              <w:bottom w:val="double" w:sz="4" w:space="0" w:color="auto"/>
            </w:tcBorders>
            <w:noWrap/>
            <w:hideMark/>
          </w:tcPr>
          <w:p w:rsidR="00682A88" w:rsidRPr="00CF3673" w:rsidRDefault="00682A88" w:rsidP="00682A88">
            <w:pPr>
              <w:jc w:val="center"/>
            </w:pPr>
            <w:r w:rsidRPr="00CF3673">
              <w:t>515</w:t>
            </w:r>
          </w:p>
        </w:tc>
        <w:tc>
          <w:tcPr>
            <w:tcW w:w="1024" w:type="dxa"/>
            <w:tcBorders>
              <w:top w:val="single" w:sz="4" w:space="0" w:color="auto"/>
              <w:bottom w:val="double" w:sz="4" w:space="0" w:color="auto"/>
            </w:tcBorders>
            <w:noWrap/>
            <w:hideMark/>
          </w:tcPr>
          <w:p w:rsidR="00682A88" w:rsidRPr="00CF3673" w:rsidRDefault="00682A88" w:rsidP="00682A88">
            <w:pPr>
              <w:jc w:val="center"/>
            </w:pPr>
            <w:r w:rsidRPr="00CF3673">
              <w:t>178</w:t>
            </w:r>
          </w:p>
        </w:tc>
        <w:tc>
          <w:tcPr>
            <w:tcW w:w="812" w:type="dxa"/>
            <w:tcBorders>
              <w:top w:val="single" w:sz="4" w:space="0" w:color="auto"/>
              <w:bottom w:val="double" w:sz="4" w:space="0" w:color="auto"/>
            </w:tcBorders>
            <w:noWrap/>
            <w:hideMark/>
          </w:tcPr>
          <w:p w:rsidR="00682A88" w:rsidRPr="00CF3673" w:rsidRDefault="00682A88" w:rsidP="00682A88">
            <w:pPr>
              <w:jc w:val="center"/>
            </w:pPr>
            <w:r w:rsidRPr="00CF3673">
              <w:t>66</w:t>
            </w:r>
          </w:p>
        </w:tc>
        <w:tc>
          <w:tcPr>
            <w:tcW w:w="990" w:type="dxa"/>
            <w:tcBorders>
              <w:top w:val="single" w:sz="4" w:space="0" w:color="auto"/>
              <w:bottom w:val="double" w:sz="4" w:space="0" w:color="auto"/>
            </w:tcBorders>
            <w:noWrap/>
            <w:hideMark/>
          </w:tcPr>
          <w:p w:rsidR="00682A88" w:rsidRPr="00CF3673" w:rsidRDefault="00682A88" w:rsidP="00682A88">
            <w:pPr>
              <w:jc w:val="center"/>
            </w:pPr>
            <w:r w:rsidRPr="00CF3673">
              <w:t>164</w:t>
            </w:r>
          </w:p>
        </w:tc>
        <w:tc>
          <w:tcPr>
            <w:tcW w:w="864" w:type="dxa"/>
            <w:tcBorders>
              <w:top w:val="single" w:sz="4" w:space="0" w:color="auto"/>
              <w:bottom w:val="double" w:sz="4" w:space="0" w:color="auto"/>
            </w:tcBorders>
            <w:noWrap/>
            <w:hideMark/>
          </w:tcPr>
          <w:p w:rsidR="00682A88" w:rsidRPr="00CF3673" w:rsidRDefault="00682A88" w:rsidP="00682A88">
            <w:pPr>
              <w:jc w:val="center"/>
            </w:pPr>
            <w:r w:rsidRPr="00CF3673">
              <w:t>593</w:t>
            </w:r>
          </w:p>
        </w:tc>
      </w:tr>
      <w:tr w:rsidR="00682A88" w:rsidRPr="00CF3673" w:rsidTr="00682A88">
        <w:trPr>
          <w:trHeight w:val="300"/>
          <w:jc w:val="center"/>
        </w:trPr>
        <w:tc>
          <w:tcPr>
            <w:tcW w:w="9828" w:type="dxa"/>
            <w:gridSpan w:val="7"/>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2 </w:t>
            </w:r>
            <w:r w:rsidR="006A4724" w:rsidRPr="00CF3673">
              <w:rPr>
                <w:lang w:val="pt-PT"/>
              </w:rPr>
              <w:t>observações</w:t>
            </w:r>
            <w:r w:rsidRPr="00CF3673">
              <w:rPr>
                <w:lang w:val="pt-PT"/>
              </w:rPr>
              <w:t xml:space="preserve"> em falta. * 31 </w:t>
            </w:r>
            <w:r w:rsidR="006A4724" w:rsidRPr="00CF3673">
              <w:rPr>
                <w:lang w:val="pt-PT"/>
              </w:rPr>
              <w:t>observações</w:t>
            </w:r>
            <w:r w:rsidRPr="00CF3673">
              <w:rPr>
                <w:lang w:val="pt-PT"/>
              </w:rPr>
              <w:t xml:space="preserve"> em falta para a </w:t>
            </w:r>
            <w:r w:rsidR="006A4724" w:rsidRPr="00CF3673">
              <w:rPr>
                <w:lang w:val="pt-PT"/>
              </w:rPr>
              <w:t>percentagem</w:t>
            </w:r>
            <w:r w:rsidRPr="00CF3673">
              <w:rPr>
                <w:lang w:val="pt-PT"/>
              </w:rPr>
              <w:t xml:space="preserve"> da força de trabalho que recebe o salário mínimo.</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jc w:val="center"/>
        </w:trPr>
        <w:tc>
          <w:tcPr>
            <w:tcW w:w="9828" w:type="dxa"/>
            <w:gridSpan w:val="7"/>
            <w:tcBorders>
              <w:top w:val="nil"/>
              <w:bottom w:val="nil"/>
            </w:tcBorders>
            <w:noWrap/>
          </w:tcPr>
          <w:p w:rsidR="00682A88" w:rsidRPr="00CF3673" w:rsidRDefault="00682A88" w:rsidP="00682A88">
            <w:pPr>
              <w:pStyle w:val="Tablenote"/>
              <w:rPr>
                <w:b/>
                <w:lang w:val="pt-PT"/>
              </w:rPr>
            </w:pPr>
            <w:r w:rsidRPr="00CF3673">
              <w:rPr>
                <w:b/>
                <w:lang w:val="pt-PT"/>
              </w:rPr>
              <w:t>Fonte:</w:t>
            </w:r>
            <w:r w:rsidRPr="00CF3673">
              <w:rPr>
                <w:lang w:val="pt-PT"/>
              </w:rPr>
              <w:t xml:space="preserve"> Cálculos próprios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Uma coisa é a capacidade de pagamento das empresas, outra é o nível de salários necessário para atrair as pessoas para o trabalho. A Figura 4.3 ilustra esta questão, considerando-se a distribuição dos salários em relação ao salário mínimo. Isso é feito usando dados de uma pesquisa nacional domiciliar realizado em 2008/09 (o Inquérito ao Orçamento Familiar ou IOF de 2008/09</w:t>
      </w:r>
      <w:r w:rsidRPr="00CF3673">
        <w:rPr>
          <w:rStyle w:val="FootnoteReference"/>
        </w:rPr>
        <w:footnoteReference w:id="26"/>
      </w:r>
      <w:r w:rsidRPr="00CF3673">
        <w:t xml:space="preserve">). Para as 441 </w:t>
      </w:r>
      <w:r w:rsidR="006A4724" w:rsidRPr="00CF3673">
        <w:t>observações</w:t>
      </w:r>
      <w:r w:rsidRPr="00CF3673">
        <w:t xml:space="preserve"> de trabalhadores no sector industrial com informações de salário mensal, o salário médio é de 1.978 meticais </w:t>
      </w:r>
      <w:r w:rsidRPr="00CF3673">
        <w:lastRenderedPageBreak/>
        <w:t>por mês - muito perto do salário mínimo de 1975 meticais por mê</w:t>
      </w:r>
      <w:r w:rsidRPr="00CF3673">
        <w:rPr>
          <w:rStyle w:val="FootnoteReference"/>
        </w:rPr>
        <w:footnoteReference w:id="27"/>
      </w:r>
      <w:r w:rsidRPr="00CF3673">
        <w:t>s. Isso mostra que, em 2008, quase 50% dos trabalhadores estavam dispostos a vender seu trabalho por menos do que o salário mínimo.</w:t>
      </w:r>
    </w:p>
    <w:p w:rsidR="00682A88" w:rsidRPr="00CF3673" w:rsidRDefault="00682A88" w:rsidP="00682A88">
      <w:pPr>
        <w:spacing w:line="360" w:lineRule="auto"/>
        <w:jc w:val="both"/>
        <w:rPr>
          <w:b/>
        </w:rPr>
      </w:pPr>
      <w:r w:rsidRPr="00CF3673">
        <w:rPr>
          <w:b/>
        </w:rPr>
        <w:t>Figura 4.3: Histograma dos salários mensais dos trabalhadores do sector de fabricação 2008/09, as frequências</w:t>
      </w:r>
    </w:p>
    <w:tbl>
      <w:tblPr>
        <w:tblStyle w:val="SrensTable"/>
        <w:tblpPr w:leftFromText="141" w:rightFromText="141" w:vertAnchor="text" w:horzAnchor="margin" w:tblpXSpec="center" w:tblpY="4887"/>
        <w:tblW w:w="8496" w:type="dxa"/>
        <w:tblLook w:val="04A0" w:firstRow="1" w:lastRow="0" w:firstColumn="1" w:lastColumn="0" w:noHBand="0" w:noVBand="1"/>
      </w:tblPr>
      <w:tblGrid>
        <w:gridCol w:w="8496"/>
      </w:tblGrid>
      <w:tr w:rsidR="00682A88" w:rsidRPr="00CF3673" w:rsidTr="00682A88">
        <w:trPr>
          <w:trHeight w:val="389"/>
        </w:trPr>
        <w:tc>
          <w:tcPr>
            <w:tcW w:w="0" w:type="auto"/>
          </w:tcPr>
          <w:p w:rsidR="00682A88" w:rsidRPr="00CF3673" w:rsidRDefault="00682A88" w:rsidP="00682A88">
            <w:pPr>
              <w:pStyle w:val="Tablenote"/>
              <w:rPr>
                <w:b/>
                <w:lang w:val="pt-PT"/>
              </w:rPr>
            </w:pPr>
            <w:r w:rsidRPr="00CF3673">
              <w:rPr>
                <w:b/>
                <w:lang w:val="pt-PT"/>
              </w:rPr>
              <w:t>Nota:</w:t>
            </w:r>
            <w:r w:rsidRPr="00CF3673">
              <w:rPr>
                <w:lang w:val="pt-PT"/>
              </w:rPr>
              <w:t xml:space="preserve"> Contém apenas </w:t>
            </w:r>
            <w:r w:rsidR="006A4724" w:rsidRPr="00CF3673">
              <w:rPr>
                <w:lang w:val="pt-PT"/>
              </w:rPr>
              <w:t>observações</w:t>
            </w:r>
            <w:r w:rsidRPr="00CF3673">
              <w:rPr>
                <w:lang w:val="pt-PT"/>
              </w:rPr>
              <w:t xml:space="preserve"> no sector privado, com </w:t>
            </w:r>
            <w:r w:rsidR="006A4724" w:rsidRPr="00CF3673">
              <w:rPr>
                <w:lang w:val="pt-PT"/>
              </w:rPr>
              <w:t>informações</w:t>
            </w:r>
            <w:r w:rsidRPr="00CF3673">
              <w:rPr>
                <w:lang w:val="pt-PT"/>
              </w:rPr>
              <w:t xml:space="preserve"> sobre os salários mensais: 410 </w:t>
            </w:r>
            <w:r w:rsidR="006A4724" w:rsidRPr="00CF3673">
              <w:rPr>
                <w:lang w:val="pt-PT"/>
              </w:rPr>
              <w:t>observações</w:t>
            </w:r>
            <w:r w:rsidRPr="00CF3673">
              <w:rPr>
                <w:lang w:val="pt-PT"/>
              </w:rPr>
              <w:t xml:space="preserve"> (31 </w:t>
            </w:r>
            <w:r w:rsidR="006A4724" w:rsidRPr="00CF3673">
              <w:rPr>
                <w:lang w:val="pt-PT"/>
              </w:rPr>
              <w:t>observações</w:t>
            </w:r>
            <w:r w:rsidRPr="00CF3673">
              <w:rPr>
                <w:lang w:val="pt-PT"/>
              </w:rPr>
              <w:t xml:space="preserve"> acima de 8.000 meticais por mês não mostrado na figura). 2008-MT sobre o eixo X e frequências sobre o eixo-Y.</w:t>
            </w:r>
          </w:p>
        </w:tc>
      </w:tr>
      <w:tr w:rsidR="00682A88" w:rsidRPr="00CF3673" w:rsidTr="00682A88">
        <w:trPr>
          <w:trHeight w:val="389"/>
        </w:trPr>
        <w:tc>
          <w:tcPr>
            <w:tcW w:w="0" w:type="auto"/>
          </w:tcPr>
          <w:p w:rsidR="00682A88" w:rsidRPr="00CF3673" w:rsidRDefault="00682A88" w:rsidP="00682A88">
            <w:pPr>
              <w:pStyle w:val="Tablenote"/>
              <w:rPr>
                <w:b/>
                <w:lang w:val="pt-PT"/>
              </w:rPr>
            </w:pPr>
            <w:r w:rsidRPr="00CF3673">
              <w:rPr>
                <w:b/>
                <w:lang w:val="pt-PT"/>
              </w:rPr>
              <w:t>Fonte:</w:t>
            </w:r>
            <w:r w:rsidRPr="00CF3673">
              <w:rPr>
                <w:lang w:val="pt-PT"/>
              </w:rPr>
              <w:t xml:space="preserve"> Cálculos próprios usando IOF 2008/09.</w:t>
            </w:r>
          </w:p>
        </w:tc>
      </w:tr>
    </w:tbl>
    <w:p w:rsidR="00682A88" w:rsidRPr="00CF3673" w:rsidRDefault="00682A88" w:rsidP="00682A88">
      <w:pPr>
        <w:spacing w:after="0" w:line="240" w:lineRule="auto"/>
        <w:jc w:val="center"/>
      </w:pPr>
      <w:r w:rsidRPr="00CF3673">
        <w:rPr>
          <w:noProof/>
          <w:lang w:val="en-US"/>
        </w:rPr>
        <w:drawing>
          <wp:inline distT="0" distB="0" distL="0" distR="0" wp14:anchorId="47E5BB7F" wp14:editId="5356C031">
            <wp:extent cx="5372100" cy="3038474"/>
            <wp:effectExtent l="0" t="0" r="19050" b="10160"/>
            <wp:docPr id="2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Isso significa que um monte de emprego está ocorrendo abaixo do salário mínimo. Isso tem duas </w:t>
      </w:r>
      <w:r w:rsidR="006A4724" w:rsidRPr="00CF3673">
        <w:t>implicações</w:t>
      </w:r>
      <w:r w:rsidRPr="00CF3673">
        <w:t xml:space="preserve"> potencialmente graves : 1) Se as empresas formais têm maior probabilidade de ser punido por não pagar o salário mínimo , o salário mínimo alto cria uma barreira para a formalidade , e 2) empresas formais são, possivelmente, a criação de menos empregos do que podia, porque eles não podem oferecer emprego a menos que o salário mínimo, mesmo que muitos trabalhadores aceitariam isso.</w:t>
      </w:r>
    </w:p>
    <w:p w:rsidR="00682A88" w:rsidRPr="00CF3673" w:rsidRDefault="00682A88" w:rsidP="00682A88">
      <w:pPr>
        <w:spacing w:line="360" w:lineRule="auto"/>
        <w:jc w:val="both"/>
      </w:pPr>
      <w:r w:rsidRPr="00CF3673">
        <w:t xml:space="preserve">A questão da formalidade , a produtividade </w:t>
      </w:r>
      <w:r w:rsidR="006A4724" w:rsidRPr="00CF3673">
        <w:t>e</w:t>
      </w:r>
      <w:r w:rsidRPr="00CF3673">
        <w:t xml:space="preserve"> salário mínimo é investigado </w:t>
      </w:r>
      <w:r w:rsidR="006A4724" w:rsidRPr="00CF3673">
        <w:t>directamente</w:t>
      </w:r>
      <w:r w:rsidRPr="00CF3673">
        <w:t xml:space="preserve"> na Figura 4.4 , que considera o salário mínimo em relação ao valor agregado por trabalhador para micro empresas formais e informais. O salário mínimo no sector </w:t>
      </w:r>
      <w:r w:rsidR="006A4724" w:rsidRPr="00CF3673">
        <w:t>manufactureiro</w:t>
      </w:r>
      <w:r w:rsidRPr="00CF3673">
        <w:t xml:space="preserve"> ( 3.100 meticais por mês em 2011) é superior ao valor médio agregado por trabalhador no (micro ) do sector informal. Isto sugere que , para a maioria das empresas informais , a produtividade é tão baixa que o valor do que eles produzem é inferior ao salário </w:t>
      </w:r>
      <w:r w:rsidRPr="00CF3673">
        <w:lastRenderedPageBreak/>
        <w:t>mínimo. Além disso, enquanto o valor médio agregado para as micro empresas formais é maior do que o salário mínimo , não é muito maior , o que sugere que pelo menos algumas micro empresas formais têm um valor agregado por trabalhador abaixo do salário mínimo . Isto confirma a suspeita de que o salário mínimo está acima da produtividade do trabalho para uma grande parte da força de trabalho moçambicana.</w:t>
      </w:r>
    </w:p>
    <w:p w:rsidR="00682A88" w:rsidRPr="00CF3673" w:rsidRDefault="00682A88" w:rsidP="00682A88">
      <w:pPr>
        <w:spacing w:line="360" w:lineRule="auto"/>
        <w:jc w:val="both"/>
        <w:rPr>
          <w:b/>
        </w:rPr>
      </w:pPr>
      <w:r w:rsidRPr="00CF3673">
        <w:rPr>
          <w:b/>
        </w:rPr>
        <w:t>Figura 4.4 : Valor agregado por trabalhador por formalidade, média e mediana , 2011- MT, apenas as empresas micro</w:t>
      </w:r>
    </w:p>
    <w:p w:rsidR="00682A88" w:rsidRPr="00CF3673" w:rsidRDefault="00682A88" w:rsidP="00682A88">
      <w:pPr>
        <w:spacing w:after="0" w:line="240" w:lineRule="auto"/>
        <w:jc w:val="center"/>
      </w:pPr>
      <w:r w:rsidRPr="00CF3673">
        <w:rPr>
          <w:noProof/>
          <w:lang w:val="en-US"/>
        </w:rPr>
        <w:drawing>
          <wp:inline distT="0" distB="0" distL="0" distR="0" wp14:anchorId="4217F576" wp14:editId="2C308BA8">
            <wp:extent cx="4010026" cy="2790826"/>
            <wp:effectExtent l="0" t="0" r="9525" b="9525"/>
            <wp:docPr id="24"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Style w:val="SrensTable"/>
        <w:tblW w:w="6598" w:type="dxa"/>
        <w:tblInd w:w="1458" w:type="dxa"/>
        <w:tblLook w:val="04A0" w:firstRow="1" w:lastRow="0" w:firstColumn="1" w:lastColumn="0" w:noHBand="0" w:noVBand="1"/>
      </w:tblPr>
      <w:tblGrid>
        <w:gridCol w:w="6598"/>
      </w:tblGrid>
      <w:tr w:rsidR="00682A88" w:rsidRPr="00CF3673" w:rsidTr="00682A88">
        <w:trPr>
          <w:trHeight w:val="361"/>
        </w:trPr>
        <w:tc>
          <w:tcPr>
            <w:tcW w:w="6598" w:type="dxa"/>
          </w:tcPr>
          <w:p w:rsidR="00682A88" w:rsidRPr="00CF3673" w:rsidRDefault="00682A88" w:rsidP="00682A88">
            <w:pPr>
              <w:pStyle w:val="Tablenote"/>
              <w:rPr>
                <w:b/>
                <w:lang w:val="pt-PT"/>
              </w:rPr>
            </w:pPr>
            <w:r w:rsidRPr="00CF3673">
              <w:rPr>
                <w:b/>
                <w:lang w:val="pt-PT"/>
              </w:rPr>
              <w:t>Nota:</w:t>
            </w:r>
            <w:r w:rsidRPr="00CF3673">
              <w:rPr>
                <w:lang w:val="pt-PT"/>
              </w:rPr>
              <w:t xml:space="preserve"> Apenas as empresas com menos de 10 trabalhadores. Número de </w:t>
            </w:r>
            <w:r w:rsidR="006A4724" w:rsidRPr="00CF3673">
              <w:rPr>
                <w:lang w:val="pt-PT"/>
              </w:rPr>
              <w:t>observações</w:t>
            </w:r>
            <w:r w:rsidRPr="00CF3673">
              <w:rPr>
                <w:lang w:val="pt-PT"/>
              </w:rPr>
              <w:t>: 145 (43 informal, 102 formal).</w:t>
            </w:r>
          </w:p>
        </w:tc>
      </w:tr>
      <w:tr w:rsidR="00682A88" w:rsidRPr="00CF3673" w:rsidTr="00682A88">
        <w:trPr>
          <w:trHeight w:val="361"/>
        </w:trPr>
        <w:tc>
          <w:tcPr>
            <w:tcW w:w="6598" w:type="dxa"/>
          </w:tcPr>
          <w:p w:rsidR="00682A88" w:rsidRPr="00CF3673" w:rsidRDefault="00682A88" w:rsidP="00682A88">
            <w:pPr>
              <w:pStyle w:val="Tablenote"/>
              <w:rPr>
                <w:b/>
                <w:lang w:val="pt-PT"/>
              </w:rPr>
            </w:pPr>
            <w:r w:rsidRPr="00CF3673">
              <w:rPr>
                <w:b/>
                <w:lang w:val="pt-PT"/>
              </w:rPr>
              <w:t>Fonte:</w:t>
            </w:r>
            <w:r w:rsidRPr="00CF3673">
              <w:rPr>
                <w:lang w:val="pt-PT"/>
              </w:rPr>
              <w:t xml:space="preserve"> Cálculos próprios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Mover-se de salários de benefícios, a Tabela 4.3 lista a proporção de trabalhadores que recebem benefícios </w:t>
      </w:r>
      <w:r w:rsidR="006A4724" w:rsidRPr="00CF3673">
        <w:t>seleccionados</w:t>
      </w:r>
      <w:r w:rsidRPr="00CF3673">
        <w:t>. Mais de 70%das empresas industriais moçambicanas proporcionar aos seus empregados licença médica com pagamento - para as médias empresas, esse número é quase 80%. Mais da metade também dão os seus empregados um férias anuais pagas, mas este é ainda mais distorcida, sendo o caso de quase 80% das médias empresas, mas apenas 39%. das microempresas e inferior a 30 por cento. das empresas informais. Empregadores em Moçambique não são muito propensos a fornecer licença de maternidade (remunerado ou não), mas isso deve ser visto no contexto onde as mulheres constituem apenas 9%. da fabricação de força de trabalho, cf. Tabela 4.1. Em geral, o quadro é que maiores, empresas formais são mais propensos a fornecer qualquer benefício para seus empregados.</w:t>
      </w:r>
    </w:p>
    <w:p w:rsidR="0083080D" w:rsidRPr="00CF3673" w:rsidRDefault="0083080D" w:rsidP="00682A88">
      <w:pPr>
        <w:spacing w:line="360" w:lineRule="auto"/>
        <w:jc w:val="both"/>
        <w:rPr>
          <w:b/>
        </w:rPr>
      </w:pPr>
    </w:p>
    <w:p w:rsidR="00682A88" w:rsidRPr="00CF3673" w:rsidRDefault="00682A88" w:rsidP="00682A88">
      <w:pPr>
        <w:spacing w:line="360" w:lineRule="auto"/>
        <w:jc w:val="both"/>
        <w:rPr>
          <w:b/>
        </w:rPr>
      </w:pPr>
      <w:r w:rsidRPr="00CF3673">
        <w:rPr>
          <w:b/>
        </w:rPr>
        <w:lastRenderedPageBreak/>
        <w:t>Tabela 4.3: Percentagem de trabalhadores que recebem benefícios por tipo de empresa, %.</w:t>
      </w:r>
    </w:p>
    <w:tbl>
      <w:tblPr>
        <w:tblStyle w:val="StandardTable"/>
        <w:tblW w:w="10224" w:type="dxa"/>
        <w:jc w:val="center"/>
        <w:tblInd w:w="-252" w:type="dxa"/>
        <w:tblLayout w:type="fixed"/>
        <w:tblLook w:val="04E0" w:firstRow="1" w:lastRow="1" w:firstColumn="1" w:lastColumn="0" w:noHBand="0" w:noVBand="1"/>
      </w:tblPr>
      <w:tblGrid>
        <w:gridCol w:w="2052"/>
        <w:gridCol w:w="720"/>
        <w:gridCol w:w="720"/>
        <w:gridCol w:w="1080"/>
        <w:gridCol w:w="900"/>
        <w:gridCol w:w="990"/>
        <w:gridCol w:w="900"/>
        <w:gridCol w:w="1440"/>
        <w:gridCol w:w="1422"/>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2052"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 </w:t>
            </w:r>
          </w:p>
        </w:tc>
        <w:tc>
          <w:tcPr>
            <w:tcW w:w="72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Todas</w:t>
            </w:r>
          </w:p>
        </w:tc>
        <w:tc>
          <w:tcPr>
            <w:tcW w:w="72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108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Pequena </w:t>
            </w:r>
          </w:p>
        </w:tc>
        <w:tc>
          <w:tcPr>
            <w:tcW w:w="90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Média</w:t>
            </w:r>
          </w:p>
        </w:tc>
        <w:tc>
          <w:tcPr>
            <w:tcW w:w="99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Informal</w:t>
            </w:r>
          </w:p>
        </w:tc>
        <w:tc>
          <w:tcPr>
            <w:tcW w:w="90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Times New Roman"/>
                <w:lang w:eastAsia="zh-CN"/>
              </w:rPr>
              <w:t>Formal</w:t>
            </w:r>
          </w:p>
        </w:tc>
        <w:tc>
          <w:tcPr>
            <w:tcW w:w="144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Moçambicana</w:t>
            </w:r>
          </w:p>
        </w:tc>
        <w:tc>
          <w:tcPr>
            <w:tcW w:w="1422"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Estrangeira</w:t>
            </w:r>
          </w:p>
        </w:tc>
      </w:tr>
      <w:tr w:rsidR="00682A88" w:rsidRPr="00CF3673" w:rsidTr="00682A88">
        <w:trPr>
          <w:trHeight w:val="300"/>
          <w:jc w:val="center"/>
        </w:trPr>
        <w:tc>
          <w:tcPr>
            <w:tcW w:w="2052"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Licença médica remunerada</w:t>
            </w:r>
          </w:p>
        </w:tc>
        <w:tc>
          <w:tcPr>
            <w:tcW w:w="720" w:type="dxa"/>
            <w:noWrap/>
            <w:hideMark/>
          </w:tcPr>
          <w:p w:rsidR="00682A88" w:rsidRPr="00CF3673" w:rsidRDefault="00682A88" w:rsidP="00682A88">
            <w:pPr>
              <w:jc w:val="center"/>
            </w:pPr>
            <w:r w:rsidRPr="00CF3673">
              <w:t>70.1</w:t>
            </w:r>
          </w:p>
        </w:tc>
        <w:tc>
          <w:tcPr>
            <w:tcW w:w="720" w:type="dxa"/>
            <w:noWrap/>
            <w:hideMark/>
          </w:tcPr>
          <w:p w:rsidR="00682A88" w:rsidRPr="00CF3673" w:rsidRDefault="00682A88" w:rsidP="00682A88">
            <w:pPr>
              <w:jc w:val="center"/>
            </w:pPr>
            <w:r w:rsidRPr="00CF3673">
              <w:t>67.3</w:t>
            </w:r>
          </w:p>
        </w:tc>
        <w:tc>
          <w:tcPr>
            <w:tcW w:w="1080" w:type="dxa"/>
            <w:noWrap/>
            <w:hideMark/>
          </w:tcPr>
          <w:p w:rsidR="00682A88" w:rsidRPr="00CF3673" w:rsidRDefault="00682A88" w:rsidP="00682A88">
            <w:pPr>
              <w:jc w:val="center"/>
            </w:pPr>
            <w:r w:rsidRPr="00CF3673">
              <w:t>75.2</w:t>
            </w:r>
          </w:p>
        </w:tc>
        <w:tc>
          <w:tcPr>
            <w:tcW w:w="900" w:type="dxa"/>
            <w:noWrap/>
            <w:hideMark/>
          </w:tcPr>
          <w:p w:rsidR="00682A88" w:rsidRPr="00CF3673" w:rsidRDefault="00682A88" w:rsidP="00682A88">
            <w:pPr>
              <w:jc w:val="center"/>
            </w:pPr>
            <w:r w:rsidRPr="00CF3673">
              <w:t>78.4</w:t>
            </w:r>
          </w:p>
        </w:tc>
        <w:tc>
          <w:tcPr>
            <w:tcW w:w="990" w:type="dxa"/>
            <w:noWrap/>
            <w:hideMark/>
          </w:tcPr>
          <w:p w:rsidR="00682A88" w:rsidRPr="00CF3673" w:rsidRDefault="00682A88" w:rsidP="00682A88">
            <w:pPr>
              <w:jc w:val="center"/>
            </w:pPr>
            <w:r w:rsidRPr="00CF3673">
              <w:t>70.5</w:t>
            </w:r>
          </w:p>
        </w:tc>
        <w:tc>
          <w:tcPr>
            <w:tcW w:w="900" w:type="dxa"/>
            <w:noWrap/>
            <w:hideMark/>
          </w:tcPr>
          <w:p w:rsidR="00682A88" w:rsidRPr="00CF3673" w:rsidRDefault="00682A88" w:rsidP="00682A88">
            <w:pPr>
              <w:jc w:val="center"/>
            </w:pPr>
            <w:r w:rsidRPr="00CF3673">
              <w:t>70.3</w:t>
            </w:r>
          </w:p>
        </w:tc>
        <w:tc>
          <w:tcPr>
            <w:tcW w:w="1440" w:type="dxa"/>
            <w:noWrap/>
            <w:hideMark/>
          </w:tcPr>
          <w:p w:rsidR="00682A88" w:rsidRPr="00CF3673" w:rsidRDefault="00682A88" w:rsidP="00682A88">
            <w:pPr>
              <w:jc w:val="center"/>
            </w:pPr>
            <w:r w:rsidRPr="00CF3673">
              <w:t>69.6</w:t>
            </w:r>
          </w:p>
        </w:tc>
        <w:tc>
          <w:tcPr>
            <w:tcW w:w="1422" w:type="dxa"/>
            <w:noWrap/>
            <w:hideMark/>
          </w:tcPr>
          <w:p w:rsidR="00682A88" w:rsidRPr="00CF3673" w:rsidRDefault="00682A88" w:rsidP="00682A88">
            <w:pPr>
              <w:jc w:val="center"/>
            </w:pPr>
            <w:r w:rsidRPr="00CF3673">
              <w:t>73.8</w:t>
            </w:r>
          </w:p>
        </w:tc>
      </w:tr>
      <w:tr w:rsidR="00682A88" w:rsidRPr="00CF3673" w:rsidTr="00682A88">
        <w:trPr>
          <w:trHeight w:val="300"/>
          <w:jc w:val="center"/>
        </w:trPr>
        <w:tc>
          <w:tcPr>
            <w:tcW w:w="2052"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Licença de maternidade remunerada</w:t>
            </w:r>
          </w:p>
        </w:tc>
        <w:tc>
          <w:tcPr>
            <w:tcW w:w="720" w:type="dxa"/>
            <w:noWrap/>
            <w:hideMark/>
          </w:tcPr>
          <w:p w:rsidR="00682A88" w:rsidRPr="00CF3673" w:rsidRDefault="00682A88" w:rsidP="00682A88">
            <w:pPr>
              <w:jc w:val="center"/>
            </w:pPr>
            <w:r w:rsidRPr="00CF3673">
              <w:t>9.7</w:t>
            </w:r>
          </w:p>
        </w:tc>
        <w:tc>
          <w:tcPr>
            <w:tcW w:w="720" w:type="dxa"/>
            <w:noWrap/>
            <w:hideMark/>
          </w:tcPr>
          <w:p w:rsidR="00682A88" w:rsidRPr="00CF3673" w:rsidRDefault="00682A88" w:rsidP="00682A88">
            <w:pPr>
              <w:jc w:val="center"/>
            </w:pPr>
            <w:r w:rsidRPr="00CF3673">
              <w:t>5.0</w:t>
            </w:r>
          </w:p>
        </w:tc>
        <w:tc>
          <w:tcPr>
            <w:tcW w:w="1080" w:type="dxa"/>
            <w:noWrap/>
            <w:hideMark/>
          </w:tcPr>
          <w:p w:rsidR="00682A88" w:rsidRPr="00CF3673" w:rsidRDefault="00682A88" w:rsidP="00682A88">
            <w:pPr>
              <w:jc w:val="center"/>
            </w:pPr>
            <w:r w:rsidRPr="00CF3673">
              <w:t>19.3</w:t>
            </w:r>
          </w:p>
        </w:tc>
        <w:tc>
          <w:tcPr>
            <w:tcW w:w="900" w:type="dxa"/>
            <w:noWrap/>
            <w:hideMark/>
          </w:tcPr>
          <w:p w:rsidR="00682A88" w:rsidRPr="00CF3673" w:rsidRDefault="00682A88" w:rsidP="00682A88">
            <w:pPr>
              <w:jc w:val="center"/>
            </w:pPr>
            <w:r w:rsidRPr="00CF3673">
              <w:t>20.8</w:t>
            </w:r>
          </w:p>
        </w:tc>
        <w:tc>
          <w:tcPr>
            <w:tcW w:w="990" w:type="dxa"/>
            <w:noWrap/>
            <w:hideMark/>
          </w:tcPr>
          <w:p w:rsidR="00682A88" w:rsidRPr="00CF3673" w:rsidRDefault="00682A88" w:rsidP="00682A88">
            <w:pPr>
              <w:jc w:val="center"/>
            </w:pPr>
            <w:r w:rsidRPr="00CF3673">
              <w:t>3.2</w:t>
            </w:r>
          </w:p>
        </w:tc>
        <w:tc>
          <w:tcPr>
            <w:tcW w:w="900" w:type="dxa"/>
            <w:noWrap/>
            <w:hideMark/>
          </w:tcPr>
          <w:p w:rsidR="00682A88" w:rsidRPr="00CF3673" w:rsidRDefault="00682A88" w:rsidP="00682A88">
            <w:pPr>
              <w:jc w:val="center"/>
            </w:pPr>
            <w:r w:rsidRPr="00CF3673">
              <w:t>11.6</w:t>
            </w:r>
          </w:p>
        </w:tc>
        <w:tc>
          <w:tcPr>
            <w:tcW w:w="1440" w:type="dxa"/>
            <w:noWrap/>
            <w:hideMark/>
          </w:tcPr>
          <w:p w:rsidR="00682A88" w:rsidRPr="00CF3673" w:rsidRDefault="00682A88" w:rsidP="00682A88">
            <w:pPr>
              <w:jc w:val="center"/>
            </w:pPr>
            <w:r w:rsidRPr="00CF3673">
              <w:t>8.3</w:t>
            </w:r>
          </w:p>
        </w:tc>
        <w:tc>
          <w:tcPr>
            <w:tcW w:w="1422" w:type="dxa"/>
            <w:noWrap/>
            <w:hideMark/>
          </w:tcPr>
          <w:p w:rsidR="00682A88" w:rsidRPr="00CF3673" w:rsidRDefault="00682A88" w:rsidP="00682A88">
            <w:pPr>
              <w:jc w:val="center"/>
            </w:pPr>
            <w:r w:rsidRPr="00CF3673">
              <w:t>20.8</w:t>
            </w:r>
          </w:p>
        </w:tc>
      </w:tr>
      <w:tr w:rsidR="00682A88" w:rsidRPr="00CF3673" w:rsidTr="00682A88">
        <w:trPr>
          <w:trHeight w:val="300"/>
          <w:jc w:val="center"/>
        </w:trPr>
        <w:tc>
          <w:tcPr>
            <w:tcW w:w="2052"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Licença de maternidade não remunerada</w:t>
            </w:r>
          </w:p>
        </w:tc>
        <w:tc>
          <w:tcPr>
            <w:tcW w:w="720" w:type="dxa"/>
            <w:noWrap/>
            <w:hideMark/>
          </w:tcPr>
          <w:p w:rsidR="00682A88" w:rsidRPr="00CF3673" w:rsidRDefault="00682A88" w:rsidP="00682A88">
            <w:pPr>
              <w:jc w:val="center"/>
            </w:pPr>
            <w:r w:rsidRPr="00CF3673">
              <w:t>1.1</w:t>
            </w:r>
          </w:p>
        </w:tc>
        <w:tc>
          <w:tcPr>
            <w:tcW w:w="720" w:type="dxa"/>
            <w:noWrap/>
            <w:hideMark/>
          </w:tcPr>
          <w:p w:rsidR="00682A88" w:rsidRPr="00CF3673" w:rsidRDefault="00682A88" w:rsidP="00682A88">
            <w:pPr>
              <w:jc w:val="center"/>
            </w:pPr>
            <w:r w:rsidRPr="00CF3673">
              <w:t>0.6</w:t>
            </w:r>
          </w:p>
        </w:tc>
        <w:tc>
          <w:tcPr>
            <w:tcW w:w="1080" w:type="dxa"/>
            <w:noWrap/>
            <w:hideMark/>
          </w:tcPr>
          <w:p w:rsidR="00682A88" w:rsidRPr="00CF3673" w:rsidRDefault="00682A88" w:rsidP="00682A88">
            <w:pPr>
              <w:jc w:val="center"/>
            </w:pPr>
            <w:r w:rsidRPr="00CF3673">
              <w:t>0.9</w:t>
            </w:r>
          </w:p>
        </w:tc>
        <w:tc>
          <w:tcPr>
            <w:tcW w:w="900" w:type="dxa"/>
            <w:noWrap/>
            <w:hideMark/>
          </w:tcPr>
          <w:p w:rsidR="00682A88" w:rsidRPr="00CF3673" w:rsidRDefault="00682A88" w:rsidP="00682A88">
            <w:pPr>
              <w:jc w:val="center"/>
            </w:pPr>
            <w:r w:rsidRPr="00CF3673">
              <w:t>5.7</w:t>
            </w:r>
          </w:p>
        </w:tc>
        <w:tc>
          <w:tcPr>
            <w:tcW w:w="990" w:type="dxa"/>
            <w:noWrap/>
            <w:hideMark/>
          </w:tcPr>
          <w:p w:rsidR="00682A88" w:rsidRPr="00CF3673" w:rsidRDefault="00682A88" w:rsidP="00682A88">
            <w:pPr>
              <w:jc w:val="center"/>
            </w:pPr>
            <w:r w:rsidRPr="00CF3673">
              <w:t>0.6</w:t>
            </w:r>
          </w:p>
        </w:tc>
        <w:tc>
          <w:tcPr>
            <w:tcW w:w="900" w:type="dxa"/>
            <w:noWrap/>
            <w:hideMark/>
          </w:tcPr>
          <w:p w:rsidR="00682A88" w:rsidRPr="00CF3673" w:rsidRDefault="00682A88" w:rsidP="00682A88">
            <w:pPr>
              <w:jc w:val="center"/>
            </w:pPr>
            <w:r w:rsidRPr="00CF3673">
              <w:t>1.2</w:t>
            </w:r>
          </w:p>
        </w:tc>
        <w:tc>
          <w:tcPr>
            <w:tcW w:w="1440" w:type="dxa"/>
            <w:noWrap/>
            <w:hideMark/>
          </w:tcPr>
          <w:p w:rsidR="00682A88" w:rsidRPr="00CF3673" w:rsidRDefault="00682A88" w:rsidP="00682A88">
            <w:pPr>
              <w:jc w:val="center"/>
            </w:pPr>
            <w:r w:rsidRPr="00CF3673">
              <w:t>1.1</w:t>
            </w:r>
          </w:p>
        </w:tc>
        <w:tc>
          <w:tcPr>
            <w:tcW w:w="1422" w:type="dxa"/>
            <w:noWrap/>
            <w:hideMark/>
          </w:tcPr>
          <w:p w:rsidR="00682A88" w:rsidRPr="00CF3673" w:rsidRDefault="00682A88" w:rsidP="00682A88">
            <w:pPr>
              <w:jc w:val="center"/>
            </w:pPr>
            <w:r w:rsidRPr="00CF3673">
              <w:t>1.4</w:t>
            </w:r>
          </w:p>
        </w:tc>
      </w:tr>
      <w:tr w:rsidR="00682A88" w:rsidRPr="00CF3673" w:rsidTr="00682A88">
        <w:trPr>
          <w:trHeight w:val="300"/>
          <w:jc w:val="center"/>
        </w:trPr>
        <w:tc>
          <w:tcPr>
            <w:tcW w:w="2052"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Férias anuais remuneradas*</w:t>
            </w:r>
          </w:p>
        </w:tc>
        <w:tc>
          <w:tcPr>
            <w:tcW w:w="720" w:type="dxa"/>
            <w:noWrap/>
            <w:hideMark/>
          </w:tcPr>
          <w:p w:rsidR="00682A88" w:rsidRPr="00CF3673" w:rsidRDefault="00682A88" w:rsidP="00682A88">
            <w:pPr>
              <w:jc w:val="center"/>
            </w:pPr>
            <w:r w:rsidRPr="00CF3673">
              <w:t>50.1</w:t>
            </w:r>
          </w:p>
        </w:tc>
        <w:tc>
          <w:tcPr>
            <w:tcW w:w="720" w:type="dxa"/>
            <w:noWrap/>
            <w:hideMark/>
          </w:tcPr>
          <w:p w:rsidR="00682A88" w:rsidRPr="00CF3673" w:rsidRDefault="00682A88" w:rsidP="00682A88">
            <w:pPr>
              <w:jc w:val="center"/>
            </w:pPr>
            <w:r w:rsidRPr="00CF3673">
              <w:t>39.2</w:t>
            </w:r>
          </w:p>
        </w:tc>
        <w:tc>
          <w:tcPr>
            <w:tcW w:w="1080" w:type="dxa"/>
            <w:noWrap/>
            <w:hideMark/>
          </w:tcPr>
          <w:p w:rsidR="00682A88" w:rsidRPr="00CF3673" w:rsidRDefault="00682A88" w:rsidP="00682A88">
            <w:pPr>
              <w:jc w:val="center"/>
            </w:pPr>
            <w:r w:rsidRPr="00CF3673">
              <w:t>72.2</w:t>
            </w:r>
          </w:p>
        </w:tc>
        <w:tc>
          <w:tcPr>
            <w:tcW w:w="900" w:type="dxa"/>
            <w:noWrap/>
            <w:hideMark/>
          </w:tcPr>
          <w:p w:rsidR="00682A88" w:rsidRPr="00CF3673" w:rsidRDefault="00682A88" w:rsidP="00682A88">
            <w:pPr>
              <w:jc w:val="center"/>
            </w:pPr>
            <w:r w:rsidRPr="00CF3673">
              <w:t>77.5</w:t>
            </w:r>
          </w:p>
        </w:tc>
        <w:tc>
          <w:tcPr>
            <w:tcW w:w="990" w:type="dxa"/>
            <w:noWrap/>
            <w:hideMark/>
          </w:tcPr>
          <w:p w:rsidR="00682A88" w:rsidRPr="00CF3673" w:rsidRDefault="00682A88" w:rsidP="00682A88">
            <w:pPr>
              <w:jc w:val="center"/>
            </w:pPr>
            <w:r w:rsidRPr="00CF3673">
              <w:t>26.3</w:t>
            </w:r>
          </w:p>
        </w:tc>
        <w:tc>
          <w:tcPr>
            <w:tcW w:w="900" w:type="dxa"/>
            <w:noWrap/>
            <w:hideMark/>
          </w:tcPr>
          <w:p w:rsidR="00682A88" w:rsidRPr="00CF3673" w:rsidRDefault="00682A88" w:rsidP="00682A88">
            <w:pPr>
              <w:jc w:val="center"/>
            </w:pPr>
            <w:r w:rsidRPr="00CF3673">
              <w:t>57.5</w:t>
            </w:r>
          </w:p>
        </w:tc>
        <w:tc>
          <w:tcPr>
            <w:tcW w:w="1440" w:type="dxa"/>
            <w:noWrap/>
            <w:hideMark/>
          </w:tcPr>
          <w:p w:rsidR="00682A88" w:rsidRPr="00CF3673" w:rsidRDefault="00682A88" w:rsidP="00682A88">
            <w:pPr>
              <w:jc w:val="center"/>
            </w:pPr>
            <w:r w:rsidRPr="00CF3673">
              <w:t>47.8</w:t>
            </w:r>
          </w:p>
        </w:tc>
        <w:tc>
          <w:tcPr>
            <w:tcW w:w="1422" w:type="dxa"/>
            <w:noWrap/>
            <w:hideMark/>
          </w:tcPr>
          <w:p w:rsidR="00682A88" w:rsidRPr="00CF3673" w:rsidRDefault="00682A88" w:rsidP="00682A88">
            <w:pPr>
              <w:jc w:val="center"/>
            </w:pPr>
            <w:r w:rsidRPr="00CF3673">
              <w:t>73.1</w:t>
            </w:r>
          </w:p>
        </w:tc>
      </w:tr>
      <w:tr w:rsidR="00682A88" w:rsidRPr="00CF3673" w:rsidTr="00682A88">
        <w:trPr>
          <w:trHeight w:val="300"/>
          <w:jc w:val="center"/>
        </w:trPr>
        <w:tc>
          <w:tcPr>
            <w:tcW w:w="2052" w:type="dxa"/>
            <w:tcBorders>
              <w:bottom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Outros</w:t>
            </w:r>
          </w:p>
        </w:tc>
        <w:tc>
          <w:tcPr>
            <w:tcW w:w="720" w:type="dxa"/>
            <w:tcBorders>
              <w:bottom w:val="single" w:sz="4" w:space="0" w:color="auto"/>
            </w:tcBorders>
            <w:noWrap/>
            <w:hideMark/>
          </w:tcPr>
          <w:p w:rsidR="00682A88" w:rsidRPr="00CF3673" w:rsidRDefault="00682A88" w:rsidP="00682A88">
            <w:pPr>
              <w:jc w:val="center"/>
            </w:pPr>
            <w:r w:rsidRPr="00CF3673">
              <w:t>5.7</w:t>
            </w:r>
          </w:p>
        </w:tc>
        <w:tc>
          <w:tcPr>
            <w:tcW w:w="720" w:type="dxa"/>
            <w:tcBorders>
              <w:bottom w:val="single" w:sz="4" w:space="0" w:color="auto"/>
            </w:tcBorders>
            <w:noWrap/>
            <w:hideMark/>
          </w:tcPr>
          <w:p w:rsidR="00682A88" w:rsidRPr="00CF3673" w:rsidRDefault="00682A88" w:rsidP="00682A88">
            <w:pPr>
              <w:jc w:val="center"/>
            </w:pPr>
            <w:r w:rsidRPr="00CF3673">
              <w:t>2.9</w:t>
            </w:r>
          </w:p>
        </w:tc>
        <w:tc>
          <w:tcPr>
            <w:tcW w:w="1080" w:type="dxa"/>
            <w:tcBorders>
              <w:bottom w:val="single" w:sz="4" w:space="0" w:color="auto"/>
            </w:tcBorders>
            <w:noWrap/>
            <w:hideMark/>
          </w:tcPr>
          <w:p w:rsidR="00682A88" w:rsidRPr="00CF3673" w:rsidRDefault="00682A88" w:rsidP="00682A88">
            <w:pPr>
              <w:jc w:val="center"/>
            </w:pPr>
            <w:r w:rsidRPr="00CF3673">
              <w:t>10.4</w:t>
            </w:r>
          </w:p>
        </w:tc>
        <w:tc>
          <w:tcPr>
            <w:tcW w:w="900" w:type="dxa"/>
            <w:tcBorders>
              <w:bottom w:val="single" w:sz="4" w:space="0" w:color="auto"/>
            </w:tcBorders>
            <w:noWrap/>
            <w:hideMark/>
          </w:tcPr>
          <w:p w:rsidR="00682A88" w:rsidRPr="00CF3673" w:rsidRDefault="00682A88" w:rsidP="00682A88">
            <w:pPr>
              <w:jc w:val="center"/>
            </w:pPr>
            <w:r w:rsidRPr="00CF3673">
              <w:t>14.9</w:t>
            </w:r>
          </w:p>
        </w:tc>
        <w:tc>
          <w:tcPr>
            <w:tcW w:w="990" w:type="dxa"/>
            <w:tcBorders>
              <w:bottom w:val="single" w:sz="4" w:space="0" w:color="auto"/>
            </w:tcBorders>
            <w:noWrap/>
            <w:hideMark/>
          </w:tcPr>
          <w:p w:rsidR="00682A88" w:rsidRPr="00CF3673" w:rsidRDefault="00682A88" w:rsidP="00682A88">
            <w:pPr>
              <w:jc w:val="center"/>
            </w:pPr>
            <w:r w:rsidRPr="00CF3673">
              <w:t>1.9</w:t>
            </w:r>
          </w:p>
        </w:tc>
        <w:tc>
          <w:tcPr>
            <w:tcW w:w="900" w:type="dxa"/>
            <w:tcBorders>
              <w:bottom w:val="single" w:sz="4" w:space="0" w:color="auto"/>
            </w:tcBorders>
            <w:noWrap/>
            <w:hideMark/>
          </w:tcPr>
          <w:p w:rsidR="00682A88" w:rsidRPr="00CF3673" w:rsidRDefault="00682A88" w:rsidP="00682A88">
            <w:pPr>
              <w:jc w:val="center"/>
            </w:pPr>
            <w:r w:rsidRPr="00CF3673">
              <w:t>6.7</w:t>
            </w:r>
          </w:p>
        </w:tc>
        <w:tc>
          <w:tcPr>
            <w:tcW w:w="1440" w:type="dxa"/>
            <w:tcBorders>
              <w:bottom w:val="single" w:sz="4" w:space="0" w:color="auto"/>
            </w:tcBorders>
            <w:noWrap/>
            <w:hideMark/>
          </w:tcPr>
          <w:p w:rsidR="00682A88" w:rsidRPr="00CF3673" w:rsidRDefault="00682A88" w:rsidP="00682A88">
            <w:pPr>
              <w:jc w:val="center"/>
            </w:pPr>
            <w:r w:rsidRPr="00CF3673">
              <w:t>5.0</w:t>
            </w:r>
          </w:p>
        </w:tc>
        <w:tc>
          <w:tcPr>
            <w:tcW w:w="1422" w:type="dxa"/>
            <w:tcBorders>
              <w:bottom w:val="single" w:sz="4" w:space="0" w:color="auto"/>
            </w:tcBorders>
            <w:noWrap/>
            <w:hideMark/>
          </w:tcPr>
          <w:p w:rsidR="00682A88" w:rsidRPr="00CF3673" w:rsidRDefault="00682A88" w:rsidP="00682A88">
            <w:pPr>
              <w:jc w:val="center"/>
            </w:pPr>
            <w:r w:rsidRPr="00CF3673">
              <w:t>9.4</w:t>
            </w:r>
          </w:p>
        </w:tc>
      </w:tr>
      <w:tr w:rsidR="00682A88" w:rsidRPr="00CF3673" w:rsidTr="00682A88">
        <w:trPr>
          <w:trHeight w:val="300"/>
          <w:jc w:val="center"/>
        </w:trPr>
        <w:tc>
          <w:tcPr>
            <w:tcW w:w="2052" w:type="dxa"/>
            <w:tcBorders>
              <w:top w:val="single" w:sz="4" w:space="0" w:color="auto"/>
              <w:bottom w:val="doub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Nº de obs.</w:t>
            </w:r>
          </w:p>
        </w:tc>
        <w:tc>
          <w:tcPr>
            <w:tcW w:w="720" w:type="dxa"/>
            <w:tcBorders>
              <w:top w:val="single" w:sz="4" w:space="0" w:color="auto"/>
              <w:bottom w:val="double" w:sz="4" w:space="0" w:color="auto"/>
            </w:tcBorders>
            <w:noWrap/>
            <w:hideMark/>
          </w:tcPr>
          <w:p w:rsidR="00682A88" w:rsidRPr="00CF3673" w:rsidRDefault="00682A88" w:rsidP="00682A88">
            <w:pPr>
              <w:jc w:val="center"/>
            </w:pPr>
            <w:r w:rsidRPr="00CF3673">
              <w:t>734</w:t>
            </w:r>
          </w:p>
        </w:tc>
        <w:tc>
          <w:tcPr>
            <w:tcW w:w="720" w:type="dxa"/>
            <w:tcBorders>
              <w:top w:val="single" w:sz="4" w:space="0" w:color="auto"/>
              <w:bottom w:val="double" w:sz="4" w:space="0" w:color="auto"/>
            </w:tcBorders>
            <w:noWrap/>
            <w:hideMark/>
          </w:tcPr>
          <w:p w:rsidR="00682A88" w:rsidRPr="00CF3673" w:rsidRDefault="00682A88" w:rsidP="00682A88">
            <w:pPr>
              <w:jc w:val="center"/>
            </w:pPr>
            <w:r w:rsidRPr="00CF3673">
              <w:t>500</w:t>
            </w:r>
          </w:p>
        </w:tc>
        <w:tc>
          <w:tcPr>
            <w:tcW w:w="1080" w:type="dxa"/>
            <w:tcBorders>
              <w:top w:val="single" w:sz="4" w:space="0" w:color="auto"/>
              <w:bottom w:val="double" w:sz="4" w:space="0" w:color="auto"/>
            </w:tcBorders>
            <w:noWrap/>
            <w:hideMark/>
          </w:tcPr>
          <w:p w:rsidR="00682A88" w:rsidRPr="00CF3673" w:rsidRDefault="00682A88" w:rsidP="00682A88">
            <w:pPr>
              <w:jc w:val="center"/>
            </w:pPr>
            <w:r w:rsidRPr="00CF3673">
              <w:t>171</w:t>
            </w:r>
          </w:p>
        </w:tc>
        <w:tc>
          <w:tcPr>
            <w:tcW w:w="900" w:type="dxa"/>
            <w:tcBorders>
              <w:top w:val="single" w:sz="4" w:space="0" w:color="auto"/>
              <w:bottom w:val="double" w:sz="4" w:space="0" w:color="auto"/>
            </w:tcBorders>
            <w:noWrap/>
            <w:hideMark/>
          </w:tcPr>
          <w:p w:rsidR="00682A88" w:rsidRPr="00CF3673" w:rsidRDefault="00682A88" w:rsidP="00682A88">
            <w:pPr>
              <w:jc w:val="center"/>
            </w:pPr>
            <w:r w:rsidRPr="00CF3673">
              <w:t>63</w:t>
            </w:r>
          </w:p>
        </w:tc>
        <w:tc>
          <w:tcPr>
            <w:tcW w:w="990" w:type="dxa"/>
            <w:tcBorders>
              <w:top w:val="single" w:sz="4" w:space="0" w:color="auto"/>
              <w:bottom w:val="double" w:sz="4" w:space="0" w:color="auto"/>
            </w:tcBorders>
            <w:noWrap/>
            <w:hideMark/>
          </w:tcPr>
          <w:p w:rsidR="00682A88" w:rsidRPr="00CF3673" w:rsidRDefault="00682A88" w:rsidP="00682A88">
            <w:pPr>
              <w:jc w:val="center"/>
            </w:pPr>
            <w:r w:rsidRPr="00CF3673">
              <w:t>161</w:t>
            </w:r>
          </w:p>
        </w:tc>
        <w:tc>
          <w:tcPr>
            <w:tcW w:w="900" w:type="dxa"/>
            <w:tcBorders>
              <w:top w:val="single" w:sz="4" w:space="0" w:color="auto"/>
              <w:bottom w:val="double" w:sz="4" w:space="0" w:color="auto"/>
            </w:tcBorders>
            <w:noWrap/>
            <w:hideMark/>
          </w:tcPr>
          <w:p w:rsidR="00682A88" w:rsidRPr="00CF3673" w:rsidRDefault="00682A88" w:rsidP="00682A88">
            <w:pPr>
              <w:jc w:val="center"/>
            </w:pPr>
            <w:r w:rsidRPr="00CF3673">
              <w:t>571</w:t>
            </w:r>
          </w:p>
        </w:tc>
        <w:tc>
          <w:tcPr>
            <w:tcW w:w="1440" w:type="dxa"/>
            <w:tcBorders>
              <w:top w:val="single" w:sz="4" w:space="0" w:color="auto"/>
              <w:bottom w:val="double" w:sz="4" w:space="0" w:color="auto"/>
            </w:tcBorders>
            <w:noWrap/>
            <w:hideMark/>
          </w:tcPr>
          <w:p w:rsidR="00682A88" w:rsidRPr="00CF3673" w:rsidRDefault="00682A88" w:rsidP="00682A88">
            <w:pPr>
              <w:jc w:val="center"/>
            </w:pPr>
            <w:r w:rsidRPr="00CF3673">
              <w:t>651</w:t>
            </w:r>
          </w:p>
        </w:tc>
        <w:tc>
          <w:tcPr>
            <w:tcW w:w="1422" w:type="dxa"/>
            <w:tcBorders>
              <w:top w:val="single" w:sz="4" w:space="0" w:color="auto"/>
              <w:bottom w:val="double" w:sz="4" w:space="0" w:color="auto"/>
            </w:tcBorders>
            <w:noWrap/>
            <w:hideMark/>
          </w:tcPr>
          <w:p w:rsidR="00682A88" w:rsidRPr="00CF3673" w:rsidRDefault="00682A88" w:rsidP="00682A88">
            <w:pPr>
              <w:jc w:val="center"/>
            </w:pPr>
            <w:r w:rsidRPr="00CF3673">
              <w:t>81</w:t>
            </w:r>
          </w:p>
        </w:tc>
      </w:tr>
      <w:tr w:rsidR="00682A88" w:rsidRPr="00CF3673" w:rsidTr="00682A88">
        <w:trPr>
          <w:trHeight w:val="300"/>
          <w:jc w:val="center"/>
        </w:trPr>
        <w:tc>
          <w:tcPr>
            <w:tcW w:w="10224" w:type="dxa"/>
            <w:gridSpan w:val="9"/>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27 </w:t>
            </w:r>
            <w:r w:rsidR="006A4724" w:rsidRPr="00CF3673">
              <w:rPr>
                <w:lang w:val="pt-PT"/>
              </w:rPr>
              <w:t>observações</w:t>
            </w:r>
            <w:r w:rsidRPr="00CF3673">
              <w:rPr>
                <w:lang w:val="pt-PT"/>
              </w:rPr>
              <w:t xml:space="preserve"> em falta. * 207 </w:t>
            </w:r>
            <w:r w:rsidR="006A4724" w:rsidRPr="00CF3673">
              <w:rPr>
                <w:lang w:val="pt-PT"/>
              </w:rPr>
              <w:t>observações</w:t>
            </w:r>
            <w:r w:rsidRPr="00CF3673">
              <w:rPr>
                <w:lang w:val="pt-PT"/>
              </w:rPr>
              <w:t xml:space="preserve"> em falta em relação a férias anuais pagas.</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jc w:val="center"/>
        </w:trPr>
        <w:tc>
          <w:tcPr>
            <w:tcW w:w="10224" w:type="dxa"/>
            <w:gridSpan w:val="9"/>
            <w:tcBorders>
              <w:top w:val="nil"/>
              <w:bottom w:val="nil"/>
            </w:tcBorders>
            <w:noWrap/>
          </w:tcPr>
          <w:p w:rsidR="00682A88" w:rsidRPr="00CF3673" w:rsidRDefault="00682A88" w:rsidP="00682A88">
            <w:pPr>
              <w:pStyle w:val="Tablenote"/>
              <w:rPr>
                <w:b/>
                <w:lang w:val="pt-PT"/>
              </w:rPr>
            </w:pPr>
            <w:r w:rsidRPr="00CF3673">
              <w:rPr>
                <w:b/>
                <w:lang w:val="pt-PT"/>
              </w:rPr>
              <w:t>Fonte:</w:t>
            </w:r>
            <w:r w:rsidRPr="00CF3673">
              <w:rPr>
                <w:lang w:val="pt-PT"/>
              </w:rPr>
              <w:t xml:space="preserve"> Cálculos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Entre outras coisas, isto pode reflectir a relação entre o tamanho da empresa e grau de sindicalização como ilustrado na figura 4.5. As empresas maiores, em média, são muito mais propensas a ter uma força de trabalho sindicalizada – 75% das pequenas e médias empresas da amostra têm uma força de trabalho sindicalizada, em oposição a apenas 6 % das microempresas.</w:t>
      </w:r>
    </w:p>
    <w:p w:rsidR="00682A88" w:rsidRPr="00CF3673" w:rsidRDefault="00682A88" w:rsidP="00682A88">
      <w:pPr>
        <w:spacing w:line="360" w:lineRule="auto"/>
        <w:jc w:val="both"/>
        <w:rPr>
          <w:b/>
        </w:rPr>
      </w:pPr>
      <w:r w:rsidRPr="00CF3673">
        <w:rPr>
          <w:b/>
        </w:rPr>
        <w:t>Figura 4.5: Percentagem de empresas com força de trabalho sindicalizada, %.</w:t>
      </w:r>
    </w:p>
    <w:p w:rsidR="00682A88" w:rsidRPr="00CF3673" w:rsidRDefault="00682A88" w:rsidP="00682A88">
      <w:pPr>
        <w:spacing w:after="0" w:line="240" w:lineRule="auto"/>
        <w:jc w:val="center"/>
      </w:pPr>
      <w:r w:rsidRPr="00CF3673">
        <w:rPr>
          <w:noProof/>
          <w:lang w:val="en-US"/>
        </w:rPr>
        <w:drawing>
          <wp:inline distT="0" distB="0" distL="0" distR="0" wp14:anchorId="5D6A7310" wp14:editId="57CD0E25">
            <wp:extent cx="3400424" cy="2286000"/>
            <wp:effectExtent l="0" t="0" r="10160" b="19050"/>
            <wp:docPr id="2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bl>
      <w:tblPr>
        <w:tblStyle w:val="SrensTable"/>
        <w:tblW w:w="0" w:type="auto"/>
        <w:tblInd w:w="1998" w:type="dxa"/>
        <w:tblLook w:val="04A0" w:firstRow="1" w:lastRow="0" w:firstColumn="1" w:lastColumn="0" w:noHBand="0" w:noVBand="1"/>
      </w:tblPr>
      <w:tblGrid>
        <w:gridCol w:w="3932"/>
      </w:tblGrid>
      <w:tr w:rsidR="00682A88" w:rsidRPr="00CF3673" w:rsidTr="00682A88">
        <w:trPr>
          <w:trHeight w:val="300"/>
        </w:trPr>
        <w:tc>
          <w:tcPr>
            <w:tcW w:w="3932" w:type="dxa"/>
          </w:tcPr>
          <w:p w:rsidR="00682A88" w:rsidRPr="00CF3673" w:rsidRDefault="00682A88" w:rsidP="00682A88">
            <w:pPr>
              <w:pStyle w:val="Tablenote"/>
              <w:spacing w:before="0"/>
              <w:rPr>
                <w:b/>
                <w:lang w:val="pt-PT"/>
              </w:rPr>
            </w:pPr>
            <w:r w:rsidRPr="00CF3673">
              <w:rPr>
                <w:b/>
                <w:lang w:val="pt-PT"/>
              </w:rPr>
              <w:t>Nota:</w:t>
            </w:r>
            <w:r w:rsidRPr="00CF3673">
              <w:rPr>
                <w:lang w:val="pt-PT"/>
              </w:rPr>
              <w:t xml:space="preserve"> Número de </w:t>
            </w:r>
            <w:r w:rsidR="006A4724" w:rsidRPr="00CF3673">
              <w:rPr>
                <w:lang w:val="pt-PT"/>
              </w:rPr>
              <w:t>observações</w:t>
            </w:r>
            <w:r w:rsidRPr="00CF3673">
              <w:rPr>
                <w:lang w:val="pt-PT"/>
              </w:rPr>
              <w:t>: 758 (3 em falta).</w:t>
            </w:r>
          </w:p>
        </w:tc>
      </w:tr>
      <w:tr w:rsidR="00682A88" w:rsidRPr="00CF3673" w:rsidTr="00682A88">
        <w:trPr>
          <w:trHeight w:val="300"/>
        </w:trPr>
        <w:tc>
          <w:tcPr>
            <w:tcW w:w="3932" w:type="dxa"/>
          </w:tcPr>
          <w:p w:rsidR="00682A88" w:rsidRPr="00CF3673" w:rsidRDefault="00682A88" w:rsidP="00682A88">
            <w:pPr>
              <w:pStyle w:val="Tablenote"/>
              <w:spacing w:before="0"/>
              <w:rPr>
                <w:b/>
                <w:lang w:val="pt-PT"/>
              </w:rPr>
            </w:pPr>
            <w:r w:rsidRPr="00CF3673">
              <w:rPr>
                <w:b/>
                <w:lang w:val="pt-PT"/>
              </w:rPr>
              <w:t>Fonte:</w:t>
            </w:r>
            <w:r w:rsidRPr="00CF3673">
              <w:rPr>
                <w:lang w:val="pt-PT"/>
              </w:rPr>
              <w:t xml:space="preserve"> Cálculos </w:t>
            </w:r>
            <w:r w:rsidR="006A4724" w:rsidRPr="00CF3673">
              <w:rPr>
                <w:lang w:val="pt-PT"/>
              </w:rPr>
              <w:t>próprios</w:t>
            </w:r>
            <w:r w:rsidRPr="00CF3673">
              <w:rPr>
                <w:lang w:val="pt-PT"/>
              </w:rPr>
              <w:t xml:space="preserve"> usando IIM 2012.</w:t>
            </w:r>
          </w:p>
        </w:tc>
      </w:tr>
    </w:tbl>
    <w:p w:rsidR="00682A88" w:rsidRPr="00CF3673" w:rsidRDefault="00682A88" w:rsidP="00682A88">
      <w:pPr>
        <w:spacing w:line="360" w:lineRule="auto"/>
        <w:jc w:val="center"/>
      </w:pPr>
    </w:p>
    <w:p w:rsidR="00682A88" w:rsidRPr="00CF3673" w:rsidRDefault="00682A88" w:rsidP="00682A88">
      <w:pPr>
        <w:spacing w:line="360" w:lineRule="auto"/>
        <w:jc w:val="both"/>
      </w:pPr>
      <w:r w:rsidRPr="00CF3673">
        <w:t xml:space="preserve">Ao que parece, apesar de tudo, as maiores (e formais) empresas estão mais propensas a fornecer qualquer benefício, talvez como resultado de serem sindicalizadas. As grandes empresas também pagam salários </w:t>
      </w:r>
      <w:r w:rsidRPr="00CF3673">
        <w:lastRenderedPageBreak/>
        <w:t xml:space="preserve">mais altos (Tabela 4.2) e fornecem um emprego mais estável (menor proporção de trabalhadores temporários, a Tabela 4.1). Isso parece sugerir que as empresas maiores são mais susceptíveis de proporcionar "melhores empregos", uma noção também sugerida por </w:t>
      </w:r>
      <w:proofErr w:type="spellStart"/>
      <w:r w:rsidRPr="00CF3673">
        <w:t>Söderbom</w:t>
      </w:r>
      <w:proofErr w:type="spellEnd"/>
      <w:r w:rsidRPr="00CF3673">
        <w:t xml:space="preserve"> (2012).</w:t>
      </w:r>
    </w:p>
    <w:p w:rsidR="00682A88" w:rsidRPr="00CF3673" w:rsidRDefault="00682A88" w:rsidP="00682A88">
      <w:pPr>
        <w:spacing w:line="360" w:lineRule="auto"/>
        <w:jc w:val="both"/>
        <w:rPr>
          <w:b/>
          <w:u w:val="single"/>
        </w:rPr>
      </w:pPr>
      <w:r w:rsidRPr="00CF3673">
        <w:rPr>
          <w:b/>
          <w:u w:val="single"/>
        </w:rPr>
        <w:t>4.2 . Contratação e demissão</w:t>
      </w:r>
    </w:p>
    <w:p w:rsidR="00682A88" w:rsidRPr="00CF3673" w:rsidRDefault="00682A88" w:rsidP="00682A88">
      <w:pPr>
        <w:spacing w:line="360" w:lineRule="auto"/>
        <w:jc w:val="both"/>
      </w:pPr>
      <w:r w:rsidRPr="00CF3673">
        <w:t>Na Tabela 3.3 foi analisado o crescimento do emprego das empresas no painel 2006-2011 . A taxa média de crescimento mostrou ser menos 5% enquanto a taxa de crescimento média foi de menos 19% para o grupo como um todo. Nesta Secção, o crescimento para as empresas na Secção transversal é examinada, usando dados do anos de 2009 e 2011 .</w:t>
      </w:r>
    </w:p>
    <w:p w:rsidR="00682A88" w:rsidRPr="00CF3673" w:rsidRDefault="00682A88" w:rsidP="00682A88">
      <w:pPr>
        <w:spacing w:line="360" w:lineRule="auto"/>
        <w:jc w:val="both"/>
      </w:pPr>
      <w:r w:rsidRPr="00CF3673">
        <w:t>A Tabela 4.4 mostra quatro medidas de crescimento do emprego 2009-2011 para vários tipos de empresas. A taxa média de crescimento foi de 26%. e 21% após o ajuste. Somando o número de trabalhadores de todas as empresas da Secção transversal, a força de trabalho total foi de 11.400 (permanentes a tempo inteiro</w:t>
      </w:r>
      <w:r w:rsidRPr="00CF3673">
        <w:rPr>
          <w:rStyle w:val="FootnoteReference"/>
        </w:rPr>
        <w:footnoteReference w:id="28"/>
      </w:r>
      <w:r w:rsidRPr="00CF3673">
        <w:t>) trabalhadores em 2009 e 12.615 em 2011, correspondendo a um aumento de 11% . O crescimento médio era igual a zero, no entanto, de modo que o aumento é realizada por relativamente poucas empresas .</w:t>
      </w:r>
    </w:p>
    <w:p w:rsidR="00682A88" w:rsidRPr="00CF3673" w:rsidRDefault="00682A88" w:rsidP="00682A88">
      <w:pPr>
        <w:spacing w:line="360" w:lineRule="auto"/>
        <w:jc w:val="both"/>
      </w:pPr>
      <w:r w:rsidRPr="00CF3673">
        <w:t>Não é fácil conciliar as taxas de crescimento muito baixas nos dados em painel (2006-2011) com as taxas de crescimento mais promissoras na Secção transversal (2009-2011) aqui apresentada. A Secção transversal abrange um maior número de empresas e é mais representativo , mas baseia-se em dados que têm alguns problemas inerentes</w:t>
      </w:r>
      <w:r w:rsidRPr="00CF3673">
        <w:rPr>
          <w:rStyle w:val="FootnoteReference"/>
        </w:rPr>
        <w:footnoteReference w:id="29"/>
      </w:r>
      <w:r w:rsidRPr="00CF3673">
        <w:t>. O método utilizado aqui é apresentar os resultados do painel, bem como a Secção transversal e olhar para os resultados que são robustos para ambos os períodos .</w:t>
      </w:r>
    </w:p>
    <w:p w:rsidR="00682A88" w:rsidRPr="00CF3673" w:rsidRDefault="00682A88" w:rsidP="00682A88">
      <w:pPr>
        <w:spacing w:line="360" w:lineRule="auto"/>
        <w:jc w:val="both"/>
      </w:pPr>
      <w:r w:rsidRPr="00CF3673">
        <w:t xml:space="preserve">Há uma tendência clara para as empresas menores crescerem mais rapidamente do que as empresas maiores, com as </w:t>
      </w:r>
      <w:r w:rsidR="006A4724" w:rsidRPr="00CF3673">
        <w:t>microempresas</w:t>
      </w:r>
      <w:r w:rsidRPr="00CF3673">
        <w:t xml:space="preserve"> , em média, somando 32% a sua força de trabalho durante os dois anos e as empresas médias , em média, apenas aumentando a sua força de trabalho por 3%.  Isto contrasta com o achado no Capítulo 3, que as micro empresas , em média, experimentaram uma queda maior na sua força de trabalho.</w:t>
      </w:r>
    </w:p>
    <w:p w:rsidR="00682A88" w:rsidRPr="00CF3673" w:rsidRDefault="00682A88" w:rsidP="00682A88">
      <w:pPr>
        <w:spacing w:line="360" w:lineRule="auto"/>
        <w:jc w:val="both"/>
      </w:pPr>
      <w:r w:rsidRPr="00CF3673">
        <w:t xml:space="preserve">Surpreendentemente, as empresas informais têm vindo a crescer um pouco mais rápido do que as empresas formais, o que é o oposto do que foi encontrado usando o painel. As empresas estrangeiras foram adicionando 68% a sua força de trabalho , em média (este valor diminui para 26% após a </w:t>
      </w:r>
      <w:r w:rsidR="006A4724" w:rsidRPr="00CF3673">
        <w:t>correcção</w:t>
      </w:r>
      <w:r w:rsidRPr="00CF3673">
        <w:t xml:space="preserve"> </w:t>
      </w:r>
      <w:r w:rsidRPr="00CF3673">
        <w:lastRenderedPageBreak/>
        <w:t xml:space="preserve">no entanto) , com mais de metade das empresas estrangeiras a contratação na rede (crescimento médio de 3,2 </w:t>
      </w:r>
      <w:r w:rsidR="006A4724" w:rsidRPr="00CF3673">
        <w:t>%</w:t>
      </w:r>
      <w:r w:rsidRPr="00CF3673">
        <w:t>. ) . As empresas estrangeiras também ampliaram sua força de trabalho desde 2006-2012 no painel.</w:t>
      </w:r>
    </w:p>
    <w:p w:rsidR="00682A88" w:rsidRPr="00CF3673" w:rsidRDefault="00682A88" w:rsidP="00682A88">
      <w:pPr>
        <w:spacing w:line="360" w:lineRule="auto"/>
        <w:jc w:val="both"/>
      </w:pPr>
      <w:r w:rsidRPr="00CF3673">
        <w:t xml:space="preserve">Considerando o crescimento corrigido, empresas na Matola, Beira e </w:t>
      </w:r>
      <w:proofErr w:type="spellStart"/>
      <w:r w:rsidRPr="00CF3673">
        <w:t>Moatize</w:t>
      </w:r>
      <w:proofErr w:type="spellEnd"/>
      <w:r w:rsidRPr="00CF3673">
        <w:t xml:space="preserve"> especialmente têm crescido mais rapidamente do que a média nacional - o crescimento muito elevado para as empresas em </w:t>
      </w:r>
      <w:proofErr w:type="spellStart"/>
      <w:r w:rsidRPr="00CF3673">
        <w:t>Moatize</w:t>
      </w:r>
      <w:proofErr w:type="spellEnd"/>
      <w:r w:rsidRPr="00CF3673">
        <w:t xml:space="preserve"> é provável que seja um efeito do </w:t>
      </w:r>
      <w:r w:rsidRPr="00CF3673">
        <w:rPr>
          <w:i/>
        </w:rPr>
        <w:t>boom</w:t>
      </w:r>
      <w:r w:rsidRPr="00CF3673">
        <w:t xml:space="preserve"> de carvão na área. Por outro lado, o crescimento da força de trabalho em Maputo e Nacala tem sido um pouco mais lento do que a média nacional. No painel (Tabela 3.3) , as empresas na Beira também tiveram taxas de crescimento mais elevadas do que a média nacional , mas assim como empresas em Nacala. As empresas em Maputo e Matola também experimentaram taxas de crescimento mais baixas do que a média no painel.</w:t>
      </w:r>
    </w:p>
    <w:p w:rsidR="00682A88" w:rsidRPr="00CF3673" w:rsidRDefault="00682A88" w:rsidP="00682A88">
      <w:pPr>
        <w:spacing w:line="360" w:lineRule="auto"/>
        <w:jc w:val="both"/>
        <w:rPr>
          <w:b/>
        </w:rPr>
      </w:pPr>
      <w:r w:rsidRPr="00CF3673">
        <w:rPr>
          <w:b/>
        </w:rPr>
        <w:t xml:space="preserve">Tabela 4.4: Crescimento do emprego 2009-2011 por tipo de </w:t>
      </w:r>
      <w:r w:rsidR="0083080D" w:rsidRPr="00CF3673">
        <w:rPr>
          <w:b/>
        </w:rPr>
        <w:t>empresa,</w:t>
      </w:r>
      <w:r w:rsidRPr="00CF3673">
        <w:rPr>
          <w:b/>
        </w:rPr>
        <w:t xml:space="preserve"> %.</w:t>
      </w:r>
    </w:p>
    <w:tbl>
      <w:tblPr>
        <w:tblStyle w:val="StandardTable"/>
        <w:tblW w:w="0" w:type="auto"/>
        <w:jc w:val="center"/>
        <w:tblInd w:w="-119" w:type="dxa"/>
        <w:tblLayout w:type="fixed"/>
        <w:tblLook w:val="04A0" w:firstRow="1" w:lastRow="0" w:firstColumn="1" w:lastColumn="0" w:noHBand="0" w:noVBand="1"/>
      </w:tblPr>
      <w:tblGrid>
        <w:gridCol w:w="1450"/>
        <w:gridCol w:w="1122"/>
        <w:gridCol w:w="1740"/>
        <w:gridCol w:w="1605"/>
        <w:gridCol w:w="1739"/>
        <w:gridCol w:w="1225"/>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5"/>
          <w:jc w:val="center"/>
        </w:trPr>
        <w:tc>
          <w:tcPr>
            <w:tcW w:w="1450" w:type="dxa"/>
            <w:tcBorders>
              <w:bottom w:val="nil"/>
            </w:tcBorders>
            <w:noWrap/>
          </w:tcPr>
          <w:p w:rsidR="00682A88" w:rsidRPr="00CF3673" w:rsidRDefault="00682A88" w:rsidP="00682A88">
            <w:pPr>
              <w:rPr>
                <w:rFonts w:ascii="Calibri" w:eastAsia="Times New Roman" w:hAnsi="Calibri" w:cs="Times New Roman"/>
                <w:lang w:eastAsia="zh-CN"/>
              </w:rPr>
            </w:pPr>
          </w:p>
        </w:tc>
        <w:tc>
          <w:tcPr>
            <w:tcW w:w="1122" w:type="dxa"/>
            <w:tcBorders>
              <w:bottom w:val="nil"/>
            </w:tcBorders>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médio</w:t>
            </w:r>
          </w:p>
        </w:tc>
        <w:tc>
          <w:tcPr>
            <w:tcW w:w="1740" w:type="dxa"/>
            <w:tcBorders>
              <w:bottom w:val="nil"/>
            </w:tcBorders>
          </w:tcPr>
          <w:p w:rsidR="00682A88" w:rsidRPr="00CF3673" w:rsidRDefault="006A4724" w:rsidP="0083080D">
            <w:pPr>
              <w:jc w:val="center"/>
              <w:rPr>
                <w:rFonts w:ascii="Calibri" w:eastAsia="Times New Roman" w:hAnsi="Calibri" w:cs="Times New Roman"/>
                <w:lang w:eastAsia="zh-CN"/>
              </w:rPr>
            </w:pPr>
            <w:r w:rsidRPr="00CF3673">
              <w:rPr>
                <w:rFonts w:ascii="Calibri" w:eastAsia="Times New Roman" w:hAnsi="Calibri" w:cs="Times New Roman"/>
                <w:lang w:eastAsia="zh-CN"/>
              </w:rPr>
              <w:t>Cresce</w:t>
            </w:r>
            <w:r w:rsidR="0083080D" w:rsidRPr="00CF3673">
              <w:rPr>
                <w:rFonts w:ascii="Calibri" w:eastAsia="Times New Roman" w:hAnsi="Calibri" w:cs="Times New Roman"/>
                <w:lang w:eastAsia="zh-CN"/>
              </w:rPr>
              <w:t xml:space="preserve">. </w:t>
            </w:r>
            <w:r w:rsidRPr="00CF3673">
              <w:rPr>
                <w:rFonts w:ascii="Calibri" w:eastAsia="Times New Roman" w:hAnsi="Calibri" w:cs="Times New Roman"/>
                <w:lang w:eastAsia="zh-CN"/>
              </w:rPr>
              <w:t>médio</w:t>
            </w:r>
            <w:r w:rsidR="0083080D" w:rsidRPr="00CF3673">
              <w:rPr>
                <w:rFonts w:ascii="Calibri" w:eastAsia="Times New Roman" w:hAnsi="Calibri" w:cs="Times New Roman"/>
                <w:lang w:eastAsia="zh-CN"/>
              </w:rPr>
              <w:t xml:space="preserve">, </w:t>
            </w:r>
            <w:r w:rsidR="0083080D" w:rsidRPr="00CF3673">
              <w:rPr>
                <w:rFonts w:ascii="Calibri" w:eastAsia="Times New Roman" w:hAnsi="Calibri" w:cs="Times New Roman"/>
                <w:i/>
                <w:lang w:eastAsia="zh-CN"/>
              </w:rPr>
              <w:t>s/</w:t>
            </w:r>
            <w:r w:rsidR="00682A88" w:rsidRPr="00CF3673">
              <w:rPr>
                <w:rFonts w:ascii="Calibri" w:eastAsia="Times New Roman" w:hAnsi="Calibri" w:cs="Times New Roman"/>
                <w:i/>
                <w:lang w:eastAsia="zh-CN"/>
              </w:rPr>
              <w:t xml:space="preserve"> </w:t>
            </w:r>
            <w:proofErr w:type="spellStart"/>
            <w:r w:rsidR="00682A88" w:rsidRPr="00CF3673">
              <w:rPr>
                <w:rFonts w:ascii="Calibri" w:eastAsia="Times New Roman" w:hAnsi="Calibri" w:cs="Times New Roman"/>
                <w:i/>
                <w:lang w:eastAsia="zh-CN"/>
              </w:rPr>
              <w:t>outliers</w:t>
            </w:r>
            <w:proofErr w:type="spellEnd"/>
            <w:r w:rsidR="00682A88" w:rsidRPr="00CF3673">
              <w:rPr>
                <w:rFonts w:ascii="Calibri" w:eastAsia="Times New Roman" w:hAnsi="Calibri" w:cs="Times New Roman"/>
                <w:lang w:eastAsia="zh-CN"/>
              </w:rPr>
              <w:t>*</w:t>
            </w:r>
          </w:p>
        </w:tc>
        <w:tc>
          <w:tcPr>
            <w:tcW w:w="1605" w:type="dxa"/>
            <w:tcBorders>
              <w:bottom w:val="nil"/>
            </w:tcBorders>
            <w:noWrap/>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mediano</w:t>
            </w:r>
          </w:p>
        </w:tc>
        <w:tc>
          <w:tcPr>
            <w:tcW w:w="1739" w:type="dxa"/>
            <w:tcBorders>
              <w:bottom w:val="nil"/>
            </w:tcBorders>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grupo como um todo</w:t>
            </w:r>
          </w:p>
        </w:tc>
        <w:tc>
          <w:tcPr>
            <w:tcW w:w="1225" w:type="dxa"/>
            <w:tcBorders>
              <w:bottom w:val="nil"/>
            </w:tcBorders>
            <w:noWrap/>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Nº de obs.</w:t>
            </w:r>
          </w:p>
        </w:tc>
      </w:tr>
      <w:tr w:rsidR="00682A88" w:rsidRPr="00CF3673" w:rsidTr="00682A88">
        <w:trPr>
          <w:trHeight w:val="305"/>
          <w:jc w:val="center"/>
        </w:trPr>
        <w:tc>
          <w:tcPr>
            <w:tcW w:w="1450" w:type="dxa"/>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Todos</w:t>
            </w:r>
          </w:p>
        </w:tc>
        <w:tc>
          <w:tcPr>
            <w:tcW w:w="1122" w:type="dxa"/>
            <w:tcBorders>
              <w:top w:val="single" w:sz="4" w:space="0" w:color="auto"/>
            </w:tcBorders>
            <w:noWrap/>
            <w:hideMark/>
          </w:tcPr>
          <w:p w:rsidR="00682A88" w:rsidRPr="00CF3673" w:rsidRDefault="00682A88" w:rsidP="00682A88">
            <w:pPr>
              <w:jc w:val="center"/>
            </w:pPr>
            <w:r w:rsidRPr="00CF3673">
              <w:t>26.0</w:t>
            </w:r>
          </w:p>
        </w:tc>
        <w:tc>
          <w:tcPr>
            <w:tcW w:w="1740" w:type="dxa"/>
            <w:tcBorders>
              <w:top w:val="single" w:sz="4" w:space="0" w:color="auto"/>
            </w:tcBorders>
          </w:tcPr>
          <w:p w:rsidR="00682A88" w:rsidRPr="00CF3673" w:rsidRDefault="00682A88" w:rsidP="00682A88">
            <w:pPr>
              <w:jc w:val="center"/>
            </w:pPr>
            <w:r w:rsidRPr="00CF3673">
              <w:t>20.9</w:t>
            </w:r>
          </w:p>
        </w:tc>
        <w:tc>
          <w:tcPr>
            <w:tcW w:w="1605" w:type="dxa"/>
            <w:tcBorders>
              <w:top w:val="single" w:sz="4" w:space="0" w:color="auto"/>
            </w:tcBorders>
            <w:noWrap/>
            <w:hideMark/>
          </w:tcPr>
          <w:p w:rsidR="00682A88" w:rsidRPr="00CF3673" w:rsidRDefault="00682A88" w:rsidP="00682A88">
            <w:pPr>
              <w:jc w:val="center"/>
            </w:pPr>
            <w:r w:rsidRPr="00CF3673">
              <w:t>0.0</w:t>
            </w:r>
          </w:p>
        </w:tc>
        <w:tc>
          <w:tcPr>
            <w:tcW w:w="1739" w:type="dxa"/>
            <w:tcBorders>
              <w:top w:val="single" w:sz="4" w:space="0" w:color="auto"/>
            </w:tcBorders>
            <w:noWrap/>
            <w:hideMark/>
          </w:tcPr>
          <w:p w:rsidR="00682A88" w:rsidRPr="00CF3673" w:rsidRDefault="00682A88" w:rsidP="00682A88">
            <w:pPr>
              <w:jc w:val="center"/>
            </w:pPr>
            <w:r w:rsidRPr="00CF3673">
              <w:t>10.6</w:t>
            </w:r>
          </w:p>
        </w:tc>
        <w:tc>
          <w:tcPr>
            <w:tcW w:w="1225" w:type="dxa"/>
            <w:tcBorders>
              <w:top w:val="single" w:sz="4" w:space="0" w:color="auto"/>
            </w:tcBorders>
            <w:noWrap/>
            <w:hideMark/>
          </w:tcPr>
          <w:p w:rsidR="00682A88" w:rsidRPr="00CF3673" w:rsidRDefault="00682A88" w:rsidP="00682A88">
            <w:pPr>
              <w:jc w:val="center"/>
            </w:pPr>
            <w:r w:rsidRPr="00CF3673">
              <w:t>753</w:t>
            </w:r>
          </w:p>
        </w:tc>
      </w:tr>
      <w:tr w:rsidR="00682A88" w:rsidRPr="00CF3673" w:rsidTr="00682A88">
        <w:trPr>
          <w:trHeight w:val="305"/>
          <w:jc w:val="center"/>
        </w:trPr>
        <w:tc>
          <w:tcPr>
            <w:tcW w:w="145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1122" w:type="dxa"/>
            <w:noWrap/>
            <w:hideMark/>
          </w:tcPr>
          <w:p w:rsidR="00682A88" w:rsidRPr="00CF3673" w:rsidRDefault="00682A88" w:rsidP="00682A88">
            <w:pPr>
              <w:jc w:val="center"/>
            </w:pPr>
            <w:r w:rsidRPr="00CF3673">
              <w:t>31.6</w:t>
            </w:r>
          </w:p>
        </w:tc>
        <w:tc>
          <w:tcPr>
            <w:tcW w:w="1740" w:type="dxa"/>
          </w:tcPr>
          <w:p w:rsidR="00682A88" w:rsidRPr="00CF3673" w:rsidRDefault="00682A88" w:rsidP="00682A88">
            <w:pPr>
              <w:jc w:val="center"/>
            </w:pPr>
            <w:r w:rsidRPr="00CF3673">
              <w:t>24.4</w:t>
            </w:r>
          </w:p>
        </w:tc>
        <w:tc>
          <w:tcPr>
            <w:tcW w:w="1605" w:type="dxa"/>
            <w:noWrap/>
            <w:hideMark/>
          </w:tcPr>
          <w:p w:rsidR="00682A88" w:rsidRPr="00CF3673" w:rsidRDefault="00682A88" w:rsidP="00682A88">
            <w:pPr>
              <w:jc w:val="center"/>
            </w:pPr>
            <w:r w:rsidRPr="00CF3673">
              <w:t>0.0</w:t>
            </w:r>
          </w:p>
        </w:tc>
        <w:tc>
          <w:tcPr>
            <w:tcW w:w="1739" w:type="dxa"/>
            <w:noWrap/>
            <w:hideMark/>
          </w:tcPr>
          <w:p w:rsidR="00682A88" w:rsidRPr="00CF3673" w:rsidRDefault="00682A88" w:rsidP="00682A88">
            <w:pPr>
              <w:jc w:val="center"/>
            </w:pPr>
            <w:r w:rsidRPr="00CF3673">
              <w:t>21.3</w:t>
            </w:r>
          </w:p>
        </w:tc>
        <w:tc>
          <w:tcPr>
            <w:tcW w:w="1225" w:type="dxa"/>
            <w:noWrap/>
            <w:hideMark/>
          </w:tcPr>
          <w:p w:rsidR="00682A88" w:rsidRPr="00CF3673" w:rsidRDefault="00682A88" w:rsidP="00682A88">
            <w:pPr>
              <w:jc w:val="center"/>
            </w:pPr>
            <w:r w:rsidRPr="00CF3673">
              <w:t>524</w:t>
            </w:r>
          </w:p>
        </w:tc>
      </w:tr>
      <w:tr w:rsidR="00682A88" w:rsidRPr="00CF3673" w:rsidTr="00682A88">
        <w:trPr>
          <w:trHeight w:val="305"/>
          <w:jc w:val="center"/>
        </w:trPr>
        <w:tc>
          <w:tcPr>
            <w:tcW w:w="1450" w:type="dxa"/>
            <w:tcBorders>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 xml:space="preserve">Pequena </w:t>
            </w:r>
          </w:p>
        </w:tc>
        <w:tc>
          <w:tcPr>
            <w:tcW w:w="1122" w:type="dxa"/>
            <w:tcBorders>
              <w:bottom w:val="nil"/>
            </w:tcBorders>
            <w:noWrap/>
            <w:hideMark/>
          </w:tcPr>
          <w:p w:rsidR="00682A88" w:rsidRPr="00CF3673" w:rsidRDefault="00682A88" w:rsidP="00682A88">
            <w:pPr>
              <w:jc w:val="center"/>
            </w:pPr>
            <w:r w:rsidRPr="00CF3673">
              <w:t>16.5</w:t>
            </w:r>
          </w:p>
        </w:tc>
        <w:tc>
          <w:tcPr>
            <w:tcW w:w="1740" w:type="dxa"/>
            <w:tcBorders>
              <w:bottom w:val="nil"/>
            </w:tcBorders>
          </w:tcPr>
          <w:p w:rsidR="00682A88" w:rsidRPr="00CF3673" w:rsidRDefault="00682A88" w:rsidP="00682A88">
            <w:pPr>
              <w:jc w:val="center"/>
            </w:pPr>
            <w:r w:rsidRPr="00CF3673">
              <w:t>15.4</w:t>
            </w:r>
          </w:p>
        </w:tc>
        <w:tc>
          <w:tcPr>
            <w:tcW w:w="1605" w:type="dxa"/>
            <w:tcBorders>
              <w:bottom w:val="nil"/>
            </w:tcBorders>
            <w:noWrap/>
            <w:hideMark/>
          </w:tcPr>
          <w:p w:rsidR="00682A88" w:rsidRPr="00CF3673" w:rsidRDefault="00682A88" w:rsidP="00682A88">
            <w:pPr>
              <w:jc w:val="center"/>
            </w:pPr>
            <w:r w:rsidRPr="00CF3673">
              <w:t>0.0</w:t>
            </w:r>
          </w:p>
        </w:tc>
        <w:tc>
          <w:tcPr>
            <w:tcW w:w="1739" w:type="dxa"/>
            <w:tcBorders>
              <w:bottom w:val="nil"/>
            </w:tcBorders>
            <w:noWrap/>
            <w:hideMark/>
          </w:tcPr>
          <w:p w:rsidR="00682A88" w:rsidRPr="00CF3673" w:rsidRDefault="00682A88" w:rsidP="00682A88">
            <w:pPr>
              <w:jc w:val="center"/>
            </w:pPr>
            <w:r w:rsidRPr="00CF3673">
              <w:t>17.1</w:t>
            </w:r>
          </w:p>
        </w:tc>
        <w:tc>
          <w:tcPr>
            <w:tcW w:w="1225" w:type="dxa"/>
            <w:tcBorders>
              <w:bottom w:val="nil"/>
            </w:tcBorders>
            <w:noWrap/>
            <w:hideMark/>
          </w:tcPr>
          <w:p w:rsidR="00682A88" w:rsidRPr="00CF3673" w:rsidRDefault="00682A88" w:rsidP="00682A88">
            <w:pPr>
              <w:jc w:val="center"/>
            </w:pPr>
            <w:r w:rsidRPr="00CF3673">
              <w:t>173</w:t>
            </w:r>
          </w:p>
        </w:tc>
      </w:tr>
      <w:tr w:rsidR="00682A88" w:rsidRPr="00CF3673" w:rsidTr="00682A88">
        <w:trPr>
          <w:trHeight w:val="305"/>
          <w:jc w:val="center"/>
        </w:trPr>
        <w:tc>
          <w:tcPr>
            <w:tcW w:w="1450"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Média</w:t>
            </w:r>
          </w:p>
        </w:tc>
        <w:tc>
          <w:tcPr>
            <w:tcW w:w="1122" w:type="dxa"/>
            <w:tcBorders>
              <w:top w:val="nil"/>
              <w:bottom w:val="single" w:sz="4" w:space="0" w:color="auto"/>
            </w:tcBorders>
            <w:noWrap/>
            <w:hideMark/>
          </w:tcPr>
          <w:p w:rsidR="00682A88" w:rsidRPr="00CF3673" w:rsidRDefault="00682A88" w:rsidP="00682A88">
            <w:pPr>
              <w:jc w:val="center"/>
            </w:pPr>
            <w:r w:rsidRPr="00CF3673">
              <w:t>2.8</w:t>
            </w:r>
          </w:p>
        </w:tc>
        <w:tc>
          <w:tcPr>
            <w:tcW w:w="1740" w:type="dxa"/>
            <w:tcBorders>
              <w:top w:val="nil"/>
              <w:bottom w:val="single" w:sz="4" w:space="0" w:color="auto"/>
            </w:tcBorders>
          </w:tcPr>
          <w:p w:rsidR="00682A88" w:rsidRPr="00CF3673" w:rsidRDefault="00682A88" w:rsidP="00682A88">
            <w:pPr>
              <w:jc w:val="center"/>
            </w:pPr>
            <w:r w:rsidRPr="00CF3673">
              <w:t>4.6</w:t>
            </w:r>
          </w:p>
        </w:tc>
        <w:tc>
          <w:tcPr>
            <w:tcW w:w="1605" w:type="dxa"/>
            <w:tcBorders>
              <w:top w:val="nil"/>
              <w:bottom w:val="single" w:sz="4" w:space="0" w:color="auto"/>
            </w:tcBorders>
            <w:noWrap/>
            <w:hideMark/>
          </w:tcPr>
          <w:p w:rsidR="00682A88" w:rsidRPr="00CF3673" w:rsidRDefault="00682A88" w:rsidP="00682A88">
            <w:pPr>
              <w:jc w:val="center"/>
            </w:pPr>
            <w:r w:rsidRPr="00CF3673">
              <w:t>0.0</w:t>
            </w:r>
          </w:p>
        </w:tc>
        <w:tc>
          <w:tcPr>
            <w:tcW w:w="1739" w:type="dxa"/>
            <w:tcBorders>
              <w:top w:val="nil"/>
              <w:bottom w:val="single" w:sz="4" w:space="0" w:color="auto"/>
            </w:tcBorders>
            <w:noWrap/>
            <w:hideMark/>
          </w:tcPr>
          <w:p w:rsidR="00682A88" w:rsidRPr="00CF3673" w:rsidRDefault="00682A88" w:rsidP="00682A88">
            <w:pPr>
              <w:jc w:val="center"/>
            </w:pPr>
            <w:r w:rsidRPr="00CF3673">
              <w:t>2.3</w:t>
            </w:r>
          </w:p>
        </w:tc>
        <w:tc>
          <w:tcPr>
            <w:tcW w:w="1225" w:type="dxa"/>
            <w:tcBorders>
              <w:top w:val="nil"/>
              <w:bottom w:val="single" w:sz="4" w:space="0" w:color="auto"/>
            </w:tcBorders>
            <w:noWrap/>
            <w:hideMark/>
          </w:tcPr>
          <w:p w:rsidR="00682A88" w:rsidRPr="00CF3673" w:rsidRDefault="00682A88" w:rsidP="00682A88">
            <w:pPr>
              <w:jc w:val="center"/>
            </w:pPr>
            <w:r w:rsidRPr="00CF3673">
              <w:t>56</w:t>
            </w:r>
          </w:p>
        </w:tc>
      </w:tr>
      <w:tr w:rsidR="00682A88" w:rsidRPr="00CF3673" w:rsidTr="00682A88">
        <w:trPr>
          <w:trHeight w:val="305"/>
          <w:jc w:val="center"/>
        </w:trPr>
        <w:tc>
          <w:tcPr>
            <w:tcW w:w="1450" w:type="dxa"/>
            <w:tcBorders>
              <w:top w:val="single" w:sz="4" w:space="0" w:color="auto"/>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1122" w:type="dxa"/>
            <w:tcBorders>
              <w:top w:val="single" w:sz="4" w:space="0" w:color="auto"/>
              <w:bottom w:val="nil"/>
            </w:tcBorders>
            <w:noWrap/>
            <w:hideMark/>
          </w:tcPr>
          <w:p w:rsidR="00682A88" w:rsidRPr="00CF3673" w:rsidRDefault="00682A88" w:rsidP="00682A88">
            <w:pPr>
              <w:jc w:val="center"/>
            </w:pPr>
            <w:r w:rsidRPr="00CF3673">
              <w:t>26.8</w:t>
            </w:r>
          </w:p>
        </w:tc>
        <w:tc>
          <w:tcPr>
            <w:tcW w:w="1740" w:type="dxa"/>
            <w:tcBorders>
              <w:top w:val="single" w:sz="4" w:space="0" w:color="auto"/>
              <w:bottom w:val="nil"/>
            </w:tcBorders>
          </w:tcPr>
          <w:p w:rsidR="00682A88" w:rsidRPr="00CF3673" w:rsidRDefault="00682A88" w:rsidP="00682A88">
            <w:pPr>
              <w:jc w:val="center"/>
            </w:pPr>
            <w:r w:rsidRPr="00CF3673">
              <w:t>27.4</w:t>
            </w:r>
          </w:p>
        </w:tc>
        <w:tc>
          <w:tcPr>
            <w:tcW w:w="1605" w:type="dxa"/>
            <w:tcBorders>
              <w:top w:val="single" w:sz="4" w:space="0" w:color="auto"/>
              <w:bottom w:val="nil"/>
            </w:tcBorders>
            <w:noWrap/>
            <w:hideMark/>
          </w:tcPr>
          <w:p w:rsidR="00682A88" w:rsidRPr="00CF3673" w:rsidRDefault="00682A88" w:rsidP="00682A88">
            <w:pPr>
              <w:jc w:val="center"/>
            </w:pPr>
            <w:r w:rsidRPr="00CF3673">
              <w:t>0.0</w:t>
            </w:r>
          </w:p>
        </w:tc>
        <w:tc>
          <w:tcPr>
            <w:tcW w:w="1739" w:type="dxa"/>
            <w:tcBorders>
              <w:top w:val="single" w:sz="4" w:space="0" w:color="auto"/>
              <w:bottom w:val="nil"/>
            </w:tcBorders>
            <w:noWrap/>
            <w:hideMark/>
          </w:tcPr>
          <w:p w:rsidR="00682A88" w:rsidRPr="00CF3673" w:rsidRDefault="00682A88" w:rsidP="00682A88">
            <w:pPr>
              <w:jc w:val="center"/>
            </w:pPr>
            <w:r w:rsidRPr="00CF3673">
              <w:t>18.3</w:t>
            </w:r>
          </w:p>
        </w:tc>
        <w:tc>
          <w:tcPr>
            <w:tcW w:w="1225" w:type="dxa"/>
            <w:tcBorders>
              <w:top w:val="single" w:sz="4" w:space="0" w:color="auto"/>
              <w:bottom w:val="nil"/>
            </w:tcBorders>
            <w:noWrap/>
            <w:hideMark/>
          </w:tcPr>
          <w:p w:rsidR="00682A88" w:rsidRPr="00CF3673" w:rsidRDefault="00682A88" w:rsidP="00682A88">
            <w:pPr>
              <w:jc w:val="center"/>
            </w:pPr>
            <w:r w:rsidRPr="00CF3673">
              <w:t>164</w:t>
            </w:r>
          </w:p>
        </w:tc>
      </w:tr>
      <w:tr w:rsidR="00682A88" w:rsidRPr="00CF3673" w:rsidTr="00682A88">
        <w:trPr>
          <w:trHeight w:val="305"/>
          <w:jc w:val="center"/>
        </w:trPr>
        <w:tc>
          <w:tcPr>
            <w:tcW w:w="1450"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Formal</w:t>
            </w:r>
          </w:p>
        </w:tc>
        <w:tc>
          <w:tcPr>
            <w:tcW w:w="1122" w:type="dxa"/>
            <w:tcBorders>
              <w:top w:val="nil"/>
              <w:bottom w:val="single" w:sz="4" w:space="0" w:color="auto"/>
            </w:tcBorders>
            <w:noWrap/>
            <w:hideMark/>
          </w:tcPr>
          <w:p w:rsidR="00682A88" w:rsidRPr="00CF3673" w:rsidRDefault="00682A88" w:rsidP="00682A88">
            <w:pPr>
              <w:jc w:val="center"/>
            </w:pPr>
            <w:r w:rsidRPr="00CF3673">
              <w:t>25.7</w:t>
            </w:r>
          </w:p>
        </w:tc>
        <w:tc>
          <w:tcPr>
            <w:tcW w:w="1740" w:type="dxa"/>
            <w:tcBorders>
              <w:top w:val="nil"/>
              <w:bottom w:val="single" w:sz="4" w:space="0" w:color="auto"/>
            </w:tcBorders>
          </w:tcPr>
          <w:p w:rsidR="00682A88" w:rsidRPr="00CF3673" w:rsidRDefault="00682A88" w:rsidP="00682A88">
            <w:pPr>
              <w:jc w:val="center"/>
            </w:pPr>
            <w:r w:rsidRPr="00CF3673">
              <w:t>18.9</w:t>
            </w:r>
          </w:p>
        </w:tc>
        <w:tc>
          <w:tcPr>
            <w:tcW w:w="1605" w:type="dxa"/>
            <w:tcBorders>
              <w:top w:val="nil"/>
              <w:bottom w:val="single" w:sz="4" w:space="0" w:color="auto"/>
            </w:tcBorders>
            <w:noWrap/>
            <w:hideMark/>
          </w:tcPr>
          <w:p w:rsidR="00682A88" w:rsidRPr="00CF3673" w:rsidRDefault="00682A88" w:rsidP="00682A88">
            <w:pPr>
              <w:jc w:val="center"/>
            </w:pPr>
            <w:r w:rsidRPr="00CF3673">
              <w:t>0.0</w:t>
            </w:r>
          </w:p>
        </w:tc>
        <w:tc>
          <w:tcPr>
            <w:tcW w:w="1739" w:type="dxa"/>
            <w:tcBorders>
              <w:top w:val="nil"/>
              <w:bottom w:val="single" w:sz="4" w:space="0" w:color="auto"/>
            </w:tcBorders>
            <w:noWrap/>
            <w:hideMark/>
          </w:tcPr>
          <w:p w:rsidR="00682A88" w:rsidRPr="00CF3673" w:rsidRDefault="00682A88" w:rsidP="00682A88">
            <w:pPr>
              <w:jc w:val="center"/>
            </w:pPr>
            <w:r w:rsidRPr="00CF3673">
              <w:t>10.2</w:t>
            </w:r>
          </w:p>
        </w:tc>
        <w:tc>
          <w:tcPr>
            <w:tcW w:w="1225" w:type="dxa"/>
            <w:tcBorders>
              <w:top w:val="nil"/>
              <w:bottom w:val="single" w:sz="4" w:space="0" w:color="auto"/>
            </w:tcBorders>
            <w:noWrap/>
            <w:hideMark/>
          </w:tcPr>
          <w:p w:rsidR="00682A88" w:rsidRPr="00CF3673" w:rsidRDefault="00682A88" w:rsidP="00682A88">
            <w:pPr>
              <w:jc w:val="center"/>
            </w:pPr>
            <w:r w:rsidRPr="00CF3673">
              <w:t>587</w:t>
            </w:r>
          </w:p>
        </w:tc>
      </w:tr>
      <w:tr w:rsidR="00682A88" w:rsidRPr="00CF3673" w:rsidTr="00682A88">
        <w:trPr>
          <w:trHeight w:val="305"/>
          <w:jc w:val="center"/>
        </w:trPr>
        <w:tc>
          <w:tcPr>
            <w:tcW w:w="1450" w:type="dxa"/>
            <w:tcBorders>
              <w:top w:val="single" w:sz="4" w:space="0" w:color="auto"/>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Propriedade Moçambicana</w:t>
            </w:r>
          </w:p>
        </w:tc>
        <w:tc>
          <w:tcPr>
            <w:tcW w:w="1122" w:type="dxa"/>
            <w:tcBorders>
              <w:top w:val="single" w:sz="4" w:space="0" w:color="auto"/>
              <w:bottom w:val="nil"/>
            </w:tcBorders>
            <w:noWrap/>
            <w:hideMark/>
          </w:tcPr>
          <w:p w:rsidR="00682A88" w:rsidRPr="00CF3673" w:rsidRDefault="00682A88" w:rsidP="00682A88">
            <w:pPr>
              <w:jc w:val="center"/>
            </w:pPr>
            <w:r w:rsidRPr="00CF3673">
              <w:t>20.7</w:t>
            </w:r>
          </w:p>
        </w:tc>
        <w:tc>
          <w:tcPr>
            <w:tcW w:w="1740" w:type="dxa"/>
            <w:tcBorders>
              <w:top w:val="single" w:sz="4" w:space="0" w:color="auto"/>
              <w:bottom w:val="nil"/>
            </w:tcBorders>
          </w:tcPr>
          <w:p w:rsidR="00682A88" w:rsidRPr="00CF3673" w:rsidRDefault="00682A88" w:rsidP="00682A88">
            <w:pPr>
              <w:jc w:val="center"/>
            </w:pPr>
            <w:r w:rsidRPr="00CF3673">
              <w:t>20.2</w:t>
            </w:r>
          </w:p>
        </w:tc>
        <w:tc>
          <w:tcPr>
            <w:tcW w:w="1605" w:type="dxa"/>
            <w:tcBorders>
              <w:top w:val="single" w:sz="4" w:space="0" w:color="auto"/>
              <w:bottom w:val="nil"/>
            </w:tcBorders>
            <w:noWrap/>
            <w:hideMark/>
          </w:tcPr>
          <w:p w:rsidR="00682A88" w:rsidRPr="00CF3673" w:rsidRDefault="00682A88" w:rsidP="00682A88">
            <w:pPr>
              <w:jc w:val="center"/>
            </w:pPr>
            <w:r w:rsidRPr="00CF3673">
              <w:t>0.0</w:t>
            </w:r>
          </w:p>
        </w:tc>
        <w:tc>
          <w:tcPr>
            <w:tcW w:w="1739" w:type="dxa"/>
            <w:tcBorders>
              <w:top w:val="single" w:sz="4" w:space="0" w:color="auto"/>
              <w:bottom w:val="nil"/>
            </w:tcBorders>
            <w:noWrap/>
            <w:hideMark/>
          </w:tcPr>
          <w:p w:rsidR="00682A88" w:rsidRPr="00CF3673" w:rsidRDefault="00682A88" w:rsidP="00682A88">
            <w:pPr>
              <w:jc w:val="center"/>
            </w:pPr>
            <w:r w:rsidRPr="00CF3673">
              <w:t>8.0</w:t>
            </w:r>
          </w:p>
        </w:tc>
        <w:tc>
          <w:tcPr>
            <w:tcW w:w="1225" w:type="dxa"/>
            <w:tcBorders>
              <w:top w:val="single" w:sz="4" w:space="0" w:color="auto"/>
              <w:bottom w:val="nil"/>
            </w:tcBorders>
            <w:noWrap/>
            <w:hideMark/>
          </w:tcPr>
          <w:p w:rsidR="00682A88" w:rsidRPr="00CF3673" w:rsidRDefault="00682A88" w:rsidP="00682A88">
            <w:pPr>
              <w:jc w:val="center"/>
            </w:pPr>
            <w:r w:rsidRPr="00CF3673">
              <w:t>668</w:t>
            </w:r>
          </w:p>
        </w:tc>
      </w:tr>
      <w:tr w:rsidR="00682A88" w:rsidRPr="00CF3673" w:rsidTr="00682A88">
        <w:trPr>
          <w:trHeight w:val="305"/>
          <w:jc w:val="center"/>
        </w:trPr>
        <w:tc>
          <w:tcPr>
            <w:tcW w:w="1450"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Propriedade estrangeira</w:t>
            </w:r>
          </w:p>
        </w:tc>
        <w:tc>
          <w:tcPr>
            <w:tcW w:w="1122" w:type="dxa"/>
            <w:tcBorders>
              <w:top w:val="nil"/>
              <w:bottom w:val="single" w:sz="4" w:space="0" w:color="auto"/>
            </w:tcBorders>
            <w:noWrap/>
            <w:hideMark/>
          </w:tcPr>
          <w:p w:rsidR="00682A88" w:rsidRPr="00CF3673" w:rsidRDefault="00682A88" w:rsidP="00682A88">
            <w:pPr>
              <w:jc w:val="center"/>
            </w:pPr>
            <w:r w:rsidRPr="00CF3673">
              <w:t>68.2</w:t>
            </w:r>
          </w:p>
        </w:tc>
        <w:tc>
          <w:tcPr>
            <w:tcW w:w="1740" w:type="dxa"/>
            <w:tcBorders>
              <w:top w:val="nil"/>
              <w:bottom w:val="single" w:sz="4" w:space="0" w:color="auto"/>
            </w:tcBorders>
          </w:tcPr>
          <w:p w:rsidR="00682A88" w:rsidRPr="00CF3673" w:rsidRDefault="00682A88" w:rsidP="00682A88">
            <w:pPr>
              <w:jc w:val="center"/>
            </w:pPr>
            <w:r w:rsidRPr="00CF3673">
              <w:t>26.0</w:t>
            </w:r>
          </w:p>
        </w:tc>
        <w:tc>
          <w:tcPr>
            <w:tcW w:w="1605" w:type="dxa"/>
            <w:tcBorders>
              <w:top w:val="nil"/>
              <w:bottom w:val="single" w:sz="4" w:space="0" w:color="auto"/>
            </w:tcBorders>
            <w:noWrap/>
            <w:hideMark/>
          </w:tcPr>
          <w:p w:rsidR="00682A88" w:rsidRPr="00CF3673" w:rsidRDefault="00682A88" w:rsidP="00682A88">
            <w:pPr>
              <w:jc w:val="center"/>
            </w:pPr>
            <w:r w:rsidRPr="00CF3673">
              <w:t>3.2</w:t>
            </w:r>
          </w:p>
        </w:tc>
        <w:tc>
          <w:tcPr>
            <w:tcW w:w="1739" w:type="dxa"/>
            <w:tcBorders>
              <w:top w:val="nil"/>
              <w:bottom w:val="single" w:sz="4" w:space="0" w:color="auto"/>
            </w:tcBorders>
            <w:noWrap/>
            <w:hideMark/>
          </w:tcPr>
          <w:p w:rsidR="00682A88" w:rsidRPr="00CF3673" w:rsidRDefault="00682A88" w:rsidP="00682A88">
            <w:pPr>
              <w:jc w:val="center"/>
            </w:pPr>
            <w:r w:rsidRPr="00CF3673">
              <w:t>15.1</w:t>
            </w:r>
          </w:p>
        </w:tc>
        <w:tc>
          <w:tcPr>
            <w:tcW w:w="1225" w:type="dxa"/>
            <w:tcBorders>
              <w:top w:val="nil"/>
              <w:bottom w:val="single" w:sz="4" w:space="0" w:color="auto"/>
            </w:tcBorders>
            <w:noWrap/>
            <w:hideMark/>
          </w:tcPr>
          <w:p w:rsidR="00682A88" w:rsidRPr="00CF3673" w:rsidRDefault="00682A88" w:rsidP="00682A88">
            <w:pPr>
              <w:jc w:val="center"/>
            </w:pPr>
            <w:r w:rsidRPr="00CF3673">
              <w:t>83</w:t>
            </w:r>
          </w:p>
        </w:tc>
      </w:tr>
      <w:tr w:rsidR="00682A88" w:rsidRPr="00CF3673" w:rsidTr="00682A88">
        <w:trPr>
          <w:trHeight w:val="305"/>
          <w:jc w:val="center"/>
        </w:trPr>
        <w:tc>
          <w:tcPr>
            <w:tcW w:w="1450" w:type="dxa"/>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Maputo</w:t>
            </w:r>
          </w:p>
        </w:tc>
        <w:tc>
          <w:tcPr>
            <w:tcW w:w="1122" w:type="dxa"/>
            <w:tcBorders>
              <w:top w:val="single" w:sz="4" w:space="0" w:color="auto"/>
            </w:tcBorders>
            <w:noWrap/>
            <w:hideMark/>
          </w:tcPr>
          <w:p w:rsidR="00682A88" w:rsidRPr="00CF3673" w:rsidRDefault="00682A88" w:rsidP="00682A88">
            <w:pPr>
              <w:jc w:val="center"/>
            </w:pPr>
            <w:r w:rsidRPr="00CF3673">
              <w:t>17.2</w:t>
            </w:r>
          </w:p>
        </w:tc>
        <w:tc>
          <w:tcPr>
            <w:tcW w:w="1740" w:type="dxa"/>
            <w:tcBorders>
              <w:top w:val="single" w:sz="4" w:space="0" w:color="auto"/>
            </w:tcBorders>
          </w:tcPr>
          <w:p w:rsidR="00682A88" w:rsidRPr="00CF3673" w:rsidRDefault="00682A88" w:rsidP="00682A88">
            <w:pPr>
              <w:jc w:val="center"/>
            </w:pPr>
            <w:r w:rsidRPr="00CF3673">
              <w:t>18.5</w:t>
            </w:r>
          </w:p>
        </w:tc>
        <w:tc>
          <w:tcPr>
            <w:tcW w:w="1605" w:type="dxa"/>
            <w:tcBorders>
              <w:top w:val="single" w:sz="4" w:space="0" w:color="auto"/>
            </w:tcBorders>
            <w:noWrap/>
            <w:hideMark/>
          </w:tcPr>
          <w:p w:rsidR="00682A88" w:rsidRPr="00CF3673" w:rsidRDefault="00682A88" w:rsidP="00682A88">
            <w:pPr>
              <w:jc w:val="center"/>
            </w:pPr>
            <w:r w:rsidRPr="00CF3673">
              <w:t>0.0</w:t>
            </w:r>
          </w:p>
        </w:tc>
        <w:tc>
          <w:tcPr>
            <w:tcW w:w="1739" w:type="dxa"/>
            <w:tcBorders>
              <w:top w:val="single" w:sz="4" w:space="0" w:color="auto"/>
            </w:tcBorders>
            <w:noWrap/>
            <w:hideMark/>
          </w:tcPr>
          <w:p w:rsidR="00682A88" w:rsidRPr="00CF3673" w:rsidRDefault="00682A88" w:rsidP="00682A88">
            <w:pPr>
              <w:jc w:val="center"/>
            </w:pPr>
            <w:r w:rsidRPr="00CF3673">
              <w:t>8.3</w:t>
            </w:r>
          </w:p>
        </w:tc>
        <w:tc>
          <w:tcPr>
            <w:tcW w:w="1225" w:type="dxa"/>
            <w:tcBorders>
              <w:top w:val="single" w:sz="4" w:space="0" w:color="auto"/>
            </w:tcBorders>
            <w:noWrap/>
            <w:hideMark/>
          </w:tcPr>
          <w:p w:rsidR="00682A88" w:rsidRPr="00CF3673" w:rsidRDefault="00682A88" w:rsidP="00682A88">
            <w:pPr>
              <w:jc w:val="center"/>
            </w:pPr>
            <w:r w:rsidRPr="00CF3673">
              <w:t>262</w:t>
            </w:r>
          </w:p>
        </w:tc>
      </w:tr>
      <w:tr w:rsidR="00682A88" w:rsidRPr="00CF3673" w:rsidTr="00682A88">
        <w:trPr>
          <w:trHeight w:val="305"/>
          <w:jc w:val="center"/>
        </w:trPr>
        <w:tc>
          <w:tcPr>
            <w:tcW w:w="145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Matola</w:t>
            </w:r>
          </w:p>
        </w:tc>
        <w:tc>
          <w:tcPr>
            <w:tcW w:w="1122" w:type="dxa"/>
            <w:noWrap/>
            <w:hideMark/>
          </w:tcPr>
          <w:p w:rsidR="00682A88" w:rsidRPr="00CF3673" w:rsidRDefault="00682A88" w:rsidP="00682A88">
            <w:pPr>
              <w:jc w:val="center"/>
            </w:pPr>
            <w:r w:rsidRPr="00CF3673">
              <w:t>69.5</w:t>
            </w:r>
          </w:p>
        </w:tc>
        <w:tc>
          <w:tcPr>
            <w:tcW w:w="1740" w:type="dxa"/>
          </w:tcPr>
          <w:p w:rsidR="00682A88" w:rsidRPr="00CF3673" w:rsidRDefault="00682A88" w:rsidP="00682A88">
            <w:pPr>
              <w:jc w:val="center"/>
            </w:pPr>
            <w:r w:rsidRPr="00CF3673">
              <w:t>24.3</w:t>
            </w:r>
          </w:p>
        </w:tc>
        <w:tc>
          <w:tcPr>
            <w:tcW w:w="1605" w:type="dxa"/>
            <w:noWrap/>
            <w:hideMark/>
          </w:tcPr>
          <w:p w:rsidR="00682A88" w:rsidRPr="00CF3673" w:rsidRDefault="00682A88" w:rsidP="00682A88">
            <w:pPr>
              <w:jc w:val="center"/>
            </w:pPr>
            <w:r w:rsidRPr="00CF3673">
              <w:t>0.0</w:t>
            </w:r>
          </w:p>
        </w:tc>
        <w:tc>
          <w:tcPr>
            <w:tcW w:w="1739" w:type="dxa"/>
            <w:noWrap/>
            <w:hideMark/>
          </w:tcPr>
          <w:p w:rsidR="00682A88" w:rsidRPr="00CF3673" w:rsidRDefault="00682A88" w:rsidP="00682A88">
            <w:pPr>
              <w:jc w:val="center"/>
            </w:pPr>
            <w:r w:rsidRPr="00CF3673">
              <w:t>22.1</w:t>
            </w:r>
          </w:p>
        </w:tc>
        <w:tc>
          <w:tcPr>
            <w:tcW w:w="1225" w:type="dxa"/>
            <w:noWrap/>
            <w:hideMark/>
          </w:tcPr>
          <w:p w:rsidR="00682A88" w:rsidRPr="00CF3673" w:rsidRDefault="00682A88" w:rsidP="00682A88">
            <w:pPr>
              <w:jc w:val="center"/>
            </w:pPr>
            <w:r w:rsidRPr="00CF3673">
              <w:t>68</w:t>
            </w:r>
          </w:p>
        </w:tc>
      </w:tr>
      <w:tr w:rsidR="00682A88" w:rsidRPr="00CF3673" w:rsidTr="00682A88">
        <w:trPr>
          <w:trHeight w:val="305"/>
          <w:jc w:val="center"/>
        </w:trPr>
        <w:tc>
          <w:tcPr>
            <w:tcW w:w="145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Beira</w:t>
            </w:r>
          </w:p>
        </w:tc>
        <w:tc>
          <w:tcPr>
            <w:tcW w:w="1122" w:type="dxa"/>
            <w:noWrap/>
            <w:hideMark/>
          </w:tcPr>
          <w:p w:rsidR="00682A88" w:rsidRPr="00CF3673" w:rsidRDefault="00682A88" w:rsidP="00682A88">
            <w:pPr>
              <w:jc w:val="center"/>
            </w:pPr>
            <w:r w:rsidRPr="00CF3673">
              <w:t>22.7</w:t>
            </w:r>
          </w:p>
        </w:tc>
        <w:tc>
          <w:tcPr>
            <w:tcW w:w="1740" w:type="dxa"/>
          </w:tcPr>
          <w:p w:rsidR="00682A88" w:rsidRPr="00CF3673" w:rsidRDefault="00682A88" w:rsidP="00682A88">
            <w:pPr>
              <w:jc w:val="center"/>
            </w:pPr>
            <w:r w:rsidRPr="00CF3673">
              <w:t>24.9</w:t>
            </w:r>
          </w:p>
        </w:tc>
        <w:tc>
          <w:tcPr>
            <w:tcW w:w="1605" w:type="dxa"/>
            <w:noWrap/>
            <w:hideMark/>
          </w:tcPr>
          <w:p w:rsidR="00682A88" w:rsidRPr="00CF3673" w:rsidRDefault="00682A88" w:rsidP="00682A88">
            <w:pPr>
              <w:jc w:val="center"/>
            </w:pPr>
            <w:r w:rsidRPr="00CF3673">
              <w:t>0.0</w:t>
            </w:r>
          </w:p>
        </w:tc>
        <w:tc>
          <w:tcPr>
            <w:tcW w:w="1739" w:type="dxa"/>
            <w:noWrap/>
            <w:hideMark/>
          </w:tcPr>
          <w:p w:rsidR="00682A88" w:rsidRPr="00CF3673" w:rsidRDefault="00682A88" w:rsidP="00682A88">
            <w:pPr>
              <w:jc w:val="center"/>
            </w:pPr>
            <w:r w:rsidRPr="00CF3673">
              <w:t>10.6</w:t>
            </w:r>
          </w:p>
        </w:tc>
        <w:tc>
          <w:tcPr>
            <w:tcW w:w="1225" w:type="dxa"/>
            <w:noWrap/>
            <w:hideMark/>
          </w:tcPr>
          <w:p w:rsidR="00682A88" w:rsidRPr="00CF3673" w:rsidRDefault="00682A88" w:rsidP="00682A88">
            <w:pPr>
              <w:jc w:val="center"/>
            </w:pPr>
            <w:r w:rsidRPr="00CF3673">
              <w:t>143</w:t>
            </w:r>
          </w:p>
        </w:tc>
      </w:tr>
      <w:tr w:rsidR="00682A88" w:rsidRPr="00CF3673" w:rsidTr="00682A88">
        <w:trPr>
          <w:trHeight w:val="305"/>
          <w:jc w:val="center"/>
        </w:trPr>
        <w:tc>
          <w:tcPr>
            <w:tcW w:w="145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Nampula</w:t>
            </w:r>
          </w:p>
        </w:tc>
        <w:tc>
          <w:tcPr>
            <w:tcW w:w="1122" w:type="dxa"/>
            <w:noWrap/>
            <w:hideMark/>
          </w:tcPr>
          <w:p w:rsidR="00682A88" w:rsidRPr="00CF3673" w:rsidRDefault="00682A88" w:rsidP="00682A88">
            <w:pPr>
              <w:jc w:val="center"/>
            </w:pPr>
            <w:r w:rsidRPr="00CF3673">
              <w:t>9.7</w:t>
            </w:r>
          </w:p>
        </w:tc>
        <w:tc>
          <w:tcPr>
            <w:tcW w:w="1740" w:type="dxa"/>
          </w:tcPr>
          <w:p w:rsidR="00682A88" w:rsidRPr="00CF3673" w:rsidRDefault="00682A88" w:rsidP="00682A88">
            <w:pPr>
              <w:jc w:val="center"/>
            </w:pPr>
            <w:r w:rsidRPr="00CF3673">
              <w:t>9.7</w:t>
            </w:r>
          </w:p>
        </w:tc>
        <w:tc>
          <w:tcPr>
            <w:tcW w:w="1605" w:type="dxa"/>
            <w:noWrap/>
            <w:hideMark/>
          </w:tcPr>
          <w:p w:rsidR="00682A88" w:rsidRPr="00CF3673" w:rsidRDefault="00682A88" w:rsidP="00682A88">
            <w:pPr>
              <w:jc w:val="center"/>
            </w:pPr>
            <w:r w:rsidRPr="00CF3673">
              <w:t>0.0</w:t>
            </w:r>
          </w:p>
        </w:tc>
        <w:tc>
          <w:tcPr>
            <w:tcW w:w="1739" w:type="dxa"/>
            <w:noWrap/>
            <w:hideMark/>
          </w:tcPr>
          <w:p w:rsidR="00682A88" w:rsidRPr="00CF3673" w:rsidRDefault="00682A88" w:rsidP="00682A88">
            <w:pPr>
              <w:jc w:val="center"/>
            </w:pPr>
            <w:r w:rsidRPr="00CF3673">
              <w:t>25.5</w:t>
            </w:r>
          </w:p>
        </w:tc>
        <w:tc>
          <w:tcPr>
            <w:tcW w:w="1225" w:type="dxa"/>
            <w:noWrap/>
            <w:hideMark/>
          </w:tcPr>
          <w:p w:rsidR="00682A88" w:rsidRPr="00CF3673" w:rsidRDefault="00682A88" w:rsidP="00682A88">
            <w:pPr>
              <w:jc w:val="center"/>
            </w:pPr>
            <w:r w:rsidRPr="00CF3673">
              <w:t>47</w:t>
            </w:r>
          </w:p>
        </w:tc>
      </w:tr>
      <w:tr w:rsidR="00682A88" w:rsidRPr="00CF3673" w:rsidTr="00682A88">
        <w:trPr>
          <w:trHeight w:val="305"/>
          <w:jc w:val="center"/>
        </w:trPr>
        <w:tc>
          <w:tcPr>
            <w:tcW w:w="145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Nacala</w:t>
            </w:r>
          </w:p>
        </w:tc>
        <w:tc>
          <w:tcPr>
            <w:tcW w:w="1122" w:type="dxa"/>
            <w:noWrap/>
            <w:hideMark/>
          </w:tcPr>
          <w:p w:rsidR="00682A88" w:rsidRPr="00CF3673" w:rsidRDefault="00682A88" w:rsidP="00682A88">
            <w:pPr>
              <w:jc w:val="center"/>
            </w:pPr>
            <w:r w:rsidRPr="00CF3673">
              <w:t>17.5</w:t>
            </w:r>
          </w:p>
        </w:tc>
        <w:tc>
          <w:tcPr>
            <w:tcW w:w="1740" w:type="dxa"/>
          </w:tcPr>
          <w:p w:rsidR="00682A88" w:rsidRPr="00CF3673" w:rsidRDefault="00682A88" w:rsidP="00682A88">
            <w:pPr>
              <w:jc w:val="center"/>
            </w:pPr>
            <w:r w:rsidRPr="00CF3673">
              <w:t>17.5</w:t>
            </w:r>
          </w:p>
        </w:tc>
        <w:tc>
          <w:tcPr>
            <w:tcW w:w="1605" w:type="dxa"/>
            <w:noWrap/>
            <w:hideMark/>
          </w:tcPr>
          <w:p w:rsidR="00682A88" w:rsidRPr="00CF3673" w:rsidRDefault="00682A88" w:rsidP="00682A88">
            <w:pPr>
              <w:jc w:val="center"/>
            </w:pPr>
            <w:r w:rsidRPr="00CF3673">
              <w:t>0.0</w:t>
            </w:r>
          </w:p>
        </w:tc>
        <w:tc>
          <w:tcPr>
            <w:tcW w:w="1739" w:type="dxa"/>
            <w:noWrap/>
            <w:hideMark/>
          </w:tcPr>
          <w:p w:rsidR="00682A88" w:rsidRPr="00CF3673" w:rsidRDefault="00682A88" w:rsidP="00682A88">
            <w:pPr>
              <w:jc w:val="center"/>
            </w:pPr>
            <w:r w:rsidRPr="00CF3673">
              <w:t>-6.3</w:t>
            </w:r>
          </w:p>
        </w:tc>
        <w:tc>
          <w:tcPr>
            <w:tcW w:w="1225" w:type="dxa"/>
            <w:noWrap/>
            <w:hideMark/>
          </w:tcPr>
          <w:p w:rsidR="00682A88" w:rsidRPr="00CF3673" w:rsidRDefault="00682A88" w:rsidP="00682A88">
            <w:pPr>
              <w:jc w:val="center"/>
            </w:pPr>
            <w:r w:rsidRPr="00CF3673">
              <w:t>23</w:t>
            </w:r>
          </w:p>
        </w:tc>
      </w:tr>
      <w:tr w:rsidR="00682A88" w:rsidRPr="00CF3673" w:rsidTr="00682A88">
        <w:trPr>
          <w:trHeight w:val="305"/>
          <w:jc w:val="center"/>
        </w:trPr>
        <w:tc>
          <w:tcPr>
            <w:tcW w:w="145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Chimoio</w:t>
            </w:r>
          </w:p>
        </w:tc>
        <w:tc>
          <w:tcPr>
            <w:tcW w:w="1122" w:type="dxa"/>
            <w:noWrap/>
            <w:hideMark/>
          </w:tcPr>
          <w:p w:rsidR="00682A88" w:rsidRPr="00CF3673" w:rsidRDefault="00682A88" w:rsidP="00682A88">
            <w:pPr>
              <w:jc w:val="center"/>
            </w:pPr>
            <w:r w:rsidRPr="00CF3673">
              <w:t>32.2</w:t>
            </w:r>
          </w:p>
        </w:tc>
        <w:tc>
          <w:tcPr>
            <w:tcW w:w="1740" w:type="dxa"/>
          </w:tcPr>
          <w:p w:rsidR="00682A88" w:rsidRPr="00CF3673" w:rsidRDefault="00682A88" w:rsidP="00682A88">
            <w:pPr>
              <w:jc w:val="center"/>
            </w:pPr>
            <w:r w:rsidRPr="00CF3673">
              <w:t>19.1</w:t>
            </w:r>
          </w:p>
        </w:tc>
        <w:tc>
          <w:tcPr>
            <w:tcW w:w="1605" w:type="dxa"/>
            <w:noWrap/>
            <w:hideMark/>
          </w:tcPr>
          <w:p w:rsidR="00682A88" w:rsidRPr="00CF3673" w:rsidRDefault="00682A88" w:rsidP="00682A88">
            <w:pPr>
              <w:jc w:val="center"/>
            </w:pPr>
            <w:r w:rsidRPr="00CF3673">
              <w:t>0.0</w:t>
            </w:r>
          </w:p>
        </w:tc>
        <w:tc>
          <w:tcPr>
            <w:tcW w:w="1739" w:type="dxa"/>
            <w:noWrap/>
            <w:hideMark/>
          </w:tcPr>
          <w:p w:rsidR="00682A88" w:rsidRPr="00CF3673" w:rsidRDefault="00682A88" w:rsidP="00682A88">
            <w:pPr>
              <w:jc w:val="center"/>
            </w:pPr>
            <w:r w:rsidRPr="00CF3673">
              <w:t>6.8</w:t>
            </w:r>
          </w:p>
        </w:tc>
        <w:tc>
          <w:tcPr>
            <w:tcW w:w="1225" w:type="dxa"/>
            <w:noWrap/>
            <w:hideMark/>
          </w:tcPr>
          <w:p w:rsidR="00682A88" w:rsidRPr="00CF3673" w:rsidRDefault="00682A88" w:rsidP="00682A88">
            <w:pPr>
              <w:jc w:val="center"/>
            </w:pPr>
            <w:r w:rsidRPr="00CF3673">
              <w:t>85</w:t>
            </w:r>
          </w:p>
        </w:tc>
      </w:tr>
      <w:tr w:rsidR="00682A88" w:rsidRPr="00CF3673" w:rsidTr="00682A88">
        <w:trPr>
          <w:trHeight w:val="305"/>
          <w:jc w:val="center"/>
        </w:trPr>
        <w:tc>
          <w:tcPr>
            <w:tcW w:w="145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Tete</w:t>
            </w:r>
          </w:p>
        </w:tc>
        <w:tc>
          <w:tcPr>
            <w:tcW w:w="1122" w:type="dxa"/>
            <w:noWrap/>
            <w:hideMark/>
          </w:tcPr>
          <w:p w:rsidR="00682A88" w:rsidRPr="00CF3673" w:rsidRDefault="00682A88" w:rsidP="00682A88">
            <w:pPr>
              <w:jc w:val="center"/>
            </w:pPr>
            <w:r w:rsidRPr="00CF3673">
              <w:t>22.5</w:t>
            </w:r>
          </w:p>
        </w:tc>
        <w:tc>
          <w:tcPr>
            <w:tcW w:w="1740" w:type="dxa"/>
          </w:tcPr>
          <w:p w:rsidR="00682A88" w:rsidRPr="00CF3673" w:rsidRDefault="00682A88" w:rsidP="00682A88">
            <w:pPr>
              <w:jc w:val="center"/>
            </w:pPr>
            <w:r w:rsidRPr="00CF3673">
              <w:t>22.5</w:t>
            </w:r>
          </w:p>
        </w:tc>
        <w:tc>
          <w:tcPr>
            <w:tcW w:w="1605" w:type="dxa"/>
            <w:noWrap/>
            <w:hideMark/>
          </w:tcPr>
          <w:p w:rsidR="00682A88" w:rsidRPr="00CF3673" w:rsidRDefault="00682A88" w:rsidP="00682A88">
            <w:pPr>
              <w:jc w:val="center"/>
            </w:pPr>
            <w:r w:rsidRPr="00CF3673">
              <w:t>0.0</w:t>
            </w:r>
          </w:p>
        </w:tc>
        <w:tc>
          <w:tcPr>
            <w:tcW w:w="1739" w:type="dxa"/>
            <w:noWrap/>
            <w:hideMark/>
          </w:tcPr>
          <w:p w:rsidR="00682A88" w:rsidRPr="00CF3673" w:rsidRDefault="00682A88" w:rsidP="00682A88">
            <w:pPr>
              <w:jc w:val="center"/>
            </w:pPr>
            <w:r w:rsidRPr="00CF3673">
              <w:t>2.8</w:t>
            </w:r>
          </w:p>
        </w:tc>
        <w:tc>
          <w:tcPr>
            <w:tcW w:w="1225" w:type="dxa"/>
            <w:noWrap/>
            <w:hideMark/>
          </w:tcPr>
          <w:p w:rsidR="00682A88" w:rsidRPr="00CF3673" w:rsidRDefault="00682A88" w:rsidP="00682A88">
            <w:pPr>
              <w:jc w:val="center"/>
            </w:pPr>
            <w:r w:rsidRPr="00CF3673">
              <w:t>36</w:t>
            </w:r>
          </w:p>
        </w:tc>
      </w:tr>
      <w:tr w:rsidR="00682A88" w:rsidRPr="00CF3673" w:rsidTr="00682A88">
        <w:trPr>
          <w:trHeight w:val="305"/>
          <w:jc w:val="center"/>
        </w:trPr>
        <w:tc>
          <w:tcPr>
            <w:tcW w:w="1450" w:type="dxa"/>
            <w:noWrap/>
            <w:hideMark/>
          </w:tcPr>
          <w:p w:rsidR="00682A88" w:rsidRPr="00CF3673" w:rsidRDefault="00682A88" w:rsidP="00682A88">
            <w:pPr>
              <w:rPr>
                <w:rFonts w:ascii="Calibri" w:eastAsia="Times New Roman" w:hAnsi="Calibri" w:cs="Times New Roman"/>
                <w:lang w:eastAsia="zh-CN"/>
              </w:rPr>
            </w:pPr>
            <w:proofErr w:type="spellStart"/>
            <w:r w:rsidRPr="00CF3673">
              <w:rPr>
                <w:rFonts w:ascii="Calibri" w:eastAsia="Times New Roman" w:hAnsi="Calibri" w:cs="Times New Roman"/>
                <w:lang w:eastAsia="zh-CN"/>
              </w:rPr>
              <w:t>Moatize</w:t>
            </w:r>
            <w:proofErr w:type="spellEnd"/>
          </w:p>
        </w:tc>
        <w:tc>
          <w:tcPr>
            <w:tcW w:w="1122" w:type="dxa"/>
            <w:noWrap/>
            <w:hideMark/>
          </w:tcPr>
          <w:p w:rsidR="00682A88" w:rsidRPr="00CF3673" w:rsidRDefault="00682A88" w:rsidP="00682A88">
            <w:pPr>
              <w:jc w:val="center"/>
            </w:pPr>
            <w:r w:rsidRPr="00CF3673">
              <w:t>52.2</w:t>
            </w:r>
          </w:p>
        </w:tc>
        <w:tc>
          <w:tcPr>
            <w:tcW w:w="1740" w:type="dxa"/>
          </w:tcPr>
          <w:p w:rsidR="00682A88" w:rsidRPr="00CF3673" w:rsidRDefault="00682A88" w:rsidP="00682A88">
            <w:pPr>
              <w:jc w:val="center"/>
            </w:pPr>
            <w:r w:rsidRPr="00CF3673">
              <w:t>59.9</w:t>
            </w:r>
          </w:p>
        </w:tc>
        <w:tc>
          <w:tcPr>
            <w:tcW w:w="1605" w:type="dxa"/>
            <w:noWrap/>
            <w:hideMark/>
          </w:tcPr>
          <w:p w:rsidR="00682A88" w:rsidRPr="00CF3673" w:rsidRDefault="00682A88" w:rsidP="00682A88">
            <w:pPr>
              <w:jc w:val="center"/>
            </w:pPr>
            <w:r w:rsidRPr="00CF3673">
              <w:t>50.0</w:t>
            </w:r>
          </w:p>
        </w:tc>
        <w:tc>
          <w:tcPr>
            <w:tcW w:w="1739" w:type="dxa"/>
            <w:noWrap/>
            <w:hideMark/>
          </w:tcPr>
          <w:p w:rsidR="00682A88" w:rsidRPr="00CF3673" w:rsidRDefault="00682A88" w:rsidP="00682A88">
            <w:pPr>
              <w:jc w:val="center"/>
            </w:pPr>
            <w:r w:rsidRPr="00CF3673">
              <w:t>32.3</w:t>
            </w:r>
          </w:p>
        </w:tc>
        <w:tc>
          <w:tcPr>
            <w:tcW w:w="1225" w:type="dxa"/>
            <w:noWrap/>
            <w:hideMark/>
          </w:tcPr>
          <w:p w:rsidR="00682A88" w:rsidRPr="00CF3673" w:rsidRDefault="00682A88" w:rsidP="00682A88">
            <w:pPr>
              <w:jc w:val="center"/>
            </w:pPr>
            <w:r w:rsidRPr="00CF3673">
              <w:t>16</w:t>
            </w:r>
          </w:p>
        </w:tc>
      </w:tr>
      <w:tr w:rsidR="00682A88" w:rsidRPr="00CF3673" w:rsidTr="00682A88">
        <w:trPr>
          <w:trHeight w:val="305"/>
          <w:jc w:val="center"/>
        </w:trPr>
        <w:tc>
          <w:tcPr>
            <w:tcW w:w="1450" w:type="dxa"/>
            <w:noWrap/>
            <w:hideMark/>
          </w:tcPr>
          <w:p w:rsidR="00682A88" w:rsidRPr="00CF3673" w:rsidRDefault="00682A88" w:rsidP="00682A88">
            <w:pPr>
              <w:rPr>
                <w:rFonts w:ascii="Calibri" w:eastAsia="Times New Roman" w:hAnsi="Calibri" w:cs="Times New Roman"/>
                <w:lang w:eastAsia="zh-CN"/>
              </w:rPr>
            </w:pPr>
            <w:proofErr w:type="spellStart"/>
            <w:r w:rsidRPr="00CF3673">
              <w:rPr>
                <w:rFonts w:ascii="Calibri" w:eastAsia="Times New Roman" w:hAnsi="Calibri" w:cs="Times New Roman"/>
                <w:lang w:eastAsia="zh-CN"/>
              </w:rPr>
              <w:t>Xai-Xai</w:t>
            </w:r>
            <w:proofErr w:type="spellEnd"/>
          </w:p>
        </w:tc>
        <w:tc>
          <w:tcPr>
            <w:tcW w:w="1122" w:type="dxa"/>
            <w:noWrap/>
            <w:hideMark/>
          </w:tcPr>
          <w:p w:rsidR="00682A88" w:rsidRPr="00CF3673" w:rsidRDefault="00682A88" w:rsidP="00682A88">
            <w:pPr>
              <w:jc w:val="center"/>
            </w:pPr>
            <w:r w:rsidRPr="00CF3673">
              <w:t>22.5</w:t>
            </w:r>
          </w:p>
        </w:tc>
        <w:tc>
          <w:tcPr>
            <w:tcW w:w="1740" w:type="dxa"/>
          </w:tcPr>
          <w:p w:rsidR="00682A88" w:rsidRPr="00CF3673" w:rsidRDefault="00682A88" w:rsidP="00682A88">
            <w:pPr>
              <w:jc w:val="center"/>
            </w:pPr>
            <w:r w:rsidRPr="00CF3673">
              <w:t>22.5</w:t>
            </w:r>
          </w:p>
        </w:tc>
        <w:tc>
          <w:tcPr>
            <w:tcW w:w="1605" w:type="dxa"/>
            <w:noWrap/>
            <w:hideMark/>
          </w:tcPr>
          <w:p w:rsidR="00682A88" w:rsidRPr="00CF3673" w:rsidRDefault="00682A88" w:rsidP="00682A88">
            <w:pPr>
              <w:jc w:val="center"/>
            </w:pPr>
            <w:r w:rsidRPr="00CF3673">
              <w:t>0.0</w:t>
            </w:r>
          </w:p>
        </w:tc>
        <w:tc>
          <w:tcPr>
            <w:tcW w:w="1739" w:type="dxa"/>
            <w:noWrap/>
            <w:hideMark/>
          </w:tcPr>
          <w:p w:rsidR="00682A88" w:rsidRPr="00CF3673" w:rsidRDefault="00682A88" w:rsidP="00682A88">
            <w:pPr>
              <w:jc w:val="center"/>
            </w:pPr>
            <w:r w:rsidRPr="00CF3673">
              <w:t>4.1</w:t>
            </w:r>
          </w:p>
        </w:tc>
        <w:tc>
          <w:tcPr>
            <w:tcW w:w="1225" w:type="dxa"/>
            <w:noWrap/>
            <w:hideMark/>
          </w:tcPr>
          <w:p w:rsidR="00682A88" w:rsidRPr="00CF3673" w:rsidRDefault="00682A88" w:rsidP="00682A88">
            <w:pPr>
              <w:jc w:val="center"/>
            </w:pPr>
            <w:r w:rsidRPr="00CF3673">
              <w:t>44</w:t>
            </w:r>
          </w:p>
        </w:tc>
      </w:tr>
      <w:tr w:rsidR="00682A88" w:rsidRPr="00CF3673" w:rsidTr="00682A88">
        <w:trPr>
          <w:trHeight w:val="305"/>
          <w:jc w:val="center"/>
        </w:trPr>
        <w:tc>
          <w:tcPr>
            <w:tcW w:w="1450" w:type="dxa"/>
            <w:tcBorders>
              <w:bottom w:val="double" w:sz="4" w:space="0" w:color="auto"/>
            </w:tcBorders>
            <w:noWrap/>
            <w:hideMark/>
          </w:tcPr>
          <w:p w:rsidR="00682A88" w:rsidRPr="00CF3673" w:rsidRDefault="006A4724" w:rsidP="00682A88">
            <w:pPr>
              <w:rPr>
                <w:rFonts w:ascii="Calibri" w:eastAsia="Times New Roman" w:hAnsi="Calibri" w:cs="Times New Roman"/>
                <w:lang w:eastAsia="zh-CN"/>
              </w:rPr>
            </w:pPr>
            <w:proofErr w:type="spellStart"/>
            <w:r w:rsidRPr="00CF3673">
              <w:rPr>
                <w:rFonts w:ascii="Calibri" w:eastAsia="Times New Roman" w:hAnsi="Calibri" w:cs="Times New Roman"/>
                <w:lang w:eastAsia="zh-CN"/>
              </w:rPr>
              <w:t>Chókwe</w:t>
            </w:r>
            <w:proofErr w:type="spellEnd"/>
          </w:p>
        </w:tc>
        <w:tc>
          <w:tcPr>
            <w:tcW w:w="1122" w:type="dxa"/>
            <w:tcBorders>
              <w:bottom w:val="double" w:sz="4" w:space="0" w:color="auto"/>
            </w:tcBorders>
            <w:noWrap/>
            <w:hideMark/>
          </w:tcPr>
          <w:p w:rsidR="00682A88" w:rsidRPr="00CF3673" w:rsidRDefault="00682A88" w:rsidP="00682A88">
            <w:pPr>
              <w:jc w:val="center"/>
            </w:pPr>
            <w:r w:rsidRPr="00CF3673">
              <w:t>28.7</w:t>
            </w:r>
          </w:p>
        </w:tc>
        <w:tc>
          <w:tcPr>
            <w:tcW w:w="1740" w:type="dxa"/>
            <w:tcBorders>
              <w:bottom w:val="double" w:sz="4" w:space="0" w:color="auto"/>
            </w:tcBorders>
          </w:tcPr>
          <w:p w:rsidR="00682A88" w:rsidRPr="00CF3673" w:rsidRDefault="00682A88" w:rsidP="00682A88">
            <w:pPr>
              <w:jc w:val="center"/>
            </w:pPr>
            <w:r w:rsidRPr="00CF3673">
              <w:t>15.5</w:t>
            </w:r>
          </w:p>
        </w:tc>
        <w:tc>
          <w:tcPr>
            <w:tcW w:w="1605" w:type="dxa"/>
            <w:tcBorders>
              <w:bottom w:val="double" w:sz="4" w:space="0" w:color="auto"/>
            </w:tcBorders>
            <w:noWrap/>
            <w:hideMark/>
          </w:tcPr>
          <w:p w:rsidR="00682A88" w:rsidRPr="00CF3673" w:rsidRDefault="00682A88" w:rsidP="00682A88">
            <w:pPr>
              <w:jc w:val="center"/>
            </w:pPr>
            <w:r w:rsidRPr="00CF3673">
              <w:t>0.0</w:t>
            </w:r>
          </w:p>
        </w:tc>
        <w:tc>
          <w:tcPr>
            <w:tcW w:w="1739" w:type="dxa"/>
            <w:tcBorders>
              <w:bottom w:val="double" w:sz="4" w:space="0" w:color="auto"/>
            </w:tcBorders>
            <w:noWrap/>
            <w:hideMark/>
          </w:tcPr>
          <w:p w:rsidR="00682A88" w:rsidRPr="00CF3673" w:rsidRDefault="00682A88" w:rsidP="00682A88">
            <w:pPr>
              <w:jc w:val="center"/>
            </w:pPr>
            <w:r w:rsidRPr="00CF3673">
              <w:t>11.5</w:t>
            </w:r>
          </w:p>
        </w:tc>
        <w:tc>
          <w:tcPr>
            <w:tcW w:w="1225" w:type="dxa"/>
            <w:tcBorders>
              <w:bottom w:val="double" w:sz="4" w:space="0" w:color="auto"/>
            </w:tcBorders>
            <w:noWrap/>
            <w:hideMark/>
          </w:tcPr>
          <w:p w:rsidR="00682A88" w:rsidRPr="00CF3673" w:rsidRDefault="00682A88" w:rsidP="00682A88">
            <w:pPr>
              <w:jc w:val="center"/>
            </w:pPr>
            <w:r w:rsidRPr="00CF3673">
              <w:t>29</w:t>
            </w:r>
          </w:p>
        </w:tc>
      </w:tr>
      <w:tr w:rsidR="00682A88" w:rsidRPr="00CF3673" w:rsidTr="00682A88">
        <w:trPr>
          <w:trHeight w:val="305"/>
          <w:jc w:val="center"/>
        </w:trPr>
        <w:tc>
          <w:tcPr>
            <w:tcW w:w="8881" w:type="dxa"/>
            <w:gridSpan w:val="6"/>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A coluna "Crescimento, o grupo como um todo", indica o crescimento do emprego de todas as empresas da categoria. * Na coluna sem valores discrepantes, os percentis 1 e 100 são excluídos. Categorias de tamanho em 2009, usado. Oito </w:t>
            </w:r>
            <w:r w:rsidR="006A4724" w:rsidRPr="00CF3673">
              <w:rPr>
                <w:lang w:val="pt-PT"/>
              </w:rPr>
              <w:t>observações</w:t>
            </w:r>
            <w:r w:rsidRPr="00CF3673">
              <w:rPr>
                <w:lang w:val="pt-PT"/>
              </w:rPr>
              <w:t xml:space="preserve"> em falta.</w:t>
            </w:r>
          </w:p>
        </w:tc>
      </w:tr>
      <w:tr w:rsidR="00682A88" w:rsidRPr="00CF3673" w:rsidTr="00682A88">
        <w:trPr>
          <w:trHeight w:val="305"/>
          <w:jc w:val="center"/>
        </w:trPr>
        <w:tc>
          <w:tcPr>
            <w:tcW w:w="8881" w:type="dxa"/>
            <w:gridSpan w:val="6"/>
            <w:tcBorders>
              <w:top w:val="nil"/>
              <w:bottom w:val="nil"/>
            </w:tcBorders>
            <w:noWrap/>
          </w:tcPr>
          <w:p w:rsidR="00682A88" w:rsidRPr="00CF3673" w:rsidRDefault="00682A88" w:rsidP="0083080D">
            <w:pPr>
              <w:pStyle w:val="Tablenote"/>
              <w:rPr>
                <w:b/>
                <w:lang w:val="pt-PT"/>
              </w:rPr>
            </w:pPr>
            <w:r w:rsidRPr="00CF3673">
              <w:rPr>
                <w:b/>
                <w:lang w:val="pt-PT"/>
              </w:rPr>
              <w:t>Fonte:</w:t>
            </w:r>
            <w:r w:rsidRPr="00CF3673">
              <w:rPr>
                <w:lang w:val="pt-PT"/>
              </w:rPr>
              <w:t xml:space="preserve"> Cálculos </w:t>
            </w:r>
            <w:r w:rsidR="0083080D" w:rsidRPr="00CF3673">
              <w:rPr>
                <w:lang w:val="pt-PT"/>
              </w:rPr>
              <w:t>dos autores</w:t>
            </w:r>
            <w:r w:rsidRPr="00CF3673">
              <w:rPr>
                <w:lang w:val="pt-PT"/>
              </w:rPr>
              <w:t xml:space="preserve">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lastRenderedPageBreak/>
        <w:t>Comparando-se as análises de crescimento 2006-2011 usando os dados do painel e crescimento 2009-2011 usando os dados de</w:t>
      </w:r>
      <w:r w:rsidR="0083080D" w:rsidRPr="00CF3673">
        <w:t xml:space="preserve"> </w:t>
      </w:r>
      <w:r w:rsidR="006A4724" w:rsidRPr="00CF3673">
        <w:t>análise</w:t>
      </w:r>
      <w:r w:rsidR="0083080D" w:rsidRPr="00CF3673">
        <w:t xml:space="preserve"> cruzada</w:t>
      </w:r>
      <w:r w:rsidRPr="00CF3673">
        <w:t xml:space="preserve"> , é difícil concluir qualquer coisa decisiva sobre a correlação entre o tamanho da empresa e o crescimento inicial, a formalidade e o crescimento. As empresas de capital estrangeiro </w:t>
      </w:r>
      <w:r w:rsidR="006A4724" w:rsidRPr="00CF3673">
        <w:t>saem</w:t>
      </w:r>
      <w:r w:rsidRPr="00CF3673">
        <w:t xml:space="preserve"> com taxas médias de crescimento mais altas em ambos os períodos. As empresas em Maputo geralmente têm taxas de crescimento mais baixas em ambos os períodos, enquanto as empresas na Beira experimentaram taxas de crescimento mais elevadas.</w:t>
      </w:r>
    </w:p>
    <w:p w:rsidR="00682A88" w:rsidRPr="00CF3673" w:rsidRDefault="00682A88" w:rsidP="00682A88">
      <w:pPr>
        <w:spacing w:line="360" w:lineRule="auto"/>
        <w:jc w:val="both"/>
      </w:pPr>
      <w:r w:rsidRPr="00CF3673">
        <w:t>Na Tabela 4.5, o crescimento do emprego para os diferentes sectores é investigado. Assim como no capítulo anterior, os sectores de alimentos e minerais não-metálicos têm crescido mais rapidamente do que a média da amostra como um todo, e os sectores de vestuário, produtos químicos , metais , máquinas e móveis têm vindo a crescer de forma mais modesta. O sector de madeira (especialmente serração ) e do sector de impressão foram crescendo rápido demais e, enquanto a taxa média de crescimento na indústria têxtil é muito alta, o sector como um todo é a redução do emprego. Isso indica que as pequenas empresas têxteis foram crescendo rapidamente , enquanto as maiores diminuíram , levando a uma diminuição do emprego para o sector como um todo.</w:t>
      </w:r>
    </w:p>
    <w:p w:rsidR="00682A88" w:rsidRPr="00CF3673" w:rsidRDefault="00682A88" w:rsidP="00682A88">
      <w:pPr>
        <w:spacing w:line="360" w:lineRule="auto"/>
        <w:jc w:val="both"/>
      </w:pPr>
      <w:r w:rsidRPr="00CF3673">
        <w:rPr>
          <w:b/>
        </w:rPr>
        <w:t>Tabela 4.5: Crescimento do emprego 2009-2011 por sector, %</w:t>
      </w:r>
      <w:r w:rsidRPr="00CF3673">
        <w:t>.</w:t>
      </w:r>
    </w:p>
    <w:tbl>
      <w:tblPr>
        <w:tblStyle w:val="StandardTable"/>
        <w:tblW w:w="0" w:type="auto"/>
        <w:jc w:val="center"/>
        <w:tblInd w:w="-799" w:type="dxa"/>
        <w:tblLook w:val="04A0" w:firstRow="1" w:lastRow="0" w:firstColumn="1" w:lastColumn="0" w:noHBand="0" w:noVBand="1"/>
      </w:tblPr>
      <w:tblGrid>
        <w:gridCol w:w="3446"/>
        <w:gridCol w:w="1734"/>
        <w:gridCol w:w="1809"/>
        <w:gridCol w:w="2600"/>
        <w:gridCol w:w="1064"/>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noWrap/>
          </w:tcPr>
          <w:p w:rsidR="00682A88" w:rsidRPr="00CF3673" w:rsidRDefault="00682A88" w:rsidP="00682A88">
            <w:pPr>
              <w:rPr>
                <w:rFonts w:ascii="Calibri" w:eastAsia="Times New Roman" w:hAnsi="Calibri" w:cs="Times New Roman"/>
                <w:lang w:eastAsia="zh-CN"/>
              </w:rPr>
            </w:pPr>
          </w:p>
        </w:tc>
        <w:tc>
          <w:tcPr>
            <w:tcW w:w="0" w:type="auto"/>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médio*</w:t>
            </w:r>
          </w:p>
        </w:tc>
        <w:tc>
          <w:tcPr>
            <w:tcW w:w="0" w:type="auto"/>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mediano</w:t>
            </w:r>
          </w:p>
        </w:tc>
        <w:tc>
          <w:tcPr>
            <w:tcW w:w="0" w:type="auto"/>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Crescimento, grupo como um todo</w:t>
            </w:r>
          </w:p>
        </w:tc>
        <w:tc>
          <w:tcPr>
            <w:tcW w:w="0" w:type="auto"/>
            <w:noWrap/>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Nº de obs.</w:t>
            </w:r>
          </w:p>
        </w:tc>
      </w:tr>
      <w:tr w:rsidR="00682A88" w:rsidRPr="00CF3673" w:rsidTr="00682A88">
        <w:trPr>
          <w:trHeight w:val="300"/>
          <w:jc w:val="center"/>
        </w:trPr>
        <w:tc>
          <w:tcPr>
            <w:tcW w:w="0" w:type="auto"/>
            <w:tcBorders>
              <w:top w:val="single" w:sz="4" w:space="0" w:color="auto"/>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Todos</w:t>
            </w:r>
          </w:p>
        </w:tc>
        <w:tc>
          <w:tcPr>
            <w:tcW w:w="0" w:type="auto"/>
            <w:tcBorders>
              <w:top w:val="single" w:sz="4" w:space="0" w:color="auto"/>
              <w:bottom w:val="single" w:sz="4" w:space="0" w:color="auto"/>
            </w:tcBorders>
          </w:tcPr>
          <w:p w:rsidR="00682A88" w:rsidRPr="00CF3673" w:rsidRDefault="00682A88" w:rsidP="00682A88">
            <w:pPr>
              <w:jc w:val="center"/>
            </w:pPr>
            <w:r w:rsidRPr="00CF3673">
              <w:t>20.9</w:t>
            </w:r>
          </w:p>
        </w:tc>
        <w:tc>
          <w:tcPr>
            <w:tcW w:w="0" w:type="auto"/>
            <w:tcBorders>
              <w:top w:val="single" w:sz="4" w:space="0" w:color="auto"/>
              <w:bottom w:val="single" w:sz="4" w:space="0" w:color="auto"/>
            </w:tcBorders>
            <w:noWrap/>
            <w:hideMark/>
          </w:tcPr>
          <w:p w:rsidR="00682A88" w:rsidRPr="00CF3673" w:rsidRDefault="00682A88" w:rsidP="00682A88">
            <w:pPr>
              <w:jc w:val="center"/>
            </w:pPr>
            <w:r w:rsidRPr="00CF3673">
              <w:t>0.0</w:t>
            </w:r>
          </w:p>
        </w:tc>
        <w:tc>
          <w:tcPr>
            <w:tcW w:w="0" w:type="auto"/>
            <w:tcBorders>
              <w:top w:val="single" w:sz="4" w:space="0" w:color="auto"/>
              <w:bottom w:val="single" w:sz="4" w:space="0" w:color="auto"/>
            </w:tcBorders>
            <w:noWrap/>
            <w:hideMark/>
          </w:tcPr>
          <w:p w:rsidR="00682A88" w:rsidRPr="00CF3673" w:rsidRDefault="00682A88" w:rsidP="00682A88">
            <w:pPr>
              <w:jc w:val="center"/>
            </w:pPr>
            <w:r w:rsidRPr="00CF3673">
              <w:t>10.6</w:t>
            </w:r>
          </w:p>
        </w:tc>
        <w:tc>
          <w:tcPr>
            <w:tcW w:w="0" w:type="auto"/>
            <w:tcBorders>
              <w:top w:val="single" w:sz="4" w:space="0" w:color="auto"/>
              <w:bottom w:val="single" w:sz="4" w:space="0" w:color="auto"/>
            </w:tcBorders>
            <w:noWrap/>
            <w:hideMark/>
          </w:tcPr>
          <w:p w:rsidR="00682A88" w:rsidRPr="00CF3673" w:rsidRDefault="00682A88" w:rsidP="00682A88">
            <w:pPr>
              <w:jc w:val="center"/>
            </w:pPr>
            <w:r w:rsidRPr="00CF3673">
              <w:t>753</w:t>
            </w:r>
          </w:p>
        </w:tc>
      </w:tr>
      <w:tr w:rsidR="00682A88" w:rsidRPr="00CF3673" w:rsidTr="00682A88">
        <w:trPr>
          <w:trHeight w:val="300"/>
          <w:jc w:val="center"/>
        </w:trPr>
        <w:tc>
          <w:tcPr>
            <w:tcW w:w="0" w:type="auto"/>
            <w:tcBorders>
              <w:top w:val="single" w:sz="4" w:space="0" w:color="auto"/>
            </w:tcBorders>
            <w:noWrap/>
            <w:hideMark/>
          </w:tcPr>
          <w:p w:rsidR="00682A88" w:rsidRPr="00CF3673" w:rsidRDefault="00682A88" w:rsidP="00682A88">
            <w:r w:rsidRPr="00CF3673">
              <w:t>Alimentos, Bebidas, Tabaco</w:t>
            </w:r>
          </w:p>
        </w:tc>
        <w:tc>
          <w:tcPr>
            <w:tcW w:w="0" w:type="auto"/>
            <w:tcBorders>
              <w:top w:val="single" w:sz="4" w:space="0" w:color="auto"/>
            </w:tcBorders>
          </w:tcPr>
          <w:p w:rsidR="00682A88" w:rsidRPr="00CF3673" w:rsidRDefault="00682A88" w:rsidP="00682A88">
            <w:pPr>
              <w:jc w:val="center"/>
            </w:pPr>
            <w:r w:rsidRPr="00CF3673">
              <w:t>15.9</w:t>
            </w:r>
          </w:p>
        </w:tc>
        <w:tc>
          <w:tcPr>
            <w:tcW w:w="0" w:type="auto"/>
            <w:tcBorders>
              <w:top w:val="single" w:sz="4" w:space="0" w:color="auto"/>
            </w:tcBorders>
            <w:noWrap/>
            <w:hideMark/>
          </w:tcPr>
          <w:p w:rsidR="00682A88" w:rsidRPr="00CF3673" w:rsidRDefault="00682A88" w:rsidP="00682A88">
            <w:pPr>
              <w:jc w:val="center"/>
            </w:pPr>
            <w:r w:rsidRPr="00CF3673">
              <w:t>0.0</w:t>
            </w:r>
          </w:p>
        </w:tc>
        <w:tc>
          <w:tcPr>
            <w:tcW w:w="0" w:type="auto"/>
            <w:tcBorders>
              <w:top w:val="single" w:sz="4" w:space="0" w:color="auto"/>
            </w:tcBorders>
            <w:noWrap/>
            <w:hideMark/>
          </w:tcPr>
          <w:p w:rsidR="00682A88" w:rsidRPr="00CF3673" w:rsidRDefault="00682A88" w:rsidP="00682A88">
            <w:pPr>
              <w:jc w:val="center"/>
            </w:pPr>
            <w:r w:rsidRPr="00CF3673">
              <w:t>14.8</w:t>
            </w:r>
          </w:p>
        </w:tc>
        <w:tc>
          <w:tcPr>
            <w:tcW w:w="0" w:type="auto"/>
            <w:tcBorders>
              <w:top w:val="single" w:sz="4" w:space="0" w:color="auto"/>
            </w:tcBorders>
            <w:noWrap/>
            <w:hideMark/>
          </w:tcPr>
          <w:p w:rsidR="00682A88" w:rsidRPr="00CF3673" w:rsidRDefault="00682A88" w:rsidP="00682A88">
            <w:pPr>
              <w:jc w:val="center"/>
            </w:pPr>
            <w:r w:rsidRPr="00CF3673">
              <w:t>126</w:t>
            </w:r>
          </w:p>
        </w:tc>
      </w:tr>
      <w:tr w:rsidR="00682A88" w:rsidRPr="00CF3673" w:rsidTr="00682A88">
        <w:trPr>
          <w:trHeight w:val="300"/>
          <w:jc w:val="center"/>
        </w:trPr>
        <w:tc>
          <w:tcPr>
            <w:tcW w:w="0" w:type="auto"/>
            <w:tcBorders>
              <w:bottom w:val="nil"/>
            </w:tcBorders>
            <w:noWrap/>
            <w:hideMark/>
          </w:tcPr>
          <w:p w:rsidR="00682A88" w:rsidRPr="00CF3673" w:rsidRDefault="00682A88" w:rsidP="00682A88">
            <w:r w:rsidRPr="00CF3673">
              <w:t>Têxteis</w:t>
            </w:r>
          </w:p>
        </w:tc>
        <w:tc>
          <w:tcPr>
            <w:tcW w:w="0" w:type="auto"/>
            <w:tcBorders>
              <w:bottom w:val="nil"/>
            </w:tcBorders>
          </w:tcPr>
          <w:p w:rsidR="00682A88" w:rsidRPr="00CF3673" w:rsidRDefault="00682A88" w:rsidP="00682A88">
            <w:pPr>
              <w:jc w:val="center"/>
            </w:pPr>
            <w:r w:rsidRPr="00CF3673">
              <w:t>48.5</w:t>
            </w:r>
          </w:p>
        </w:tc>
        <w:tc>
          <w:tcPr>
            <w:tcW w:w="0" w:type="auto"/>
            <w:tcBorders>
              <w:bottom w:val="nil"/>
            </w:tcBorders>
            <w:noWrap/>
            <w:hideMark/>
          </w:tcPr>
          <w:p w:rsidR="00682A88" w:rsidRPr="00CF3673" w:rsidRDefault="00682A88" w:rsidP="00682A88">
            <w:pPr>
              <w:jc w:val="center"/>
            </w:pPr>
            <w:r w:rsidRPr="00CF3673">
              <w:t>0.0</w:t>
            </w:r>
          </w:p>
        </w:tc>
        <w:tc>
          <w:tcPr>
            <w:tcW w:w="0" w:type="auto"/>
            <w:tcBorders>
              <w:bottom w:val="nil"/>
            </w:tcBorders>
            <w:noWrap/>
            <w:hideMark/>
          </w:tcPr>
          <w:p w:rsidR="00682A88" w:rsidRPr="00CF3673" w:rsidRDefault="00682A88" w:rsidP="00682A88">
            <w:pPr>
              <w:jc w:val="center"/>
            </w:pPr>
            <w:r w:rsidRPr="00CF3673">
              <w:t>-8.9</w:t>
            </w:r>
          </w:p>
        </w:tc>
        <w:tc>
          <w:tcPr>
            <w:tcW w:w="0" w:type="auto"/>
            <w:tcBorders>
              <w:bottom w:val="nil"/>
            </w:tcBorders>
            <w:noWrap/>
            <w:hideMark/>
          </w:tcPr>
          <w:p w:rsidR="00682A88" w:rsidRPr="00CF3673" w:rsidRDefault="00682A88" w:rsidP="00682A88">
            <w:pPr>
              <w:jc w:val="center"/>
            </w:pPr>
            <w:r w:rsidRPr="00CF3673">
              <w:t>9</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Vestuário e Calçado</w:t>
            </w:r>
          </w:p>
        </w:tc>
        <w:tc>
          <w:tcPr>
            <w:tcW w:w="0" w:type="auto"/>
            <w:tcBorders>
              <w:top w:val="nil"/>
              <w:bottom w:val="nil"/>
            </w:tcBorders>
          </w:tcPr>
          <w:p w:rsidR="00682A88" w:rsidRPr="00CF3673" w:rsidRDefault="00682A88" w:rsidP="00682A88">
            <w:pPr>
              <w:jc w:val="center"/>
            </w:pPr>
            <w:r w:rsidRPr="00CF3673">
              <w:t>13.6</w:t>
            </w:r>
          </w:p>
        </w:tc>
        <w:tc>
          <w:tcPr>
            <w:tcW w:w="0" w:type="auto"/>
            <w:tcBorders>
              <w:top w:val="nil"/>
              <w:bottom w:val="nil"/>
            </w:tcBorders>
            <w:noWrap/>
            <w:hideMark/>
          </w:tcPr>
          <w:p w:rsidR="00682A88" w:rsidRPr="00CF3673" w:rsidRDefault="00682A88" w:rsidP="00682A88">
            <w:pPr>
              <w:jc w:val="center"/>
            </w:pPr>
            <w:r w:rsidRPr="00CF3673">
              <w:t>0.0</w:t>
            </w:r>
          </w:p>
        </w:tc>
        <w:tc>
          <w:tcPr>
            <w:tcW w:w="0" w:type="auto"/>
            <w:tcBorders>
              <w:top w:val="nil"/>
              <w:bottom w:val="nil"/>
            </w:tcBorders>
            <w:noWrap/>
            <w:hideMark/>
          </w:tcPr>
          <w:p w:rsidR="00682A88" w:rsidRPr="00CF3673" w:rsidRDefault="00682A88" w:rsidP="00682A88">
            <w:pPr>
              <w:jc w:val="center"/>
            </w:pPr>
            <w:r w:rsidRPr="00CF3673">
              <w:t>8.3</w:t>
            </w:r>
          </w:p>
        </w:tc>
        <w:tc>
          <w:tcPr>
            <w:tcW w:w="0" w:type="auto"/>
            <w:tcBorders>
              <w:top w:val="nil"/>
              <w:bottom w:val="nil"/>
            </w:tcBorders>
            <w:noWrap/>
            <w:hideMark/>
          </w:tcPr>
          <w:p w:rsidR="00682A88" w:rsidRPr="00CF3673" w:rsidRDefault="00682A88" w:rsidP="00682A88">
            <w:pPr>
              <w:jc w:val="center"/>
            </w:pPr>
            <w:r w:rsidRPr="00CF3673">
              <w:t>93</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Madeira e Papel</w:t>
            </w:r>
          </w:p>
        </w:tc>
        <w:tc>
          <w:tcPr>
            <w:tcW w:w="0" w:type="auto"/>
            <w:tcBorders>
              <w:top w:val="nil"/>
              <w:bottom w:val="nil"/>
            </w:tcBorders>
          </w:tcPr>
          <w:p w:rsidR="00682A88" w:rsidRPr="00CF3673" w:rsidRDefault="00682A88" w:rsidP="00682A88">
            <w:pPr>
              <w:jc w:val="center"/>
            </w:pPr>
            <w:r w:rsidRPr="00CF3673">
              <w:t>29.0</w:t>
            </w:r>
          </w:p>
        </w:tc>
        <w:tc>
          <w:tcPr>
            <w:tcW w:w="0" w:type="auto"/>
            <w:tcBorders>
              <w:top w:val="nil"/>
              <w:bottom w:val="nil"/>
            </w:tcBorders>
            <w:noWrap/>
            <w:hideMark/>
          </w:tcPr>
          <w:p w:rsidR="00682A88" w:rsidRPr="00CF3673" w:rsidRDefault="00682A88" w:rsidP="00682A88">
            <w:pPr>
              <w:jc w:val="center"/>
            </w:pPr>
            <w:r w:rsidRPr="00CF3673">
              <w:t>0.0</w:t>
            </w:r>
          </w:p>
        </w:tc>
        <w:tc>
          <w:tcPr>
            <w:tcW w:w="0" w:type="auto"/>
            <w:tcBorders>
              <w:top w:val="nil"/>
              <w:bottom w:val="nil"/>
            </w:tcBorders>
            <w:noWrap/>
            <w:hideMark/>
          </w:tcPr>
          <w:p w:rsidR="00682A88" w:rsidRPr="00CF3673" w:rsidRDefault="00682A88" w:rsidP="00682A88">
            <w:pPr>
              <w:jc w:val="center"/>
            </w:pPr>
            <w:r w:rsidRPr="00CF3673">
              <w:t>20.6</w:t>
            </w:r>
          </w:p>
        </w:tc>
        <w:tc>
          <w:tcPr>
            <w:tcW w:w="0" w:type="auto"/>
            <w:tcBorders>
              <w:top w:val="nil"/>
              <w:bottom w:val="nil"/>
            </w:tcBorders>
            <w:noWrap/>
            <w:hideMark/>
          </w:tcPr>
          <w:p w:rsidR="00682A88" w:rsidRPr="00CF3673" w:rsidRDefault="00682A88" w:rsidP="00682A88">
            <w:pPr>
              <w:jc w:val="center"/>
            </w:pPr>
            <w:r w:rsidRPr="00CF3673">
              <w:t>98</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Edição e impressão</w:t>
            </w:r>
          </w:p>
        </w:tc>
        <w:tc>
          <w:tcPr>
            <w:tcW w:w="0" w:type="auto"/>
            <w:tcBorders>
              <w:top w:val="nil"/>
              <w:bottom w:val="nil"/>
            </w:tcBorders>
          </w:tcPr>
          <w:p w:rsidR="00682A88" w:rsidRPr="00CF3673" w:rsidRDefault="00682A88" w:rsidP="00682A88">
            <w:pPr>
              <w:jc w:val="center"/>
            </w:pPr>
            <w:r w:rsidRPr="00CF3673">
              <w:t>33.0</w:t>
            </w:r>
          </w:p>
        </w:tc>
        <w:tc>
          <w:tcPr>
            <w:tcW w:w="0" w:type="auto"/>
            <w:tcBorders>
              <w:top w:val="nil"/>
              <w:bottom w:val="nil"/>
            </w:tcBorders>
            <w:noWrap/>
            <w:hideMark/>
          </w:tcPr>
          <w:p w:rsidR="00682A88" w:rsidRPr="00CF3673" w:rsidRDefault="00682A88" w:rsidP="00682A88">
            <w:pPr>
              <w:jc w:val="center"/>
            </w:pPr>
            <w:r w:rsidRPr="00CF3673">
              <w:t>20.0</w:t>
            </w:r>
          </w:p>
        </w:tc>
        <w:tc>
          <w:tcPr>
            <w:tcW w:w="0" w:type="auto"/>
            <w:tcBorders>
              <w:top w:val="nil"/>
              <w:bottom w:val="nil"/>
            </w:tcBorders>
            <w:noWrap/>
            <w:hideMark/>
          </w:tcPr>
          <w:p w:rsidR="00682A88" w:rsidRPr="00CF3673" w:rsidRDefault="00682A88" w:rsidP="00682A88">
            <w:pPr>
              <w:jc w:val="center"/>
            </w:pPr>
            <w:r w:rsidRPr="00CF3673">
              <w:t>13.8</w:t>
            </w:r>
          </w:p>
        </w:tc>
        <w:tc>
          <w:tcPr>
            <w:tcW w:w="0" w:type="auto"/>
            <w:tcBorders>
              <w:top w:val="nil"/>
              <w:bottom w:val="nil"/>
            </w:tcBorders>
            <w:noWrap/>
            <w:hideMark/>
          </w:tcPr>
          <w:p w:rsidR="00682A88" w:rsidRPr="00CF3673" w:rsidRDefault="00682A88" w:rsidP="00682A88">
            <w:pPr>
              <w:jc w:val="center"/>
            </w:pPr>
            <w:r w:rsidRPr="00CF3673">
              <w:t>17</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Químicos, Borracha e plástico</w:t>
            </w:r>
          </w:p>
        </w:tc>
        <w:tc>
          <w:tcPr>
            <w:tcW w:w="0" w:type="auto"/>
            <w:tcBorders>
              <w:top w:val="nil"/>
              <w:bottom w:val="nil"/>
            </w:tcBorders>
          </w:tcPr>
          <w:p w:rsidR="00682A88" w:rsidRPr="00CF3673" w:rsidRDefault="00682A88" w:rsidP="00682A88">
            <w:pPr>
              <w:jc w:val="center"/>
            </w:pPr>
            <w:r w:rsidRPr="00CF3673">
              <w:t>9.6</w:t>
            </w:r>
          </w:p>
        </w:tc>
        <w:tc>
          <w:tcPr>
            <w:tcW w:w="0" w:type="auto"/>
            <w:tcBorders>
              <w:top w:val="nil"/>
              <w:bottom w:val="nil"/>
            </w:tcBorders>
            <w:noWrap/>
            <w:hideMark/>
          </w:tcPr>
          <w:p w:rsidR="00682A88" w:rsidRPr="00CF3673" w:rsidRDefault="00682A88" w:rsidP="00682A88">
            <w:pPr>
              <w:jc w:val="center"/>
            </w:pPr>
            <w:r w:rsidRPr="00CF3673">
              <w:t>4.8</w:t>
            </w:r>
          </w:p>
        </w:tc>
        <w:tc>
          <w:tcPr>
            <w:tcW w:w="0" w:type="auto"/>
            <w:tcBorders>
              <w:top w:val="nil"/>
              <w:bottom w:val="nil"/>
            </w:tcBorders>
            <w:noWrap/>
            <w:hideMark/>
          </w:tcPr>
          <w:p w:rsidR="00682A88" w:rsidRPr="00CF3673" w:rsidRDefault="00682A88" w:rsidP="00682A88">
            <w:pPr>
              <w:jc w:val="center"/>
            </w:pPr>
            <w:r w:rsidRPr="00CF3673">
              <w:t>5.8</w:t>
            </w:r>
          </w:p>
        </w:tc>
        <w:tc>
          <w:tcPr>
            <w:tcW w:w="0" w:type="auto"/>
            <w:tcBorders>
              <w:top w:val="nil"/>
              <w:bottom w:val="nil"/>
            </w:tcBorders>
            <w:noWrap/>
            <w:hideMark/>
          </w:tcPr>
          <w:p w:rsidR="00682A88" w:rsidRPr="00CF3673" w:rsidRDefault="00682A88" w:rsidP="00682A88">
            <w:pPr>
              <w:jc w:val="center"/>
            </w:pPr>
            <w:r w:rsidRPr="00CF3673">
              <w:t>10</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Minerais não metálicos</w:t>
            </w:r>
          </w:p>
        </w:tc>
        <w:tc>
          <w:tcPr>
            <w:tcW w:w="0" w:type="auto"/>
            <w:tcBorders>
              <w:top w:val="nil"/>
              <w:bottom w:val="nil"/>
            </w:tcBorders>
          </w:tcPr>
          <w:p w:rsidR="00682A88" w:rsidRPr="00CF3673" w:rsidRDefault="00682A88" w:rsidP="00682A88">
            <w:pPr>
              <w:jc w:val="center"/>
            </w:pPr>
            <w:r w:rsidRPr="00CF3673">
              <w:t>19.1</w:t>
            </w:r>
          </w:p>
        </w:tc>
        <w:tc>
          <w:tcPr>
            <w:tcW w:w="0" w:type="auto"/>
            <w:tcBorders>
              <w:top w:val="nil"/>
              <w:bottom w:val="nil"/>
            </w:tcBorders>
            <w:noWrap/>
            <w:hideMark/>
          </w:tcPr>
          <w:p w:rsidR="00682A88" w:rsidRPr="00CF3673" w:rsidRDefault="00682A88" w:rsidP="00682A88">
            <w:pPr>
              <w:jc w:val="center"/>
            </w:pPr>
            <w:r w:rsidRPr="00CF3673">
              <w:t>0.0</w:t>
            </w:r>
          </w:p>
        </w:tc>
        <w:tc>
          <w:tcPr>
            <w:tcW w:w="0" w:type="auto"/>
            <w:tcBorders>
              <w:top w:val="nil"/>
              <w:bottom w:val="nil"/>
            </w:tcBorders>
            <w:noWrap/>
            <w:hideMark/>
          </w:tcPr>
          <w:p w:rsidR="00682A88" w:rsidRPr="00CF3673" w:rsidRDefault="00682A88" w:rsidP="00682A88">
            <w:pPr>
              <w:jc w:val="center"/>
            </w:pPr>
            <w:r w:rsidRPr="00CF3673">
              <w:t>31.6</w:t>
            </w:r>
          </w:p>
        </w:tc>
        <w:tc>
          <w:tcPr>
            <w:tcW w:w="0" w:type="auto"/>
            <w:tcBorders>
              <w:top w:val="nil"/>
              <w:bottom w:val="nil"/>
            </w:tcBorders>
            <w:noWrap/>
            <w:hideMark/>
          </w:tcPr>
          <w:p w:rsidR="00682A88" w:rsidRPr="00CF3673" w:rsidRDefault="00682A88" w:rsidP="00682A88">
            <w:pPr>
              <w:jc w:val="center"/>
            </w:pPr>
            <w:r w:rsidRPr="00CF3673">
              <w:t>61</w:t>
            </w:r>
          </w:p>
        </w:tc>
      </w:tr>
      <w:tr w:rsidR="00682A88" w:rsidRPr="00CF3673" w:rsidTr="00682A88">
        <w:trPr>
          <w:trHeight w:val="300"/>
          <w:jc w:val="center"/>
        </w:trPr>
        <w:tc>
          <w:tcPr>
            <w:tcW w:w="0" w:type="auto"/>
            <w:tcBorders>
              <w:top w:val="nil"/>
              <w:bottom w:val="nil"/>
            </w:tcBorders>
            <w:noWrap/>
            <w:hideMark/>
          </w:tcPr>
          <w:p w:rsidR="00682A88" w:rsidRPr="00CF3673" w:rsidRDefault="00682A88" w:rsidP="00682A88">
            <w:r w:rsidRPr="00CF3673">
              <w:t>Produtos Metálicos</w:t>
            </w:r>
          </w:p>
        </w:tc>
        <w:tc>
          <w:tcPr>
            <w:tcW w:w="0" w:type="auto"/>
            <w:tcBorders>
              <w:top w:val="nil"/>
              <w:bottom w:val="nil"/>
            </w:tcBorders>
          </w:tcPr>
          <w:p w:rsidR="00682A88" w:rsidRPr="00CF3673" w:rsidRDefault="00682A88" w:rsidP="00682A88">
            <w:pPr>
              <w:jc w:val="center"/>
            </w:pPr>
            <w:r w:rsidRPr="00CF3673">
              <w:t>20.0</w:t>
            </w:r>
          </w:p>
        </w:tc>
        <w:tc>
          <w:tcPr>
            <w:tcW w:w="0" w:type="auto"/>
            <w:tcBorders>
              <w:top w:val="nil"/>
              <w:bottom w:val="nil"/>
            </w:tcBorders>
            <w:noWrap/>
            <w:hideMark/>
          </w:tcPr>
          <w:p w:rsidR="00682A88" w:rsidRPr="00CF3673" w:rsidRDefault="00682A88" w:rsidP="00682A88">
            <w:pPr>
              <w:jc w:val="center"/>
            </w:pPr>
            <w:r w:rsidRPr="00CF3673">
              <w:t>0.0</w:t>
            </w:r>
          </w:p>
        </w:tc>
        <w:tc>
          <w:tcPr>
            <w:tcW w:w="0" w:type="auto"/>
            <w:tcBorders>
              <w:top w:val="nil"/>
              <w:bottom w:val="nil"/>
            </w:tcBorders>
            <w:noWrap/>
            <w:hideMark/>
          </w:tcPr>
          <w:p w:rsidR="00682A88" w:rsidRPr="00CF3673" w:rsidRDefault="00682A88" w:rsidP="00682A88">
            <w:pPr>
              <w:jc w:val="center"/>
            </w:pPr>
            <w:r w:rsidRPr="00CF3673">
              <w:t>4.6</w:t>
            </w:r>
          </w:p>
        </w:tc>
        <w:tc>
          <w:tcPr>
            <w:tcW w:w="0" w:type="auto"/>
            <w:tcBorders>
              <w:top w:val="nil"/>
              <w:bottom w:val="nil"/>
            </w:tcBorders>
            <w:noWrap/>
            <w:hideMark/>
          </w:tcPr>
          <w:p w:rsidR="00682A88" w:rsidRPr="00CF3673" w:rsidRDefault="00682A88" w:rsidP="00682A88">
            <w:pPr>
              <w:jc w:val="center"/>
            </w:pPr>
            <w:r w:rsidRPr="00CF3673">
              <w:t>163</w:t>
            </w:r>
          </w:p>
        </w:tc>
      </w:tr>
      <w:tr w:rsidR="00682A88" w:rsidRPr="00CF3673" w:rsidTr="00682A88">
        <w:trPr>
          <w:trHeight w:val="300"/>
          <w:jc w:val="center"/>
        </w:trPr>
        <w:tc>
          <w:tcPr>
            <w:tcW w:w="0" w:type="auto"/>
            <w:tcBorders>
              <w:top w:val="nil"/>
            </w:tcBorders>
            <w:noWrap/>
            <w:hideMark/>
          </w:tcPr>
          <w:p w:rsidR="00682A88" w:rsidRPr="00CF3673" w:rsidRDefault="00682A88" w:rsidP="00682A88">
            <w:r w:rsidRPr="00CF3673">
              <w:t>Maquinaria etc.</w:t>
            </w:r>
          </w:p>
        </w:tc>
        <w:tc>
          <w:tcPr>
            <w:tcW w:w="0" w:type="auto"/>
            <w:tcBorders>
              <w:top w:val="nil"/>
            </w:tcBorders>
          </w:tcPr>
          <w:p w:rsidR="00682A88" w:rsidRPr="00CF3673" w:rsidRDefault="00682A88" w:rsidP="00682A88">
            <w:pPr>
              <w:jc w:val="center"/>
            </w:pPr>
            <w:r w:rsidRPr="00CF3673">
              <w:t>13.2</w:t>
            </w:r>
          </w:p>
        </w:tc>
        <w:tc>
          <w:tcPr>
            <w:tcW w:w="0" w:type="auto"/>
            <w:tcBorders>
              <w:top w:val="nil"/>
            </w:tcBorders>
            <w:noWrap/>
            <w:hideMark/>
          </w:tcPr>
          <w:p w:rsidR="00682A88" w:rsidRPr="00CF3673" w:rsidRDefault="00682A88" w:rsidP="00682A88">
            <w:pPr>
              <w:jc w:val="center"/>
            </w:pPr>
            <w:r w:rsidRPr="00CF3673">
              <w:t>0.0</w:t>
            </w:r>
          </w:p>
        </w:tc>
        <w:tc>
          <w:tcPr>
            <w:tcW w:w="0" w:type="auto"/>
            <w:tcBorders>
              <w:top w:val="nil"/>
            </w:tcBorders>
            <w:noWrap/>
            <w:hideMark/>
          </w:tcPr>
          <w:p w:rsidR="00682A88" w:rsidRPr="00CF3673" w:rsidRDefault="00682A88" w:rsidP="00682A88">
            <w:pPr>
              <w:jc w:val="center"/>
            </w:pPr>
            <w:r w:rsidRPr="00CF3673">
              <w:t>3.2</w:t>
            </w:r>
          </w:p>
        </w:tc>
        <w:tc>
          <w:tcPr>
            <w:tcW w:w="0" w:type="auto"/>
            <w:tcBorders>
              <w:top w:val="nil"/>
            </w:tcBorders>
            <w:noWrap/>
            <w:hideMark/>
          </w:tcPr>
          <w:p w:rsidR="00682A88" w:rsidRPr="00CF3673" w:rsidRDefault="00682A88" w:rsidP="00682A88">
            <w:pPr>
              <w:jc w:val="center"/>
            </w:pPr>
            <w:r w:rsidRPr="00CF3673">
              <w:t>14</w:t>
            </w:r>
          </w:p>
        </w:tc>
      </w:tr>
      <w:tr w:rsidR="00682A88" w:rsidRPr="00CF3673" w:rsidTr="00682A88">
        <w:trPr>
          <w:trHeight w:val="300"/>
          <w:jc w:val="center"/>
        </w:trPr>
        <w:tc>
          <w:tcPr>
            <w:tcW w:w="0" w:type="auto"/>
            <w:tcBorders>
              <w:bottom w:val="double" w:sz="4" w:space="0" w:color="auto"/>
            </w:tcBorders>
            <w:noWrap/>
            <w:hideMark/>
          </w:tcPr>
          <w:p w:rsidR="00682A88" w:rsidRPr="00CF3673" w:rsidRDefault="00682A88" w:rsidP="00682A88">
            <w:r w:rsidRPr="00CF3673">
              <w:t>Mobiliário e indústrias transformadoras</w:t>
            </w:r>
          </w:p>
        </w:tc>
        <w:tc>
          <w:tcPr>
            <w:tcW w:w="0" w:type="auto"/>
            <w:tcBorders>
              <w:bottom w:val="double" w:sz="4" w:space="0" w:color="auto"/>
            </w:tcBorders>
          </w:tcPr>
          <w:p w:rsidR="00682A88" w:rsidRPr="00CF3673" w:rsidRDefault="00682A88" w:rsidP="00682A88">
            <w:pPr>
              <w:jc w:val="center"/>
            </w:pPr>
            <w:r w:rsidRPr="00CF3673">
              <w:t>24.3</w:t>
            </w:r>
          </w:p>
        </w:tc>
        <w:tc>
          <w:tcPr>
            <w:tcW w:w="0" w:type="auto"/>
            <w:tcBorders>
              <w:bottom w:val="double" w:sz="4" w:space="0" w:color="auto"/>
            </w:tcBorders>
            <w:noWrap/>
            <w:hideMark/>
          </w:tcPr>
          <w:p w:rsidR="00682A88" w:rsidRPr="00CF3673" w:rsidRDefault="00682A88" w:rsidP="00682A88">
            <w:pPr>
              <w:jc w:val="center"/>
            </w:pPr>
            <w:r w:rsidRPr="00CF3673">
              <w:t>0.0</w:t>
            </w:r>
          </w:p>
        </w:tc>
        <w:tc>
          <w:tcPr>
            <w:tcW w:w="0" w:type="auto"/>
            <w:tcBorders>
              <w:bottom w:val="double" w:sz="4" w:space="0" w:color="auto"/>
            </w:tcBorders>
            <w:noWrap/>
            <w:hideMark/>
          </w:tcPr>
          <w:p w:rsidR="00682A88" w:rsidRPr="00CF3673" w:rsidRDefault="00682A88" w:rsidP="00682A88">
            <w:pPr>
              <w:jc w:val="center"/>
            </w:pPr>
            <w:r w:rsidRPr="00CF3673">
              <w:t>2.9</w:t>
            </w:r>
          </w:p>
        </w:tc>
        <w:tc>
          <w:tcPr>
            <w:tcW w:w="0" w:type="auto"/>
            <w:tcBorders>
              <w:bottom w:val="double" w:sz="4" w:space="0" w:color="auto"/>
            </w:tcBorders>
            <w:noWrap/>
            <w:hideMark/>
          </w:tcPr>
          <w:p w:rsidR="00682A88" w:rsidRPr="00CF3673" w:rsidRDefault="00682A88" w:rsidP="00682A88">
            <w:pPr>
              <w:jc w:val="center"/>
            </w:pPr>
            <w:r w:rsidRPr="00CF3673">
              <w:t>162</w:t>
            </w:r>
          </w:p>
        </w:tc>
      </w:tr>
      <w:tr w:rsidR="00682A88" w:rsidRPr="00CF3673" w:rsidTr="00682A88">
        <w:trPr>
          <w:trHeight w:val="300"/>
          <w:jc w:val="center"/>
        </w:trPr>
        <w:tc>
          <w:tcPr>
            <w:tcW w:w="0" w:type="auto"/>
            <w:gridSpan w:val="5"/>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8 </w:t>
            </w:r>
            <w:r w:rsidR="006A4724" w:rsidRPr="00CF3673">
              <w:rPr>
                <w:lang w:val="pt-PT"/>
              </w:rPr>
              <w:t>observações</w:t>
            </w:r>
            <w:r w:rsidRPr="00CF3673">
              <w:rPr>
                <w:lang w:val="pt-PT"/>
              </w:rPr>
              <w:t xml:space="preserve"> em falta. *No cálculo das taxas médias de crescimento, os percentis 1 e 100 são excluídos. </w:t>
            </w:r>
          </w:p>
        </w:tc>
      </w:tr>
      <w:tr w:rsidR="00682A88" w:rsidRPr="00CF3673" w:rsidTr="00682A88">
        <w:trPr>
          <w:trHeight w:val="300"/>
          <w:jc w:val="center"/>
        </w:trPr>
        <w:tc>
          <w:tcPr>
            <w:tcW w:w="0" w:type="auto"/>
            <w:gridSpan w:val="5"/>
            <w:tcBorders>
              <w:top w:val="nil"/>
              <w:bottom w:val="nil"/>
            </w:tcBorders>
            <w:noWrap/>
          </w:tcPr>
          <w:p w:rsidR="00682A88" w:rsidRPr="00CF3673" w:rsidRDefault="00682A88" w:rsidP="0083080D">
            <w:pPr>
              <w:pStyle w:val="Tablenote"/>
              <w:rPr>
                <w:b/>
                <w:lang w:val="pt-PT"/>
              </w:rPr>
            </w:pPr>
            <w:r w:rsidRPr="00CF3673">
              <w:rPr>
                <w:b/>
                <w:lang w:val="pt-PT"/>
              </w:rPr>
              <w:t>Fonte:</w:t>
            </w:r>
            <w:r w:rsidRPr="00CF3673">
              <w:rPr>
                <w:lang w:val="pt-PT"/>
              </w:rPr>
              <w:t xml:space="preserve"> Cálculos</w:t>
            </w:r>
            <w:r w:rsidR="0083080D" w:rsidRPr="00CF3673">
              <w:rPr>
                <w:lang w:val="pt-PT"/>
              </w:rPr>
              <w:t xml:space="preserve"> dos autores</w:t>
            </w:r>
            <w:r w:rsidRPr="00CF3673">
              <w:rPr>
                <w:lang w:val="pt-PT"/>
              </w:rPr>
              <w:t xml:space="preserve">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rPr>
          <w:b/>
        </w:rPr>
      </w:pPr>
      <w:r w:rsidRPr="00CF3673">
        <w:lastRenderedPageBreak/>
        <w:t xml:space="preserve"> </w:t>
      </w:r>
      <w:r w:rsidRPr="00CF3673">
        <w:rPr>
          <w:b/>
        </w:rPr>
        <w:t xml:space="preserve">Tabela 4.6 : O uso de métodos de contratação por tipo de </w:t>
      </w:r>
      <w:r w:rsidR="0083080D" w:rsidRPr="00CF3673">
        <w:rPr>
          <w:b/>
        </w:rPr>
        <w:t>empresa,</w:t>
      </w:r>
      <w:r w:rsidRPr="00CF3673">
        <w:rPr>
          <w:b/>
        </w:rPr>
        <w:t xml:space="preserve"> % de empresas que utilizam o </w:t>
      </w:r>
      <w:r w:rsidR="00EA2462" w:rsidRPr="00CF3673">
        <w:rPr>
          <w:b/>
        </w:rPr>
        <w:t>método.</w:t>
      </w:r>
    </w:p>
    <w:tbl>
      <w:tblPr>
        <w:tblStyle w:val="StandardTable"/>
        <w:tblW w:w="10008" w:type="dxa"/>
        <w:tblLayout w:type="fixed"/>
        <w:tblCellMar>
          <w:bottom w:w="28" w:type="dxa"/>
        </w:tblCellMar>
        <w:tblLook w:val="04E0" w:firstRow="1" w:lastRow="1" w:firstColumn="1" w:lastColumn="0" w:noHBand="0" w:noVBand="1"/>
      </w:tblPr>
      <w:tblGrid>
        <w:gridCol w:w="2349"/>
        <w:gridCol w:w="571"/>
        <w:gridCol w:w="693"/>
        <w:gridCol w:w="905"/>
        <w:gridCol w:w="654"/>
        <w:gridCol w:w="910"/>
        <w:gridCol w:w="785"/>
        <w:gridCol w:w="1431"/>
        <w:gridCol w:w="1710"/>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trPr>
        <w:tc>
          <w:tcPr>
            <w:tcW w:w="2349" w:type="dxa"/>
            <w:noWrap/>
          </w:tcPr>
          <w:p w:rsidR="00682A88" w:rsidRPr="00CF3673" w:rsidRDefault="00682A88" w:rsidP="00682A88">
            <w:pPr>
              <w:rPr>
                <w:rFonts w:ascii="Calibri" w:eastAsia="Times New Roman" w:hAnsi="Calibri" w:cs="Times New Roman"/>
                <w:lang w:eastAsia="zh-CN"/>
              </w:rPr>
            </w:pPr>
          </w:p>
        </w:tc>
        <w:tc>
          <w:tcPr>
            <w:tcW w:w="571" w:type="dxa"/>
            <w:noWrap/>
            <w:hideMark/>
          </w:tcPr>
          <w:p w:rsidR="00682A88" w:rsidRPr="00CF3673" w:rsidRDefault="006A4724" w:rsidP="00682A88">
            <w:pPr>
              <w:rPr>
                <w:rFonts w:ascii="Calibri" w:eastAsia="Times New Roman" w:hAnsi="Calibri" w:cs="Times New Roman"/>
                <w:lang w:eastAsia="zh-CN"/>
              </w:rPr>
            </w:pPr>
            <w:r w:rsidRPr="00CF3673">
              <w:rPr>
                <w:rFonts w:ascii="Calibri" w:eastAsia="Times New Roman" w:hAnsi="Calibri" w:cs="Times New Roman"/>
                <w:lang w:eastAsia="zh-CN"/>
              </w:rPr>
              <w:t>Todos</w:t>
            </w:r>
          </w:p>
        </w:tc>
        <w:tc>
          <w:tcPr>
            <w:tcW w:w="693"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905"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654"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Média</w:t>
            </w:r>
          </w:p>
        </w:tc>
        <w:tc>
          <w:tcPr>
            <w:tcW w:w="91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785"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Formal</w:t>
            </w:r>
          </w:p>
        </w:tc>
        <w:tc>
          <w:tcPr>
            <w:tcW w:w="1431" w:type="dxa"/>
            <w:noWrap/>
            <w:hideMark/>
          </w:tcPr>
          <w:p w:rsidR="00682A88" w:rsidRPr="00CF3673" w:rsidRDefault="006A4724" w:rsidP="00682A88">
            <w:pPr>
              <w:rPr>
                <w:rFonts w:ascii="Calibri" w:eastAsia="Times New Roman" w:hAnsi="Calibri" w:cs="Times New Roman"/>
                <w:lang w:eastAsia="zh-CN"/>
              </w:rPr>
            </w:pPr>
            <w:r w:rsidRPr="00CF3673">
              <w:rPr>
                <w:rFonts w:ascii="Calibri" w:eastAsia="Times New Roman" w:hAnsi="Calibri" w:cs="Times New Roman"/>
                <w:lang w:eastAsia="zh-CN"/>
              </w:rPr>
              <w:t>Propriedade moçambicana</w:t>
            </w:r>
          </w:p>
        </w:tc>
        <w:tc>
          <w:tcPr>
            <w:tcW w:w="171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Propriedade estrangeira</w:t>
            </w:r>
          </w:p>
        </w:tc>
      </w:tr>
      <w:tr w:rsidR="00682A88" w:rsidRPr="00CF3673" w:rsidTr="00682A88">
        <w:trPr>
          <w:trHeight w:val="300"/>
        </w:trPr>
        <w:tc>
          <w:tcPr>
            <w:tcW w:w="2349" w:type="dxa"/>
            <w:noWrap/>
            <w:hideMark/>
          </w:tcPr>
          <w:p w:rsidR="00682A88" w:rsidRPr="00CF3673" w:rsidRDefault="00682A88" w:rsidP="00682A88">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Jornais, Anúncios</w:t>
            </w:r>
          </w:p>
        </w:tc>
        <w:tc>
          <w:tcPr>
            <w:tcW w:w="571" w:type="dxa"/>
            <w:noWrap/>
            <w:hideMark/>
          </w:tcPr>
          <w:p w:rsidR="00682A88" w:rsidRPr="00CF3673" w:rsidRDefault="00682A88" w:rsidP="00682A88">
            <w:pPr>
              <w:jc w:val="center"/>
            </w:pPr>
            <w:r w:rsidRPr="00CF3673">
              <w:t>4.3</w:t>
            </w:r>
          </w:p>
        </w:tc>
        <w:tc>
          <w:tcPr>
            <w:tcW w:w="693" w:type="dxa"/>
            <w:noWrap/>
            <w:hideMark/>
          </w:tcPr>
          <w:p w:rsidR="00682A88" w:rsidRPr="00CF3673" w:rsidRDefault="00682A88" w:rsidP="00682A88">
            <w:pPr>
              <w:jc w:val="center"/>
            </w:pPr>
            <w:r w:rsidRPr="00CF3673">
              <w:t>0.2</w:t>
            </w:r>
          </w:p>
        </w:tc>
        <w:tc>
          <w:tcPr>
            <w:tcW w:w="905" w:type="dxa"/>
            <w:noWrap/>
            <w:hideMark/>
          </w:tcPr>
          <w:p w:rsidR="00682A88" w:rsidRPr="00CF3673" w:rsidRDefault="00682A88" w:rsidP="00682A88">
            <w:pPr>
              <w:jc w:val="center"/>
            </w:pPr>
            <w:r w:rsidRPr="00CF3673">
              <w:t>8.5</w:t>
            </w:r>
          </w:p>
        </w:tc>
        <w:tc>
          <w:tcPr>
            <w:tcW w:w="654" w:type="dxa"/>
            <w:noWrap/>
            <w:hideMark/>
          </w:tcPr>
          <w:p w:rsidR="00682A88" w:rsidRPr="00CF3673" w:rsidRDefault="00682A88" w:rsidP="00682A88">
            <w:pPr>
              <w:jc w:val="center"/>
            </w:pPr>
            <w:r w:rsidRPr="00CF3673">
              <w:t>25.0</w:t>
            </w:r>
          </w:p>
        </w:tc>
        <w:tc>
          <w:tcPr>
            <w:tcW w:w="910" w:type="dxa"/>
            <w:noWrap/>
            <w:hideMark/>
          </w:tcPr>
          <w:p w:rsidR="00682A88" w:rsidRPr="00CF3673" w:rsidRDefault="00682A88" w:rsidP="00682A88">
            <w:pPr>
              <w:jc w:val="center"/>
            </w:pPr>
            <w:r w:rsidRPr="00CF3673">
              <w:t>0.6</w:t>
            </w:r>
          </w:p>
        </w:tc>
        <w:tc>
          <w:tcPr>
            <w:tcW w:w="785" w:type="dxa"/>
            <w:noWrap/>
            <w:hideMark/>
          </w:tcPr>
          <w:p w:rsidR="00682A88" w:rsidRPr="00CF3673" w:rsidRDefault="00682A88" w:rsidP="00682A88">
            <w:pPr>
              <w:jc w:val="center"/>
            </w:pPr>
            <w:r w:rsidRPr="00CF3673">
              <w:t>5.3</w:t>
            </w:r>
          </w:p>
        </w:tc>
        <w:tc>
          <w:tcPr>
            <w:tcW w:w="1431" w:type="dxa"/>
            <w:noWrap/>
            <w:hideMark/>
          </w:tcPr>
          <w:p w:rsidR="00682A88" w:rsidRPr="00CF3673" w:rsidRDefault="00682A88" w:rsidP="00682A88">
            <w:pPr>
              <w:jc w:val="center"/>
            </w:pPr>
            <w:r w:rsidRPr="00CF3673">
              <w:t>2.7</w:t>
            </w:r>
          </w:p>
        </w:tc>
        <w:tc>
          <w:tcPr>
            <w:tcW w:w="1710" w:type="dxa"/>
            <w:noWrap/>
            <w:hideMark/>
          </w:tcPr>
          <w:p w:rsidR="00682A88" w:rsidRPr="00CF3673" w:rsidRDefault="00682A88" w:rsidP="00682A88">
            <w:pPr>
              <w:jc w:val="center"/>
            </w:pPr>
            <w:r w:rsidRPr="00CF3673">
              <w:t>17.1</w:t>
            </w:r>
          </w:p>
        </w:tc>
      </w:tr>
      <w:tr w:rsidR="00682A88" w:rsidRPr="00CF3673" w:rsidTr="00682A88">
        <w:trPr>
          <w:trHeight w:val="300"/>
        </w:trPr>
        <w:tc>
          <w:tcPr>
            <w:tcW w:w="2349" w:type="dxa"/>
            <w:noWrap/>
            <w:hideMark/>
          </w:tcPr>
          <w:p w:rsidR="00682A88" w:rsidRPr="00CF3673" w:rsidRDefault="00682A88" w:rsidP="00682A88">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 xml:space="preserve">Trabalho de câmbios </w:t>
            </w:r>
          </w:p>
        </w:tc>
        <w:tc>
          <w:tcPr>
            <w:tcW w:w="571" w:type="dxa"/>
            <w:noWrap/>
            <w:hideMark/>
          </w:tcPr>
          <w:p w:rsidR="00682A88" w:rsidRPr="00CF3673" w:rsidRDefault="00682A88" w:rsidP="00682A88">
            <w:pPr>
              <w:jc w:val="center"/>
            </w:pPr>
            <w:r w:rsidRPr="00CF3673">
              <w:t>3.2</w:t>
            </w:r>
          </w:p>
        </w:tc>
        <w:tc>
          <w:tcPr>
            <w:tcW w:w="693" w:type="dxa"/>
            <w:noWrap/>
            <w:hideMark/>
          </w:tcPr>
          <w:p w:rsidR="00682A88" w:rsidRPr="00CF3673" w:rsidRDefault="00682A88" w:rsidP="00682A88">
            <w:pPr>
              <w:jc w:val="center"/>
            </w:pPr>
            <w:r w:rsidRPr="00CF3673">
              <w:t>1.6</w:t>
            </w:r>
          </w:p>
        </w:tc>
        <w:tc>
          <w:tcPr>
            <w:tcW w:w="905" w:type="dxa"/>
            <w:noWrap/>
            <w:hideMark/>
          </w:tcPr>
          <w:p w:rsidR="00682A88" w:rsidRPr="00CF3673" w:rsidRDefault="00682A88" w:rsidP="00682A88">
            <w:pPr>
              <w:jc w:val="center"/>
            </w:pPr>
            <w:r w:rsidRPr="00CF3673">
              <w:t>4.5</w:t>
            </w:r>
          </w:p>
        </w:tc>
        <w:tc>
          <w:tcPr>
            <w:tcW w:w="654" w:type="dxa"/>
            <w:noWrap/>
            <w:hideMark/>
          </w:tcPr>
          <w:p w:rsidR="00682A88" w:rsidRPr="00CF3673" w:rsidRDefault="00682A88" w:rsidP="00682A88">
            <w:pPr>
              <w:jc w:val="center"/>
            </w:pPr>
            <w:r w:rsidRPr="00CF3673">
              <w:t>12.5</w:t>
            </w:r>
          </w:p>
        </w:tc>
        <w:tc>
          <w:tcPr>
            <w:tcW w:w="910" w:type="dxa"/>
            <w:noWrap/>
            <w:hideMark/>
          </w:tcPr>
          <w:p w:rsidR="00682A88" w:rsidRPr="00CF3673" w:rsidRDefault="00682A88" w:rsidP="00682A88">
            <w:pPr>
              <w:jc w:val="center"/>
            </w:pPr>
            <w:r w:rsidRPr="00CF3673">
              <w:t>2.4</w:t>
            </w:r>
          </w:p>
        </w:tc>
        <w:tc>
          <w:tcPr>
            <w:tcW w:w="785" w:type="dxa"/>
            <w:noWrap/>
            <w:hideMark/>
          </w:tcPr>
          <w:p w:rsidR="00682A88" w:rsidRPr="00CF3673" w:rsidRDefault="00682A88" w:rsidP="00682A88">
            <w:pPr>
              <w:jc w:val="center"/>
            </w:pPr>
            <w:r w:rsidRPr="00CF3673">
              <w:t>3.4</w:t>
            </w:r>
          </w:p>
        </w:tc>
        <w:tc>
          <w:tcPr>
            <w:tcW w:w="1431" w:type="dxa"/>
            <w:noWrap/>
            <w:hideMark/>
          </w:tcPr>
          <w:p w:rsidR="00682A88" w:rsidRPr="00CF3673" w:rsidRDefault="00682A88" w:rsidP="00682A88">
            <w:pPr>
              <w:jc w:val="center"/>
            </w:pPr>
            <w:r w:rsidRPr="00CF3673">
              <w:t>2.3</w:t>
            </w:r>
          </w:p>
        </w:tc>
        <w:tc>
          <w:tcPr>
            <w:tcW w:w="1710" w:type="dxa"/>
            <w:noWrap/>
            <w:hideMark/>
          </w:tcPr>
          <w:p w:rsidR="00682A88" w:rsidRPr="00CF3673" w:rsidRDefault="00682A88" w:rsidP="00682A88">
            <w:pPr>
              <w:jc w:val="center"/>
            </w:pPr>
            <w:r w:rsidRPr="00CF3673">
              <w:t>9.8</w:t>
            </w:r>
          </w:p>
        </w:tc>
      </w:tr>
      <w:tr w:rsidR="00682A88" w:rsidRPr="00CF3673" w:rsidTr="00682A88">
        <w:trPr>
          <w:trHeight w:val="300"/>
        </w:trPr>
        <w:tc>
          <w:tcPr>
            <w:tcW w:w="2349" w:type="dxa"/>
            <w:noWrap/>
            <w:hideMark/>
          </w:tcPr>
          <w:p w:rsidR="00682A88" w:rsidRPr="00CF3673" w:rsidRDefault="00682A88" w:rsidP="00682A88">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Recomendado por amigos, parentes e trabalhadores</w:t>
            </w:r>
          </w:p>
        </w:tc>
        <w:tc>
          <w:tcPr>
            <w:tcW w:w="571" w:type="dxa"/>
            <w:noWrap/>
            <w:hideMark/>
          </w:tcPr>
          <w:p w:rsidR="00682A88" w:rsidRPr="00CF3673" w:rsidRDefault="00682A88" w:rsidP="00682A88">
            <w:pPr>
              <w:jc w:val="center"/>
            </w:pPr>
            <w:r w:rsidRPr="00CF3673">
              <w:t>44.5</w:t>
            </w:r>
          </w:p>
        </w:tc>
        <w:tc>
          <w:tcPr>
            <w:tcW w:w="693" w:type="dxa"/>
            <w:noWrap/>
            <w:hideMark/>
          </w:tcPr>
          <w:p w:rsidR="00682A88" w:rsidRPr="00CF3673" w:rsidRDefault="00682A88" w:rsidP="00682A88">
            <w:pPr>
              <w:jc w:val="center"/>
            </w:pPr>
            <w:r w:rsidRPr="00CF3673">
              <w:t>43.1</w:t>
            </w:r>
          </w:p>
        </w:tc>
        <w:tc>
          <w:tcPr>
            <w:tcW w:w="905" w:type="dxa"/>
            <w:noWrap/>
            <w:hideMark/>
          </w:tcPr>
          <w:p w:rsidR="00682A88" w:rsidRPr="00CF3673" w:rsidRDefault="00682A88" w:rsidP="00682A88">
            <w:pPr>
              <w:jc w:val="center"/>
            </w:pPr>
            <w:r w:rsidRPr="00CF3673">
              <w:t>47.7</w:t>
            </w:r>
          </w:p>
        </w:tc>
        <w:tc>
          <w:tcPr>
            <w:tcW w:w="654" w:type="dxa"/>
            <w:noWrap/>
            <w:hideMark/>
          </w:tcPr>
          <w:p w:rsidR="00682A88" w:rsidRPr="00CF3673" w:rsidRDefault="00682A88" w:rsidP="00682A88">
            <w:pPr>
              <w:jc w:val="center"/>
            </w:pPr>
            <w:r w:rsidRPr="00CF3673">
              <w:t>46.9</w:t>
            </w:r>
          </w:p>
        </w:tc>
        <w:tc>
          <w:tcPr>
            <w:tcW w:w="910" w:type="dxa"/>
            <w:noWrap/>
            <w:hideMark/>
          </w:tcPr>
          <w:p w:rsidR="00682A88" w:rsidRPr="00CF3673" w:rsidRDefault="00682A88" w:rsidP="00682A88">
            <w:pPr>
              <w:jc w:val="center"/>
            </w:pPr>
            <w:r w:rsidRPr="00CF3673">
              <w:t>43.3</w:t>
            </w:r>
          </w:p>
        </w:tc>
        <w:tc>
          <w:tcPr>
            <w:tcW w:w="785" w:type="dxa"/>
            <w:noWrap/>
            <w:hideMark/>
          </w:tcPr>
          <w:p w:rsidR="00682A88" w:rsidRPr="00CF3673" w:rsidRDefault="00682A88" w:rsidP="00682A88">
            <w:pPr>
              <w:jc w:val="center"/>
            </w:pPr>
            <w:r w:rsidRPr="00CF3673">
              <w:t>44.7</w:t>
            </w:r>
          </w:p>
        </w:tc>
        <w:tc>
          <w:tcPr>
            <w:tcW w:w="1431" w:type="dxa"/>
            <w:noWrap/>
            <w:hideMark/>
          </w:tcPr>
          <w:p w:rsidR="00682A88" w:rsidRPr="00CF3673" w:rsidRDefault="00682A88" w:rsidP="00682A88">
            <w:pPr>
              <w:jc w:val="center"/>
            </w:pPr>
            <w:r w:rsidRPr="00CF3673">
              <w:t>43.6</w:t>
            </w:r>
          </w:p>
        </w:tc>
        <w:tc>
          <w:tcPr>
            <w:tcW w:w="1710" w:type="dxa"/>
            <w:noWrap/>
            <w:hideMark/>
          </w:tcPr>
          <w:p w:rsidR="00682A88" w:rsidRPr="00CF3673" w:rsidRDefault="00682A88" w:rsidP="00682A88">
            <w:pPr>
              <w:jc w:val="center"/>
            </w:pPr>
            <w:r w:rsidRPr="00CF3673">
              <w:t>52.4</w:t>
            </w:r>
          </w:p>
        </w:tc>
      </w:tr>
      <w:tr w:rsidR="00682A88" w:rsidRPr="00CF3673" w:rsidTr="00682A88">
        <w:trPr>
          <w:trHeight w:val="300"/>
        </w:trPr>
        <w:tc>
          <w:tcPr>
            <w:tcW w:w="2349" w:type="dxa"/>
            <w:noWrap/>
            <w:hideMark/>
          </w:tcPr>
          <w:p w:rsidR="00682A88" w:rsidRPr="00CF3673" w:rsidRDefault="00682A88" w:rsidP="00682A88">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Recomendado por autoridades</w:t>
            </w:r>
          </w:p>
        </w:tc>
        <w:tc>
          <w:tcPr>
            <w:tcW w:w="571" w:type="dxa"/>
            <w:noWrap/>
            <w:hideMark/>
          </w:tcPr>
          <w:p w:rsidR="00682A88" w:rsidRPr="00CF3673" w:rsidRDefault="00682A88" w:rsidP="00682A88">
            <w:pPr>
              <w:jc w:val="center"/>
            </w:pPr>
            <w:r w:rsidRPr="00CF3673">
              <w:t>8.4</w:t>
            </w:r>
          </w:p>
        </w:tc>
        <w:tc>
          <w:tcPr>
            <w:tcW w:w="693" w:type="dxa"/>
            <w:noWrap/>
            <w:hideMark/>
          </w:tcPr>
          <w:p w:rsidR="00682A88" w:rsidRPr="00CF3673" w:rsidRDefault="00682A88" w:rsidP="00682A88">
            <w:pPr>
              <w:jc w:val="center"/>
            </w:pPr>
            <w:r w:rsidRPr="00CF3673">
              <w:t>8.3</w:t>
            </w:r>
          </w:p>
        </w:tc>
        <w:tc>
          <w:tcPr>
            <w:tcW w:w="905" w:type="dxa"/>
            <w:noWrap/>
            <w:hideMark/>
          </w:tcPr>
          <w:p w:rsidR="00682A88" w:rsidRPr="00CF3673" w:rsidRDefault="00682A88" w:rsidP="00682A88">
            <w:pPr>
              <w:jc w:val="center"/>
            </w:pPr>
            <w:r w:rsidRPr="00CF3673">
              <w:t>7.4</w:t>
            </w:r>
          </w:p>
        </w:tc>
        <w:tc>
          <w:tcPr>
            <w:tcW w:w="654" w:type="dxa"/>
            <w:noWrap/>
            <w:hideMark/>
          </w:tcPr>
          <w:p w:rsidR="00682A88" w:rsidRPr="00CF3673" w:rsidRDefault="00682A88" w:rsidP="00682A88">
            <w:pPr>
              <w:jc w:val="center"/>
            </w:pPr>
            <w:r w:rsidRPr="00CF3673">
              <w:t>12.5</w:t>
            </w:r>
          </w:p>
        </w:tc>
        <w:tc>
          <w:tcPr>
            <w:tcW w:w="910" w:type="dxa"/>
            <w:noWrap/>
            <w:hideMark/>
          </w:tcPr>
          <w:p w:rsidR="00682A88" w:rsidRPr="00CF3673" w:rsidRDefault="00682A88" w:rsidP="00682A88">
            <w:pPr>
              <w:jc w:val="center"/>
            </w:pPr>
            <w:r w:rsidRPr="00CF3673">
              <w:t>6.1</w:t>
            </w:r>
          </w:p>
        </w:tc>
        <w:tc>
          <w:tcPr>
            <w:tcW w:w="785" w:type="dxa"/>
            <w:noWrap/>
            <w:hideMark/>
          </w:tcPr>
          <w:p w:rsidR="00682A88" w:rsidRPr="00CF3673" w:rsidRDefault="00682A88" w:rsidP="00682A88">
            <w:pPr>
              <w:jc w:val="center"/>
            </w:pPr>
            <w:r w:rsidRPr="00CF3673">
              <w:t>9.1</w:t>
            </w:r>
          </w:p>
        </w:tc>
        <w:tc>
          <w:tcPr>
            <w:tcW w:w="1431" w:type="dxa"/>
            <w:noWrap/>
            <w:hideMark/>
          </w:tcPr>
          <w:p w:rsidR="00682A88" w:rsidRPr="00CF3673" w:rsidRDefault="00682A88" w:rsidP="00682A88">
            <w:pPr>
              <w:jc w:val="center"/>
            </w:pPr>
            <w:r w:rsidRPr="00CF3673">
              <w:t>8.1</w:t>
            </w:r>
          </w:p>
        </w:tc>
        <w:tc>
          <w:tcPr>
            <w:tcW w:w="1710" w:type="dxa"/>
            <w:noWrap/>
            <w:hideMark/>
          </w:tcPr>
          <w:p w:rsidR="00682A88" w:rsidRPr="00CF3673" w:rsidRDefault="00682A88" w:rsidP="00682A88">
            <w:pPr>
              <w:jc w:val="center"/>
            </w:pPr>
            <w:r w:rsidRPr="00CF3673">
              <w:t>9.8</w:t>
            </w:r>
          </w:p>
        </w:tc>
      </w:tr>
      <w:tr w:rsidR="00682A88" w:rsidRPr="00CF3673" w:rsidTr="00682A88">
        <w:trPr>
          <w:trHeight w:val="300"/>
        </w:trPr>
        <w:tc>
          <w:tcPr>
            <w:tcW w:w="2349" w:type="dxa"/>
            <w:noWrap/>
            <w:hideMark/>
          </w:tcPr>
          <w:p w:rsidR="00682A88" w:rsidRPr="00CF3673" w:rsidRDefault="00682A88" w:rsidP="00682A88">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Contactos pessoais</w:t>
            </w:r>
          </w:p>
        </w:tc>
        <w:tc>
          <w:tcPr>
            <w:tcW w:w="571" w:type="dxa"/>
            <w:noWrap/>
            <w:hideMark/>
          </w:tcPr>
          <w:p w:rsidR="00682A88" w:rsidRPr="00CF3673" w:rsidRDefault="00682A88" w:rsidP="00682A88">
            <w:pPr>
              <w:jc w:val="center"/>
            </w:pPr>
            <w:r w:rsidRPr="00CF3673">
              <w:t>56.8</w:t>
            </w:r>
          </w:p>
        </w:tc>
        <w:tc>
          <w:tcPr>
            <w:tcW w:w="693" w:type="dxa"/>
            <w:noWrap/>
            <w:hideMark/>
          </w:tcPr>
          <w:p w:rsidR="00682A88" w:rsidRPr="00CF3673" w:rsidRDefault="00682A88" w:rsidP="00682A88">
            <w:pPr>
              <w:jc w:val="center"/>
            </w:pPr>
            <w:r w:rsidRPr="00CF3673">
              <w:t>57.7</w:t>
            </w:r>
          </w:p>
        </w:tc>
        <w:tc>
          <w:tcPr>
            <w:tcW w:w="905" w:type="dxa"/>
            <w:noWrap/>
            <w:hideMark/>
          </w:tcPr>
          <w:p w:rsidR="00682A88" w:rsidRPr="00CF3673" w:rsidRDefault="00682A88" w:rsidP="00682A88">
            <w:pPr>
              <w:jc w:val="center"/>
            </w:pPr>
            <w:r w:rsidRPr="00CF3673">
              <w:t>60.2</w:t>
            </w:r>
          </w:p>
        </w:tc>
        <w:tc>
          <w:tcPr>
            <w:tcW w:w="654" w:type="dxa"/>
            <w:noWrap/>
            <w:hideMark/>
          </w:tcPr>
          <w:p w:rsidR="00682A88" w:rsidRPr="00CF3673" w:rsidRDefault="00682A88" w:rsidP="00682A88">
            <w:pPr>
              <w:jc w:val="center"/>
            </w:pPr>
            <w:r w:rsidRPr="00CF3673">
              <w:t>40.6</w:t>
            </w:r>
          </w:p>
        </w:tc>
        <w:tc>
          <w:tcPr>
            <w:tcW w:w="910" w:type="dxa"/>
            <w:noWrap/>
            <w:hideMark/>
          </w:tcPr>
          <w:p w:rsidR="00682A88" w:rsidRPr="00CF3673" w:rsidRDefault="00682A88" w:rsidP="00682A88">
            <w:pPr>
              <w:jc w:val="center"/>
            </w:pPr>
            <w:r w:rsidRPr="00CF3673">
              <w:t>57.9</w:t>
            </w:r>
          </w:p>
        </w:tc>
        <w:tc>
          <w:tcPr>
            <w:tcW w:w="785" w:type="dxa"/>
            <w:noWrap/>
            <w:hideMark/>
          </w:tcPr>
          <w:p w:rsidR="00682A88" w:rsidRPr="00CF3673" w:rsidRDefault="00682A88" w:rsidP="00682A88">
            <w:pPr>
              <w:jc w:val="center"/>
            </w:pPr>
            <w:r w:rsidRPr="00CF3673">
              <w:t>56.4</w:t>
            </w:r>
          </w:p>
        </w:tc>
        <w:tc>
          <w:tcPr>
            <w:tcW w:w="1431" w:type="dxa"/>
            <w:noWrap/>
            <w:hideMark/>
          </w:tcPr>
          <w:p w:rsidR="00682A88" w:rsidRPr="00CF3673" w:rsidRDefault="00682A88" w:rsidP="00682A88">
            <w:pPr>
              <w:jc w:val="center"/>
            </w:pPr>
            <w:r w:rsidRPr="00CF3673">
              <w:t>58.4</w:t>
            </w:r>
          </w:p>
        </w:tc>
        <w:tc>
          <w:tcPr>
            <w:tcW w:w="1710" w:type="dxa"/>
            <w:noWrap/>
            <w:hideMark/>
          </w:tcPr>
          <w:p w:rsidR="00682A88" w:rsidRPr="00CF3673" w:rsidRDefault="00682A88" w:rsidP="00682A88">
            <w:pPr>
              <w:jc w:val="center"/>
            </w:pPr>
            <w:r w:rsidRPr="00CF3673">
              <w:t>45.1</w:t>
            </w:r>
          </w:p>
        </w:tc>
      </w:tr>
      <w:tr w:rsidR="00682A88" w:rsidRPr="00CF3673" w:rsidTr="00682A88">
        <w:trPr>
          <w:trHeight w:val="300"/>
        </w:trPr>
        <w:tc>
          <w:tcPr>
            <w:tcW w:w="2349" w:type="dxa"/>
            <w:noWrap/>
            <w:hideMark/>
          </w:tcPr>
          <w:p w:rsidR="00682A88" w:rsidRPr="00CF3673" w:rsidRDefault="00682A88" w:rsidP="00682A88">
            <w:pPr>
              <w:rPr>
                <w:rFonts w:ascii="Calibri" w:eastAsia="Times New Roman" w:hAnsi="Calibri" w:cs="Times New Roman"/>
                <w:color w:val="000000"/>
                <w:lang w:eastAsia="zh-CN"/>
              </w:rPr>
            </w:pPr>
            <w:proofErr w:type="spellStart"/>
            <w:r w:rsidRPr="00CF3673">
              <w:rPr>
                <w:rFonts w:ascii="Calibri" w:eastAsia="Times New Roman" w:hAnsi="Calibri" w:cs="Times New Roman"/>
                <w:color w:val="000000"/>
                <w:lang w:eastAsia="zh-CN"/>
              </w:rPr>
              <w:t>CVs</w:t>
            </w:r>
            <w:proofErr w:type="spellEnd"/>
            <w:r w:rsidRPr="00CF3673">
              <w:rPr>
                <w:rFonts w:ascii="Calibri" w:eastAsia="Times New Roman" w:hAnsi="Calibri" w:cs="Times New Roman"/>
                <w:color w:val="000000"/>
                <w:lang w:eastAsia="zh-CN"/>
              </w:rPr>
              <w:t xml:space="preserve"> não solicitados/</w:t>
            </w:r>
            <w:r w:rsidR="006A4724" w:rsidRPr="00CF3673">
              <w:rPr>
                <w:rFonts w:ascii="Calibri" w:eastAsia="Times New Roman" w:hAnsi="Calibri" w:cs="Times New Roman"/>
                <w:color w:val="000000"/>
                <w:lang w:eastAsia="zh-CN"/>
              </w:rPr>
              <w:t>candidatura</w:t>
            </w:r>
            <w:r w:rsidRPr="00CF3673">
              <w:rPr>
                <w:rFonts w:ascii="Calibri" w:eastAsia="Times New Roman" w:hAnsi="Calibri" w:cs="Times New Roman"/>
                <w:color w:val="000000"/>
                <w:lang w:eastAsia="zh-CN"/>
              </w:rPr>
              <w:t xml:space="preserve"> espontânea</w:t>
            </w:r>
          </w:p>
        </w:tc>
        <w:tc>
          <w:tcPr>
            <w:tcW w:w="571" w:type="dxa"/>
            <w:noWrap/>
            <w:hideMark/>
          </w:tcPr>
          <w:p w:rsidR="00682A88" w:rsidRPr="00CF3673" w:rsidRDefault="00682A88" w:rsidP="00682A88">
            <w:pPr>
              <w:jc w:val="center"/>
            </w:pPr>
            <w:r w:rsidRPr="00CF3673">
              <w:t>19.8</w:t>
            </w:r>
          </w:p>
        </w:tc>
        <w:tc>
          <w:tcPr>
            <w:tcW w:w="693" w:type="dxa"/>
            <w:noWrap/>
            <w:hideMark/>
          </w:tcPr>
          <w:p w:rsidR="00682A88" w:rsidRPr="00CF3673" w:rsidRDefault="00682A88" w:rsidP="00682A88">
            <w:pPr>
              <w:jc w:val="center"/>
            </w:pPr>
            <w:r w:rsidRPr="00CF3673">
              <w:t>14.0</w:t>
            </w:r>
          </w:p>
        </w:tc>
        <w:tc>
          <w:tcPr>
            <w:tcW w:w="905" w:type="dxa"/>
            <w:noWrap/>
            <w:hideMark/>
          </w:tcPr>
          <w:p w:rsidR="00682A88" w:rsidRPr="00CF3673" w:rsidRDefault="00682A88" w:rsidP="00682A88">
            <w:pPr>
              <w:jc w:val="center"/>
            </w:pPr>
            <w:r w:rsidRPr="00CF3673">
              <w:t>31.3</w:t>
            </w:r>
          </w:p>
        </w:tc>
        <w:tc>
          <w:tcPr>
            <w:tcW w:w="654" w:type="dxa"/>
            <w:noWrap/>
            <w:hideMark/>
          </w:tcPr>
          <w:p w:rsidR="00682A88" w:rsidRPr="00CF3673" w:rsidRDefault="00682A88" w:rsidP="00682A88">
            <w:pPr>
              <w:jc w:val="center"/>
            </w:pPr>
            <w:r w:rsidRPr="00CF3673">
              <w:t>34.4</w:t>
            </w:r>
          </w:p>
        </w:tc>
        <w:tc>
          <w:tcPr>
            <w:tcW w:w="910" w:type="dxa"/>
            <w:noWrap/>
            <w:hideMark/>
          </w:tcPr>
          <w:p w:rsidR="00682A88" w:rsidRPr="00CF3673" w:rsidRDefault="00682A88" w:rsidP="00682A88">
            <w:pPr>
              <w:jc w:val="center"/>
            </w:pPr>
            <w:r w:rsidRPr="00CF3673">
              <w:t>7.3</w:t>
            </w:r>
          </w:p>
        </w:tc>
        <w:tc>
          <w:tcPr>
            <w:tcW w:w="785" w:type="dxa"/>
            <w:noWrap/>
            <w:hideMark/>
          </w:tcPr>
          <w:p w:rsidR="00682A88" w:rsidRPr="00CF3673" w:rsidRDefault="00682A88" w:rsidP="00682A88">
            <w:pPr>
              <w:jc w:val="center"/>
            </w:pPr>
            <w:r w:rsidRPr="00CF3673">
              <w:t>23.3</w:t>
            </w:r>
          </w:p>
        </w:tc>
        <w:tc>
          <w:tcPr>
            <w:tcW w:w="1431" w:type="dxa"/>
            <w:noWrap/>
            <w:hideMark/>
          </w:tcPr>
          <w:p w:rsidR="00682A88" w:rsidRPr="00CF3673" w:rsidRDefault="00682A88" w:rsidP="00682A88">
            <w:pPr>
              <w:jc w:val="center"/>
            </w:pPr>
            <w:r w:rsidRPr="00CF3673">
              <w:t>18.1</w:t>
            </w:r>
          </w:p>
        </w:tc>
        <w:tc>
          <w:tcPr>
            <w:tcW w:w="1710" w:type="dxa"/>
            <w:noWrap/>
            <w:hideMark/>
          </w:tcPr>
          <w:p w:rsidR="00682A88" w:rsidRPr="00CF3673" w:rsidRDefault="00682A88" w:rsidP="00682A88">
            <w:pPr>
              <w:jc w:val="center"/>
            </w:pPr>
            <w:r w:rsidRPr="00CF3673">
              <w:t>34.1</w:t>
            </w:r>
          </w:p>
        </w:tc>
      </w:tr>
      <w:tr w:rsidR="00682A88" w:rsidRPr="00CF3673" w:rsidTr="00682A88">
        <w:trPr>
          <w:trHeight w:val="300"/>
        </w:trPr>
        <w:tc>
          <w:tcPr>
            <w:tcW w:w="2349" w:type="dxa"/>
            <w:tcBorders>
              <w:bottom w:val="nil"/>
            </w:tcBorders>
            <w:noWrap/>
            <w:hideMark/>
          </w:tcPr>
          <w:p w:rsidR="00682A88" w:rsidRPr="00CF3673" w:rsidRDefault="00682A88" w:rsidP="00682A88">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Através de centros de emprego</w:t>
            </w:r>
          </w:p>
        </w:tc>
        <w:tc>
          <w:tcPr>
            <w:tcW w:w="571" w:type="dxa"/>
            <w:tcBorders>
              <w:bottom w:val="nil"/>
            </w:tcBorders>
            <w:noWrap/>
            <w:hideMark/>
          </w:tcPr>
          <w:p w:rsidR="00682A88" w:rsidRPr="00CF3673" w:rsidRDefault="00682A88" w:rsidP="00682A88">
            <w:pPr>
              <w:jc w:val="center"/>
            </w:pPr>
            <w:r w:rsidRPr="00CF3673">
              <w:t>4.6</w:t>
            </w:r>
          </w:p>
        </w:tc>
        <w:tc>
          <w:tcPr>
            <w:tcW w:w="693" w:type="dxa"/>
            <w:tcBorders>
              <w:bottom w:val="nil"/>
            </w:tcBorders>
            <w:noWrap/>
            <w:hideMark/>
          </w:tcPr>
          <w:p w:rsidR="00682A88" w:rsidRPr="00CF3673" w:rsidRDefault="00682A88" w:rsidP="00682A88">
            <w:pPr>
              <w:jc w:val="center"/>
            </w:pPr>
            <w:r w:rsidRPr="00CF3673">
              <w:t>1.8</w:t>
            </w:r>
          </w:p>
        </w:tc>
        <w:tc>
          <w:tcPr>
            <w:tcW w:w="905" w:type="dxa"/>
            <w:tcBorders>
              <w:bottom w:val="nil"/>
            </w:tcBorders>
            <w:noWrap/>
            <w:hideMark/>
          </w:tcPr>
          <w:p w:rsidR="00682A88" w:rsidRPr="00CF3673" w:rsidRDefault="00682A88" w:rsidP="00682A88">
            <w:pPr>
              <w:jc w:val="center"/>
            </w:pPr>
            <w:r w:rsidRPr="00CF3673">
              <w:t>8.0</w:t>
            </w:r>
          </w:p>
        </w:tc>
        <w:tc>
          <w:tcPr>
            <w:tcW w:w="654" w:type="dxa"/>
            <w:tcBorders>
              <w:bottom w:val="nil"/>
            </w:tcBorders>
            <w:noWrap/>
            <w:hideMark/>
          </w:tcPr>
          <w:p w:rsidR="00682A88" w:rsidRPr="00CF3673" w:rsidRDefault="00682A88" w:rsidP="00682A88">
            <w:pPr>
              <w:jc w:val="center"/>
            </w:pPr>
            <w:r w:rsidRPr="00CF3673">
              <w:t>17.2</w:t>
            </w:r>
          </w:p>
        </w:tc>
        <w:tc>
          <w:tcPr>
            <w:tcW w:w="910" w:type="dxa"/>
            <w:tcBorders>
              <w:bottom w:val="nil"/>
            </w:tcBorders>
            <w:noWrap/>
            <w:hideMark/>
          </w:tcPr>
          <w:p w:rsidR="00682A88" w:rsidRPr="00CF3673" w:rsidRDefault="00682A88" w:rsidP="00682A88">
            <w:pPr>
              <w:jc w:val="center"/>
            </w:pPr>
            <w:r w:rsidRPr="00CF3673">
              <w:t>0.6</w:t>
            </w:r>
          </w:p>
        </w:tc>
        <w:tc>
          <w:tcPr>
            <w:tcW w:w="785" w:type="dxa"/>
            <w:tcBorders>
              <w:bottom w:val="nil"/>
            </w:tcBorders>
            <w:noWrap/>
            <w:hideMark/>
          </w:tcPr>
          <w:p w:rsidR="00682A88" w:rsidRPr="00CF3673" w:rsidRDefault="00682A88" w:rsidP="00682A88">
            <w:pPr>
              <w:jc w:val="center"/>
            </w:pPr>
            <w:r w:rsidRPr="00CF3673">
              <w:t>5.7</w:t>
            </w:r>
          </w:p>
        </w:tc>
        <w:tc>
          <w:tcPr>
            <w:tcW w:w="1431" w:type="dxa"/>
            <w:tcBorders>
              <w:bottom w:val="nil"/>
            </w:tcBorders>
            <w:noWrap/>
            <w:hideMark/>
          </w:tcPr>
          <w:p w:rsidR="00682A88" w:rsidRPr="00CF3673" w:rsidRDefault="00682A88" w:rsidP="00682A88">
            <w:pPr>
              <w:jc w:val="center"/>
            </w:pPr>
            <w:r w:rsidRPr="00CF3673">
              <w:t>3.3</w:t>
            </w:r>
          </w:p>
        </w:tc>
        <w:tc>
          <w:tcPr>
            <w:tcW w:w="1710" w:type="dxa"/>
            <w:tcBorders>
              <w:bottom w:val="nil"/>
            </w:tcBorders>
            <w:noWrap/>
            <w:hideMark/>
          </w:tcPr>
          <w:p w:rsidR="00682A88" w:rsidRPr="00CF3673" w:rsidRDefault="00682A88" w:rsidP="00682A88">
            <w:pPr>
              <w:jc w:val="center"/>
            </w:pPr>
            <w:r w:rsidRPr="00CF3673">
              <w:t>14.6</w:t>
            </w:r>
          </w:p>
        </w:tc>
      </w:tr>
      <w:tr w:rsidR="00682A88" w:rsidRPr="00CF3673" w:rsidTr="00682A88">
        <w:trPr>
          <w:trHeight w:val="300"/>
        </w:trPr>
        <w:tc>
          <w:tcPr>
            <w:tcW w:w="2349" w:type="dxa"/>
            <w:tcBorders>
              <w:top w:val="nil"/>
              <w:bottom w:val="single" w:sz="4" w:space="0" w:color="auto"/>
            </w:tcBorders>
            <w:noWrap/>
            <w:hideMark/>
          </w:tcPr>
          <w:p w:rsidR="00682A88" w:rsidRPr="00CF3673" w:rsidRDefault="00682A88" w:rsidP="00682A88">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 xml:space="preserve">Outros                                                                                                                                                                 </w:t>
            </w:r>
          </w:p>
        </w:tc>
        <w:tc>
          <w:tcPr>
            <w:tcW w:w="571" w:type="dxa"/>
            <w:tcBorders>
              <w:top w:val="nil"/>
              <w:bottom w:val="single" w:sz="4" w:space="0" w:color="auto"/>
            </w:tcBorders>
            <w:noWrap/>
            <w:hideMark/>
          </w:tcPr>
          <w:p w:rsidR="00682A88" w:rsidRPr="00CF3673" w:rsidRDefault="00682A88" w:rsidP="00682A88">
            <w:pPr>
              <w:jc w:val="center"/>
            </w:pPr>
            <w:r w:rsidRPr="00CF3673">
              <w:t>30.2</w:t>
            </w:r>
          </w:p>
        </w:tc>
        <w:tc>
          <w:tcPr>
            <w:tcW w:w="693" w:type="dxa"/>
            <w:tcBorders>
              <w:top w:val="nil"/>
              <w:bottom w:val="single" w:sz="4" w:space="0" w:color="auto"/>
            </w:tcBorders>
            <w:noWrap/>
            <w:hideMark/>
          </w:tcPr>
          <w:p w:rsidR="00682A88" w:rsidRPr="00CF3673" w:rsidRDefault="00682A88" w:rsidP="00682A88">
            <w:pPr>
              <w:jc w:val="center"/>
            </w:pPr>
            <w:r w:rsidRPr="00CF3673">
              <w:t>31.2</w:t>
            </w:r>
          </w:p>
        </w:tc>
        <w:tc>
          <w:tcPr>
            <w:tcW w:w="905" w:type="dxa"/>
            <w:tcBorders>
              <w:top w:val="nil"/>
              <w:bottom w:val="single" w:sz="4" w:space="0" w:color="auto"/>
            </w:tcBorders>
            <w:noWrap/>
            <w:hideMark/>
          </w:tcPr>
          <w:p w:rsidR="00682A88" w:rsidRPr="00CF3673" w:rsidRDefault="00682A88" w:rsidP="00682A88">
            <w:pPr>
              <w:jc w:val="center"/>
            </w:pPr>
            <w:r w:rsidRPr="00CF3673">
              <w:t>28.4</w:t>
            </w:r>
          </w:p>
        </w:tc>
        <w:tc>
          <w:tcPr>
            <w:tcW w:w="654" w:type="dxa"/>
            <w:tcBorders>
              <w:top w:val="nil"/>
              <w:bottom w:val="single" w:sz="4" w:space="0" w:color="auto"/>
            </w:tcBorders>
            <w:noWrap/>
            <w:hideMark/>
          </w:tcPr>
          <w:p w:rsidR="00682A88" w:rsidRPr="00CF3673" w:rsidRDefault="00682A88" w:rsidP="00682A88">
            <w:pPr>
              <w:jc w:val="center"/>
            </w:pPr>
            <w:r w:rsidRPr="00CF3673">
              <w:t>26.6</w:t>
            </w:r>
          </w:p>
        </w:tc>
        <w:tc>
          <w:tcPr>
            <w:tcW w:w="910" w:type="dxa"/>
            <w:tcBorders>
              <w:top w:val="nil"/>
              <w:bottom w:val="single" w:sz="4" w:space="0" w:color="auto"/>
            </w:tcBorders>
            <w:noWrap/>
            <w:hideMark/>
          </w:tcPr>
          <w:p w:rsidR="00682A88" w:rsidRPr="00CF3673" w:rsidRDefault="00682A88" w:rsidP="00682A88">
            <w:pPr>
              <w:jc w:val="center"/>
            </w:pPr>
            <w:r w:rsidRPr="00CF3673">
              <w:t>31.7</w:t>
            </w:r>
          </w:p>
        </w:tc>
        <w:tc>
          <w:tcPr>
            <w:tcW w:w="785" w:type="dxa"/>
            <w:tcBorders>
              <w:top w:val="nil"/>
              <w:bottom w:val="single" w:sz="4" w:space="0" w:color="auto"/>
            </w:tcBorders>
            <w:noWrap/>
            <w:hideMark/>
          </w:tcPr>
          <w:p w:rsidR="00682A88" w:rsidRPr="00CF3673" w:rsidRDefault="00682A88" w:rsidP="00682A88">
            <w:pPr>
              <w:jc w:val="center"/>
            </w:pPr>
            <w:r w:rsidRPr="00CF3673">
              <w:t>29.8</w:t>
            </w:r>
          </w:p>
        </w:tc>
        <w:tc>
          <w:tcPr>
            <w:tcW w:w="1431" w:type="dxa"/>
            <w:tcBorders>
              <w:top w:val="nil"/>
              <w:bottom w:val="single" w:sz="4" w:space="0" w:color="auto"/>
            </w:tcBorders>
            <w:noWrap/>
            <w:hideMark/>
          </w:tcPr>
          <w:p w:rsidR="00682A88" w:rsidRPr="00CF3673" w:rsidRDefault="00682A88" w:rsidP="00682A88">
            <w:pPr>
              <w:jc w:val="center"/>
            </w:pPr>
            <w:r w:rsidRPr="00CF3673">
              <w:t>30.9</w:t>
            </w:r>
          </w:p>
        </w:tc>
        <w:tc>
          <w:tcPr>
            <w:tcW w:w="1710" w:type="dxa"/>
            <w:tcBorders>
              <w:top w:val="nil"/>
              <w:bottom w:val="single" w:sz="4" w:space="0" w:color="auto"/>
            </w:tcBorders>
            <w:noWrap/>
            <w:hideMark/>
          </w:tcPr>
          <w:p w:rsidR="00682A88" w:rsidRPr="00CF3673" w:rsidRDefault="00682A88" w:rsidP="00682A88">
            <w:pPr>
              <w:jc w:val="center"/>
            </w:pPr>
            <w:r w:rsidRPr="00CF3673">
              <w:t>24.4</w:t>
            </w:r>
          </w:p>
        </w:tc>
      </w:tr>
      <w:tr w:rsidR="00682A88" w:rsidRPr="00CF3673" w:rsidTr="00682A88">
        <w:trPr>
          <w:trHeight w:val="300"/>
        </w:trPr>
        <w:tc>
          <w:tcPr>
            <w:tcW w:w="2349" w:type="dxa"/>
            <w:tcBorders>
              <w:top w:val="single" w:sz="4" w:space="0" w:color="auto"/>
              <w:bottom w:val="doub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Nº de obs.</w:t>
            </w:r>
          </w:p>
        </w:tc>
        <w:tc>
          <w:tcPr>
            <w:tcW w:w="571" w:type="dxa"/>
            <w:tcBorders>
              <w:top w:val="single" w:sz="4" w:space="0" w:color="auto"/>
              <w:bottom w:val="double" w:sz="4" w:space="0" w:color="auto"/>
            </w:tcBorders>
            <w:noWrap/>
            <w:hideMark/>
          </w:tcPr>
          <w:p w:rsidR="00682A88" w:rsidRPr="00CF3673" w:rsidRDefault="00682A88" w:rsidP="00682A88">
            <w:pPr>
              <w:jc w:val="center"/>
            </w:pPr>
            <w:r w:rsidRPr="00CF3673">
              <w:t>746</w:t>
            </w:r>
          </w:p>
        </w:tc>
        <w:tc>
          <w:tcPr>
            <w:tcW w:w="693" w:type="dxa"/>
            <w:tcBorders>
              <w:top w:val="single" w:sz="4" w:space="0" w:color="auto"/>
              <w:bottom w:val="double" w:sz="4" w:space="0" w:color="auto"/>
            </w:tcBorders>
            <w:noWrap/>
            <w:hideMark/>
          </w:tcPr>
          <w:p w:rsidR="00682A88" w:rsidRPr="00CF3673" w:rsidRDefault="00682A88" w:rsidP="00682A88">
            <w:pPr>
              <w:jc w:val="center"/>
            </w:pPr>
            <w:r w:rsidRPr="00CF3673">
              <w:t>506</w:t>
            </w:r>
          </w:p>
        </w:tc>
        <w:tc>
          <w:tcPr>
            <w:tcW w:w="905" w:type="dxa"/>
            <w:tcBorders>
              <w:top w:val="single" w:sz="4" w:space="0" w:color="auto"/>
              <w:bottom w:val="double" w:sz="4" w:space="0" w:color="auto"/>
            </w:tcBorders>
            <w:noWrap/>
            <w:hideMark/>
          </w:tcPr>
          <w:p w:rsidR="00682A88" w:rsidRPr="00CF3673" w:rsidRDefault="00682A88" w:rsidP="00682A88">
            <w:pPr>
              <w:jc w:val="center"/>
            </w:pPr>
            <w:r w:rsidRPr="00CF3673">
              <w:t>176</w:t>
            </w:r>
          </w:p>
        </w:tc>
        <w:tc>
          <w:tcPr>
            <w:tcW w:w="654" w:type="dxa"/>
            <w:tcBorders>
              <w:top w:val="single" w:sz="4" w:space="0" w:color="auto"/>
              <w:bottom w:val="double" w:sz="4" w:space="0" w:color="auto"/>
            </w:tcBorders>
            <w:noWrap/>
            <w:hideMark/>
          </w:tcPr>
          <w:p w:rsidR="00682A88" w:rsidRPr="00CF3673" w:rsidRDefault="00682A88" w:rsidP="00682A88">
            <w:pPr>
              <w:jc w:val="center"/>
            </w:pPr>
            <w:r w:rsidRPr="00CF3673">
              <w:t>64</w:t>
            </w:r>
          </w:p>
        </w:tc>
        <w:tc>
          <w:tcPr>
            <w:tcW w:w="910" w:type="dxa"/>
            <w:tcBorders>
              <w:top w:val="single" w:sz="4" w:space="0" w:color="auto"/>
              <w:bottom w:val="double" w:sz="4" w:space="0" w:color="auto"/>
            </w:tcBorders>
            <w:noWrap/>
            <w:hideMark/>
          </w:tcPr>
          <w:p w:rsidR="00682A88" w:rsidRPr="00CF3673" w:rsidRDefault="00682A88" w:rsidP="00682A88">
            <w:pPr>
              <w:jc w:val="center"/>
            </w:pPr>
            <w:r w:rsidRPr="00CF3673">
              <w:t>164</w:t>
            </w:r>
          </w:p>
        </w:tc>
        <w:tc>
          <w:tcPr>
            <w:tcW w:w="785" w:type="dxa"/>
            <w:tcBorders>
              <w:top w:val="single" w:sz="4" w:space="0" w:color="auto"/>
              <w:bottom w:val="double" w:sz="4" w:space="0" w:color="auto"/>
            </w:tcBorders>
            <w:noWrap/>
            <w:hideMark/>
          </w:tcPr>
          <w:p w:rsidR="00682A88" w:rsidRPr="00CF3673" w:rsidRDefault="00682A88" w:rsidP="00682A88">
            <w:pPr>
              <w:jc w:val="center"/>
            </w:pPr>
            <w:r w:rsidRPr="00CF3673">
              <w:t>580</w:t>
            </w:r>
          </w:p>
        </w:tc>
        <w:tc>
          <w:tcPr>
            <w:tcW w:w="1431" w:type="dxa"/>
            <w:tcBorders>
              <w:top w:val="single" w:sz="4" w:space="0" w:color="auto"/>
              <w:bottom w:val="double" w:sz="4" w:space="0" w:color="auto"/>
            </w:tcBorders>
            <w:noWrap/>
            <w:hideMark/>
          </w:tcPr>
          <w:p w:rsidR="00682A88" w:rsidRPr="00CF3673" w:rsidRDefault="00682A88" w:rsidP="00682A88">
            <w:pPr>
              <w:jc w:val="center"/>
            </w:pPr>
            <w:r w:rsidRPr="00CF3673">
              <w:t>663</w:t>
            </w:r>
          </w:p>
        </w:tc>
        <w:tc>
          <w:tcPr>
            <w:tcW w:w="1710" w:type="dxa"/>
            <w:tcBorders>
              <w:top w:val="single" w:sz="4" w:space="0" w:color="auto"/>
              <w:bottom w:val="double" w:sz="4" w:space="0" w:color="auto"/>
            </w:tcBorders>
            <w:noWrap/>
            <w:hideMark/>
          </w:tcPr>
          <w:p w:rsidR="00682A88" w:rsidRPr="00CF3673" w:rsidRDefault="00682A88" w:rsidP="00682A88">
            <w:pPr>
              <w:jc w:val="center"/>
            </w:pPr>
            <w:r w:rsidRPr="00CF3673">
              <w:t>82</w:t>
            </w:r>
          </w:p>
        </w:tc>
      </w:tr>
      <w:tr w:rsidR="00682A88" w:rsidRPr="00CF3673" w:rsidTr="00682A88">
        <w:trPr>
          <w:trHeight w:val="300"/>
        </w:trPr>
        <w:tc>
          <w:tcPr>
            <w:tcW w:w="10008" w:type="dxa"/>
            <w:gridSpan w:val="9"/>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15 </w:t>
            </w:r>
            <w:r w:rsidR="006A4724" w:rsidRPr="00CF3673">
              <w:rPr>
                <w:lang w:val="pt-PT"/>
              </w:rPr>
              <w:t>observações</w:t>
            </w:r>
            <w:r w:rsidRPr="00CF3673">
              <w:rPr>
                <w:lang w:val="pt-PT"/>
              </w:rPr>
              <w:t xml:space="preserve"> em falta.</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trPr>
        <w:tc>
          <w:tcPr>
            <w:tcW w:w="10008" w:type="dxa"/>
            <w:gridSpan w:val="9"/>
            <w:tcBorders>
              <w:top w:val="nil"/>
              <w:bottom w:val="nil"/>
            </w:tcBorders>
            <w:noWrap/>
          </w:tcPr>
          <w:p w:rsidR="00682A88" w:rsidRPr="00CF3673" w:rsidRDefault="00682A88" w:rsidP="00C41650">
            <w:pPr>
              <w:pStyle w:val="Tablenote"/>
              <w:rPr>
                <w:b/>
                <w:lang w:val="pt-PT"/>
              </w:rPr>
            </w:pPr>
            <w:r w:rsidRPr="00CF3673">
              <w:rPr>
                <w:b/>
                <w:lang w:val="pt-PT"/>
              </w:rPr>
              <w:t>Fonte:</w:t>
            </w:r>
            <w:r w:rsidRPr="00CF3673">
              <w:rPr>
                <w:lang w:val="pt-PT"/>
              </w:rPr>
              <w:t xml:space="preserve"> Cálculos </w:t>
            </w:r>
            <w:r w:rsidR="00C41650" w:rsidRPr="00CF3673">
              <w:rPr>
                <w:lang w:val="pt-PT"/>
              </w:rPr>
              <w:t xml:space="preserve">dos autores </w:t>
            </w:r>
            <w:r w:rsidRPr="00CF3673">
              <w:rPr>
                <w:lang w:val="pt-PT"/>
              </w:rPr>
              <w:t>usando IIM 2012.</w:t>
            </w:r>
          </w:p>
        </w:tc>
      </w:tr>
    </w:tbl>
    <w:p w:rsidR="00682A88" w:rsidRPr="00CF3673" w:rsidRDefault="00682A88" w:rsidP="00682A88">
      <w:pPr>
        <w:spacing w:line="360" w:lineRule="auto"/>
        <w:jc w:val="both"/>
      </w:pPr>
      <w:r w:rsidRPr="00CF3673">
        <w:t xml:space="preserve"> </w:t>
      </w:r>
    </w:p>
    <w:p w:rsidR="00682A88" w:rsidRPr="00CF3673" w:rsidRDefault="00682A88" w:rsidP="00682A88">
      <w:pPr>
        <w:spacing w:line="360" w:lineRule="auto"/>
        <w:jc w:val="both"/>
      </w:pPr>
      <w:r w:rsidRPr="00CF3673">
        <w:t xml:space="preserve">Considerando-se os procedimentos utilizados para contratar novos trabalhadores na Tabela 4.6, torna-se claro que os caminhos informais de contratação de novos funcionários - </w:t>
      </w:r>
      <w:r w:rsidR="006A4724" w:rsidRPr="00CF3673">
        <w:t>recomendações</w:t>
      </w:r>
      <w:r w:rsidRPr="00CF3673">
        <w:t xml:space="preserve"> por amigos, parentes, outros trabalhadores e contactos pessoais - são , de longe, o mais comumente usado. No entanto, para além disso, as empresas maiores ( e empresas estrangeiras ) também usar meios mais formais, com empresas médias também usando jornais, anúncios e centros de emprego a um grau muito maior do que as empresas menores . Eles também podem receber currículos mas não solicitadas, talvez porque eles são considerados para fornecer "bons empregos", como mencionado anteriormente.</w:t>
      </w:r>
    </w:p>
    <w:p w:rsidR="00682A88" w:rsidRPr="00CF3673" w:rsidRDefault="00682A88" w:rsidP="00682A88">
      <w:pPr>
        <w:spacing w:line="360" w:lineRule="auto"/>
        <w:jc w:val="both"/>
      </w:pPr>
    </w:p>
    <w:p w:rsidR="00682A88" w:rsidRPr="00CF3673" w:rsidRDefault="00682A88" w:rsidP="00682A88">
      <w:pPr>
        <w:spacing w:line="360" w:lineRule="auto"/>
        <w:jc w:val="both"/>
        <w:rPr>
          <w:b/>
          <w:u w:val="single"/>
        </w:rPr>
      </w:pPr>
      <w:r w:rsidRPr="00CF3673">
        <w:rPr>
          <w:b/>
          <w:u w:val="single"/>
        </w:rPr>
        <w:t>4.3 . Educação e habilidades</w:t>
      </w:r>
    </w:p>
    <w:p w:rsidR="00682A88" w:rsidRPr="00CF3673" w:rsidRDefault="00682A88" w:rsidP="00682A88">
      <w:pPr>
        <w:spacing w:line="360" w:lineRule="auto"/>
        <w:jc w:val="both"/>
      </w:pPr>
      <w:r w:rsidRPr="00CF3673">
        <w:t xml:space="preserve">Sob o domínio colonial Português, a maioria dos moçambicanos indígenas foram mantidos longe de frequentar a escola, resultando em níveis de escolaridade muito baixos e as taxas de alfabetização extremamente baixos. Desde a independência, a Frelimo colocou prioridade na educação do povo moçambicano, mas o ponto de partida baixo na altura da independência e da longa guerra fez com que o progresso tenha sido lento. Como Jones e </w:t>
      </w:r>
      <w:proofErr w:type="spellStart"/>
      <w:r w:rsidRPr="00CF3673">
        <w:t>Tarp</w:t>
      </w:r>
      <w:proofErr w:type="spellEnd"/>
      <w:r w:rsidRPr="00CF3673">
        <w:t xml:space="preserve"> (2012) mostra, os níveis de educação são hoje a melhorar </w:t>
      </w:r>
      <w:r w:rsidRPr="00CF3673">
        <w:lastRenderedPageBreak/>
        <w:t>lentamente, mas o nível continua muito baixo. Esta Secção investiga a questão das habilidades e educação para as empresas de fabricação de Moçambique .</w:t>
      </w:r>
    </w:p>
    <w:p w:rsidR="00682A88" w:rsidRPr="00CF3673" w:rsidRDefault="00682A88" w:rsidP="00682A88">
      <w:pPr>
        <w:spacing w:line="360" w:lineRule="auto"/>
        <w:jc w:val="both"/>
      </w:pPr>
      <w:r w:rsidRPr="00CF3673">
        <w:t>A Tabela 4.7 mostra a percentagem de trabalhadores com diferentes níveis de escolaridade para diversos grupos de empresas. Curiosamente, as empresas são bastante semelhantes em todo o tamanho, formalidade e nacionalidade do proprietário quando se trata do nível educacional da força de trabalho. No entanto, os trabalhadores das empresas formais são mais propensos a ter o ensino médio ou ensino superior do que os trabalhadores em empresas informais e os empregados de empresas estrangeiras também são mais propensos a ter ensino superior, mas não é claro que o tamanho da empresa importa muito para o nível de educação de seus funcionários. As microempresas não são muito propensos a empregar pessoas com diplomas universitários embora.</w:t>
      </w:r>
    </w:p>
    <w:p w:rsidR="00682A88" w:rsidRPr="00CF3673" w:rsidRDefault="00682A88" w:rsidP="00682A88">
      <w:pPr>
        <w:spacing w:line="360" w:lineRule="auto"/>
        <w:jc w:val="both"/>
      </w:pPr>
    </w:p>
    <w:p w:rsidR="00682A88" w:rsidRPr="00CF3673" w:rsidRDefault="00682A88" w:rsidP="00682A88">
      <w:pPr>
        <w:pStyle w:val="TableTitle"/>
        <w:rPr>
          <w:lang w:val="pt-PT"/>
        </w:rPr>
      </w:pPr>
      <w:r w:rsidRPr="00CF3673">
        <w:rPr>
          <w:lang w:val="pt-PT"/>
        </w:rPr>
        <w:t>Tabela 4.7: Nível de Educação dos trabalhadores por tipo de empresa, % dos trabalhadores</w:t>
      </w:r>
    </w:p>
    <w:tbl>
      <w:tblPr>
        <w:tblStyle w:val="StandardTable"/>
        <w:tblW w:w="0" w:type="auto"/>
        <w:jc w:val="center"/>
        <w:tblLayout w:type="fixed"/>
        <w:tblLook w:val="04E0" w:firstRow="1" w:lastRow="1" w:firstColumn="1" w:lastColumn="0" w:noHBand="0" w:noVBand="1"/>
      </w:tblPr>
      <w:tblGrid>
        <w:gridCol w:w="2679"/>
        <w:gridCol w:w="571"/>
        <w:gridCol w:w="693"/>
        <w:gridCol w:w="656"/>
        <w:gridCol w:w="903"/>
        <w:gridCol w:w="910"/>
        <w:gridCol w:w="785"/>
        <w:gridCol w:w="1253"/>
        <w:gridCol w:w="1164"/>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2679" w:type="dxa"/>
            <w:noWrap/>
          </w:tcPr>
          <w:p w:rsidR="00682A88" w:rsidRPr="00CF3673" w:rsidRDefault="00682A88" w:rsidP="00682A88">
            <w:pPr>
              <w:rPr>
                <w:rFonts w:ascii="Calibri" w:eastAsia="Times New Roman" w:hAnsi="Calibri" w:cs="Times New Roman"/>
                <w:lang w:eastAsia="zh-CN"/>
              </w:rPr>
            </w:pPr>
          </w:p>
        </w:tc>
        <w:tc>
          <w:tcPr>
            <w:tcW w:w="571"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Todos</w:t>
            </w:r>
          </w:p>
        </w:tc>
        <w:tc>
          <w:tcPr>
            <w:tcW w:w="693"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656"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 xml:space="preserve">Pequena </w:t>
            </w:r>
          </w:p>
        </w:tc>
        <w:tc>
          <w:tcPr>
            <w:tcW w:w="903"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Média</w:t>
            </w:r>
          </w:p>
        </w:tc>
        <w:tc>
          <w:tcPr>
            <w:tcW w:w="91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785"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Formal</w:t>
            </w:r>
          </w:p>
        </w:tc>
        <w:tc>
          <w:tcPr>
            <w:tcW w:w="1253"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Propriedade Moçambicana</w:t>
            </w:r>
          </w:p>
        </w:tc>
        <w:tc>
          <w:tcPr>
            <w:tcW w:w="1164"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Propriedade Estrangeira</w:t>
            </w:r>
          </w:p>
        </w:tc>
      </w:tr>
      <w:tr w:rsidR="00682A88" w:rsidRPr="00CF3673" w:rsidTr="00682A88">
        <w:trPr>
          <w:trHeight w:val="300"/>
          <w:jc w:val="center"/>
        </w:trPr>
        <w:tc>
          <w:tcPr>
            <w:tcW w:w="2679"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 xml:space="preserve">Grau </w:t>
            </w:r>
            <w:r w:rsidR="006A4724" w:rsidRPr="00CF3673">
              <w:rPr>
                <w:rFonts w:ascii="Calibri" w:eastAsia="Times New Roman" w:hAnsi="Calibri" w:cs="Times New Roman"/>
                <w:lang w:eastAsia="zh-CN"/>
              </w:rPr>
              <w:t>Universitário</w:t>
            </w:r>
          </w:p>
        </w:tc>
        <w:tc>
          <w:tcPr>
            <w:tcW w:w="571" w:type="dxa"/>
            <w:noWrap/>
            <w:hideMark/>
          </w:tcPr>
          <w:p w:rsidR="00682A88" w:rsidRPr="00CF3673" w:rsidRDefault="00682A88" w:rsidP="00682A88">
            <w:pPr>
              <w:jc w:val="center"/>
            </w:pPr>
            <w:r w:rsidRPr="00CF3673">
              <w:t>1.5</w:t>
            </w:r>
          </w:p>
        </w:tc>
        <w:tc>
          <w:tcPr>
            <w:tcW w:w="693" w:type="dxa"/>
            <w:noWrap/>
            <w:hideMark/>
          </w:tcPr>
          <w:p w:rsidR="00682A88" w:rsidRPr="00CF3673" w:rsidRDefault="00682A88" w:rsidP="00682A88">
            <w:pPr>
              <w:jc w:val="center"/>
            </w:pPr>
            <w:r w:rsidRPr="00CF3673">
              <w:t>0.8</w:t>
            </w:r>
          </w:p>
        </w:tc>
        <w:tc>
          <w:tcPr>
            <w:tcW w:w="656" w:type="dxa"/>
            <w:noWrap/>
            <w:hideMark/>
          </w:tcPr>
          <w:p w:rsidR="00682A88" w:rsidRPr="00CF3673" w:rsidRDefault="00682A88" w:rsidP="00682A88">
            <w:pPr>
              <w:jc w:val="center"/>
            </w:pPr>
            <w:r w:rsidRPr="00CF3673">
              <w:t>3.2</w:t>
            </w:r>
          </w:p>
        </w:tc>
        <w:tc>
          <w:tcPr>
            <w:tcW w:w="903" w:type="dxa"/>
            <w:noWrap/>
            <w:hideMark/>
          </w:tcPr>
          <w:p w:rsidR="00682A88" w:rsidRPr="00CF3673" w:rsidRDefault="00682A88" w:rsidP="00682A88">
            <w:pPr>
              <w:jc w:val="center"/>
            </w:pPr>
            <w:r w:rsidRPr="00CF3673">
              <w:t>2.7</w:t>
            </w:r>
          </w:p>
        </w:tc>
        <w:tc>
          <w:tcPr>
            <w:tcW w:w="910" w:type="dxa"/>
            <w:noWrap/>
            <w:hideMark/>
          </w:tcPr>
          <w:p w:rsidR="00682A88" w:rsidRPr="00CF3673" w:rsidRDefault="00682A88" w:rsidP="00682A88">
            <w:pPr>
              <w:jc w:val="center"/>
            </w:pPr>
            <w:r w:rsidRPr="00CF3673">
              <w:t>0.2</w:t>
            </w:r>
          </w:p>
        </w:tc>
        <w:tc>
          <w:tcPr>
            <w:tcW w:w="785" w:type="dxa"/>
            <w:noWrap/>
            <w:hideMark/>
          </w:tcPr>
          <w:p w:rsidR="00682A88" w:rsidRPr="00CF3673" w:rsidRDefault="00682A88" w:rsidP="00682A88">
            <w:pPr>
              <w:jc w:val="center"/>
            </w:pPr>
            <w:r w:rsidRPr="00CF3673">
              <w:t>1.8</w:t>
            </w:r>
          </w:p>
        </w:tc>
        <w:tc>
          <w:tcPr>
            <w:tcW w:w="1253" w:type="dxa"/>
            <w:noWrap/>
            <w:hideMark/>
          </w:tcPr>
          <w:p w:rsidR="00682A88" w:rsidRPr="00CF3673" w:rsidRDefault="00682A88" w:rsidP="00682A88">
            <w:pPr>
              <w:jc w:val="center"/>
            </w:pPr>
            <w:r w:rsidRPr="00CF3673">
              <w:t>1.2</w:t>
            </w:r>
          </w:p>
        </w:tc>
        <w:tc>
          <w:tcPr>
            <w:tcW w:w="1164" w:type="dxa"/>
            <w:noWrap/>
            <w:hideMark/>
          </w:tcPr>
          <w:p w:rsidR="00682A88" w:rsidRPr="00CF3673" w:rsidRDefault="00682A88" w:rsidP="00682A88">
            <w:pPr>
              <w:jc w:val="center"/>
            </w:pPr>
            <w:r w:rsidRPr="00CF3673">
              <w:t>3.4</w:t>
            </w:r>
          </w:p>
        </w:tc>
      </w:tr>
      <w:tr w:rsidR="00682A88" w:rsidRPr="00CF3673" w:rsidTr="00682A88">
        <w:trPr>
          <w:trHeight w:val="300"/>
          <w:jc w:val="center"/>
        </w:trPr>
        <w:tc>
          <w:tcPr>
            <w:tcW w:w="2679" w:type="dxa"/>
            <w:noWrap/>
            <w:hideMark/>
          </w:tcPr>
          <w:p w:rsidR="00682A88" w:rsidRPr="00CF3673" w:rsidRDefault="00682A88" w:rsidP="00682A88">
            <w:pPr>
              <w:rPr>
                <w:rFonts w:ascii="Calibri" w:eastAsia="Times New Roman" w:hAnsi="Calibri" w:cs="Times New Roman"/>
                <w:lang w:eastAsia="zh-CN"/>
              </w:rPr>
            </w:pPr>
            <w:r w:rsidRPr="00CF3673">
              <w:rPr>
                <w:szCs w:val="20"/>
              </w:rPr>
              <w:t>Ensino médio, não profissional</w:t>
            </w:r>
          </w:p>
        </w:tc>
        <w:tc>
          <w:tcPr>
            <w:tcW w:w="571" w:type="dxa"/>
            <w:noWrap/>
            <w:hideMark/>
          </w:tcPr>
          <w:p w:rsidR="00682A88" w:rsidRPr="00CF3673" w:rsidRDefault="00682A88" w:rsidP="00682A88">
            <w:pPr>
              <w:jc w:val="center"/>
            </w:pPr>
            <w:r w:rsidRPr="00CF3673">
              <w:t>10.3</w:t>
            </w:r>
          </w:p>
        </w:tc>
        <w:tc>
          <w:tcPr>
            <w:tcW w:w="693" w:type="dxa"/>
            <w:noWrap/>
            <w:hideMark/>
          </w:tcPr>
          <w:p w:rsidR="00682A88" w:rsidRPr="00CF3673" w:rsidRDefault="00682A88" w:rsidP="00682A88">
            <w:pPr>
              <w:jc w:val="center"/>
            </w:pPr>
            <w:r w:rsidRPr="00CF3673">
              <w:t>9.6</w:t>
            </w:r>
          </w:p>
        </w:tc>
        <w:tc>
          <w:tcPr>
            <w:tcW w:w="656" w:type="dxa"/>
            <w:noWrap/>
            <w:hideMark/>
          </w:tcPr>
          <w:p w:rsidR="00682A88" w:rsidRPr="00CF3673" w:rsidRDefault="00682A88" w:rsidP="00682A88">
            <w:pPr>
              <w:jc w:val="center"/>
            </w:pPr>
            <w:r w:rsidRPr="00CF3673">
              <w:t>12.6</w:t>
            </w:r>
          </w:p>
        </w:tc>
        <w:tc>
          <w:tcPr>
            <w:tcW w:w="903" w:type="dxa"/>
            <w:noWrap/>
            <w:hideMark/>
          </w:tcPr>
          <w:p w:rsidR="00682A88" w:rsidRPr="00CF3673" w:rsidRDefault="00682A88" w:rsidP="00682A88">
            <w:pPr>
              <w:jc w:val="center"/>
            </w:pPr>
            <w:r w:rsidRPr="00CF3673">
              <w:t>10.2</w:t>
            </w:r>
          </w:p>
        </w:tc>
        <w:tc>
          <w:tcPr>
            <w:tcW w:w="910" w:type="dxa"/>
            <w:noWrap/>
            <w:hideMark/>
          </w:tcPr>
          <w:p w:rsidR="00682A88" w:rsidRPr="00CF3673" w:rsidRDefault="00682A88" w:rsidP="00682A88">
            <w:pPr>
              <w:jc w:val="center"/>
            </w:pPr>
            <w:r w:rsidRPr="00CF3673">
              <w:t>8.8</w:t>
            </w:r>
          </w:p>
        </w:tc>
        <w:tc>
          <w:tcPr>
            <w:tcW w:w="785" w:type="dxa"/>
            <w:noWrap/>
            <w:hideMark/>
          </w:tcPr>
          <w:p w:rsidR="00682A88" w:rsidRPr="00CF3673" w:rsidRDefault="00682A88" w:rsidP="00682A88">
            <w:pPr>
              <w:jc w:val="center"/>
            </w:pPr>
            <w:r w:rsidRPr="00CF3673">
              <w:t>10.7</w:t>
            </w:r>
          </w:p>
        </w:tc>
        <w:tc>
          <w:tcPr>
            <w:tcW w:w="1253" w:type="dxa"/>
            <w:noWrap/>
            <w:hideMark/>
          </w:tcPr>
          <w:p w:rsidR="00682A88" w:rsidRPr="00CF3673" w:rsidRDefault="00682A88" w:rsidP="00682A88">
            <w:pPr>
              <w:jc w:val="center"/>
            </w:pPr>
            <w:r w:rsidRPr="00CF3673">
              <w:t>9.9</w:t>
            </w:r>
          </w:p>
        </w:tc>
        <w:tc>
          <w:tcPr>
            <w:tcW w:w="1164" w:type="dxa"/>
            <w:noWrap/>
            <w:hideMark/>
          </w:tcPr>
          <w:p w:rsidR="00682A88" w:rsidRPr="00CF3673" w:rsidRDefault="00682A88" w:rsidP="00682A88">
            <w:pPr>
              <w:jc w:val="center"/>
            </w:pPr>
            <w:r w:rsidRPr="00CF3673">
              <w:t>13.5</w:t>
            </w:r>
          </w:p>
        </w:tc>
      </w:tr>
      <w:tr w:rsidR="00682A88" w:rsidRPr="00CF3673" w:rsidTr="00682A88">
        <w:trPr>
          <w:trHeight w:val="300"/>
          <w:jc w:val="center"/>
        </w:trPr>
        <w:tc>
          <w:tcPr>
            <w:tcW w:w="2679" w:type="dxa"/>
            <w:noWrap/>
            <w:hideMark/>
          </w:tcPr>
          <w:p w:rsidR="00682A88" w:rsidRPr="00CF3673" w:rsidRDefault="00682A88" w:rsidP="00682A88">
            <w:pPr>
              <w:rPr>
                <w:rFonts w:ascii="Calibri" w:eastAsia="Times New Roman" w:hAnsi="Calibri" w:cs="Times New Roman"/>
                <w:lang w:eastAsia="zh-CN"/>
              </w:rPr>
            </w:pPr>
            <w:r w:rsidRPr="00CF3673">
              <w:rPr>
                <w:szCs w:val="20"/>
              </w:rPr>
              <w:t>Ensino médio, profissional</w:t>
            </w:r>
          </w:p>
        </w:tc>
        <w:tc>
          <w:tcPr>
            <w:tcW w:w="571" w:type="dxa"/>
            <w:noWrap/>
            <w:hideMark/>
          </w:tcPr>
          <w:p w:rsidR="00682A88" w:rsidRPr="00CF3673" w:rsidRDefault="00682A88" w:rsidP="00682A88">
            <w:pPr>
              <w:jc w:val="center"/>
            </w:pPr>
            <w:r w:rsidRPr="00CF3673">
              <w:t>2.7</w:t>
            </w:r>
          </w:p>
        </w:tc>
        <w:tc>
          <w:tcPr>
            <w:tcW w:w="693" w:type="dxa"/>
            <w:noWrap/>
            <w:hideMark/>
          </w:tcPr>
          <w:p w:rsidR="00682A88" w:rsidRPr="00CF3673" w:rsidRDefault="00682A88" w:rsidP="00682A88">
            <w:pPr>
              <w:jc w:val="center"/>
            </w:pPr>
            <w:r w:rsidRPr="00CF3673">
              <w:t>2.5</w:t>
            </w:r>
          </w:p>
        </w:tc>
        <w:tc>
          <w:tcPr>
            <w:tcW w:w="656" w:type="dxa"/>
            <w:noWrap/>
            <w:hideMark/>
          </w:tcPr>
          <w:p w:rsidR="00682A88" w:rsidRPr="00CF3673" w:rsidRDefault="00682A88" w:rsidP="00682A88">
            <w:pPr>
              <w:jc w:val="center"/>
            </w:pPr>
            <w:r w:rsidRPr="00CF3673">
              <w:t>3.2</w:t>
            </w:r>
          </w:p>
        </w:tc>
        <w:tc>
          <w:tcPr>
            <w:tcW w:w="903" w:type="dxa"/>
            <w:noWrap/>
            <w:hideMark/>
          </w:tcPr>
          <w:p w:rsidR="00682A88" w:rsidRPr="00CF3673" w:rsidRDefault="00682A88" w:rsidP="00682A88">
            <w:pPr>
              <w:jc w:val="center"/>
            </w:pPr>
            <w:r w:rsidRPr="00CF3673">
              <w:t>3.1</w:t>
            </w:r>
          </w:p>
        </w:tc>
        <w:tc>
          <w:tcPr>
            <w:tcW w:w="910" w:type="dxa"/>
            <w:noWrap/>
            <w:hideMark/>
          </w:tcPr>
          <w:p w:rsidR="00682A88" w:rsidRPr="00CF3673" w:rsidRDefault="00682A88" w:rsidP="00682A88">
            <w:pPr>
              <w:jc w:val="center"/>
            </w:pPr>
            <w:r w:rsidRPr="00CF3673">
              <w:t>3.0</w:t>
            </w:r>
          </w:p>
        </w:tc>
        <w:tc>
          <w:tcPr>
            <w:tcW w:w="785" w:type="dxa"/>
            <w:noWrap/>
            <w:hideMark/>
          </w:tcPr>
          <w:p w:rsidR="00682A88" w:rsidRPr="00CF3673" w:rsidRDefault="00682A88" w:rsidP="00682A88">
            <w:pPr>
              <w:jc w:val="center"/>
            </w:pPr>
            <w:r w:rsidRPr="00CF3673">
              <w:t>2.6</w:t>
            </w:r>
          </w:p>
        </w:tc>
        <w:tc>
          <w:tcPr>
            <w:tcW w:w="1253" w:type="dxa"/>
            <w:noWrap/>
            <w:hideMark/>
          </w:tcPr>
          <w:p w:rsidR="00682A88" w:rsidRPr="00CF3673" w:rsidRDefault="00682A88" w:rsidP="00682A88">
            <w:pPr>
              <w:jc w:val="center"/>
            </w:pPr>
            <w:r w:rsidRPr="00CF3673">
              <w:t>2.7</w:t>
            </w:r>
          </w:p>
        </w:tc>
        <w:tc>
          <w:tcPr>
            <w:tcW w:w="1164" w:type="dxa"/>
            <w:noWrap/>
            <w:hideMark/>
          </w:tcPr>
          <w:p w:rsidR="00682A88" w:rsidRPr="00CF3673" w:rsidRDefault="00682A88" w:rsidP="00682A88">
            <w:pPr>
              <w:jc w:val="center"/>
            </w:pPr>
            <w:r w:rsidRPr="00CF3673">
              <w:t>2.6</w:t>
            </w:r>
          </w:p>
        </w:tc>
      </w:tr>
      <w:tr w:rsidR="00682A88" w:rsidRPr="00CF3673" w:rsidTr="00682A88">
        <w:trPr>
          <w:trHeight w:val="300"/>
          <w:jc w:val="center"/>
        </w:trPr>
        <w:tc>
          <w:tcPr>
            <w:tcW w:w="2679" w:type="dxa"/>
            <w:noWrap/>
            <w:hideMark/>
          </w:tcPr>
          <w:p w:rsidR="00682A88" w:rsidRPr="00CF3673" w:rsidRDefault="00682A88" w:rsidP="00682A88">
            <w:pPr>
              <w:rPr>
                <w:rFonts w:ascii="Calibri" w:eastAsia="Times New Roman" w:hAnsi="Calibri" w:cs="Times New Roman"/>
                <w:lang w:eastAsia="zh-CN"/>
              </w:rPr>
            </w:pPr>
            <w:r w:rsidRPr="00CF3673">
              <w:rPr>
                <w:szCs w:val="20"/>
              </w:rPr>
              <w:t>Secundário, não profissional</w:t>
            </w:r>
          </w:p>
        </w:tc>
        <w:tc>
          <w:tcPr>
            <w:tcW w:w="571" w:type="dxa"/>
            <w:noWrap/>
            <w:hideMark/>
          </w:tcPr>
          <w:p w:rsidR="00682A88" w:rsidRPr="00CF3673" w:rsidRDefault="00682A88" w:rsidP="00682A88">
            <w:pPr>
              <w:jc w:val="center"/>
            </w:pPr>
            <w:r w:rsidRPr="00CF3673">
              <w:t>17.7</w:t>
            </w:r>
          </w:p>
        </w:tc>
        <w:tc>
          <w:tcPr>
            <w:tcW w:w="693" w:type="dxa"/>
            <w:noWrap/>
            <w:hideMark/>
          </w:tcPr>
          <w:p w:rsidR="00682A88" w:rsidRPr="00CF3673" w:rsidRDefault="00682A88" w:rsidP="00682A88">
            <w:pPr>
              <w:jc w:val="center"/>
            </w:pPr>
            <w:r w:rsidRPr="00CF3673">
              <w:t>18.5</w:t>
            </w:r>
          </w:p>
        </w:tc>
        <w:tc>
          <w:tcPr>
            <w:tcW w:w="656" w:type="dxa"/>
            <w:noWrap/>
            <w:hideMark/>
          </w:tcPr>
          <w:p w:rsidR="00682A88" w:rsidRPr="00CF3673" w:rsidRDefault="00682A88" w:rsidP="00682A88">
            <w:pPr>
              <w:jc w:val="center"/>
            </w:pPr>
            <w:r w:rsidRPr="00CF3673">
              <w:t>14.8</w:t>
            </w:r>
          </w:p>
        </w:tc>
        <w:tc>
          <w:tcPr>
            <w:tcW w:w="903" w:type="dxa"/>
            <w:noWrap/>
            <w:hideMark/>
          </w:tcPr>
          <w:p w:rsidR="00682A88" w:rsidRPr="00CF3673" w:rsidRDefault="00682A88" w:rsidP="00682A88">
            <w:pPr>
              <w:jc w:val="center"/>
            </w:pPr>
            <w:r w:rsidRPr="00CF3673">
              <w:t>18.3</w:t>
            </w:r>
          </w:p>
        </w:tc>
        <w:tc>
          <w:tcPr>
            <w:tcW w:w="910" w:type="dxa"/>
            <w:noWrap/>
            <w:hideMark/>
          </w:tcPr>
          <w:p w:rsidR="00682A88" w:rsidRPr="00CF3673" w:rsidRDefault="00682A88" w:rsidP="00682A88">
            <w:pPr>
              <w:jc w:val="center"/>
            </w:pPr>
            <w:r w:rsidRPr="00CF3673">
              <w:t>17.8</w:t>
            </w:r>
          </w:p>
        </w:tc>
        <w:tc>
          <w:tcPr>
            <w:tcW w:w="785" w:type="dxa"/>
            <w:noWrap/>
            <w:hideMark/>
          </w:tcPr>
          <w:p w:rsidR="00682A88" w:rsidRPr="00CF3673" w:rsidRDefault="00682A88" w:rsidP="00682A88">
            <w:pPr>
              <w:jc w:val="center"/>
            </w:pPr>
            <w:r w:rsidRPr="00CF3673">
              <w:t>17.7</w:t>
            </w:r>
          </w:p>
        </w:tc>
        <w:tc>
          <w:tcPr>
            <w:tcW w:w="1253" w:type="dxa"/>
            <w:noWrap/>
            <w:hideMark/>
          </w:tcPr>
          <w:p w:rsidR="00682A88" w:rsidRPr="00CF3673" w:rsidRDefault="00682A88" w:rsidP="00682A88">
            <w:pPr>
              <w:jc w:val="center"/>
            </w:pPr>
            <w:r w:rsidRPr="00CF3673">
              <w:t>17.8</w:t>
            </w:r>
          </w:p>
        </w:tc>
        <w:tc>
          <w:tcPr>
            <w:tcW w:w="1164" w:type="dxa"/>
            <w:noWrap/>
            <w:hideMark/>
          </w:tcPr>
          <w:p w:rsidR="00682A88" w:rsidRPr="00CF3673" w:rsidRDefault="00682A88" w:rsidP="00682A88">
            <w:pPr>
              <w:jc w:val="center"/>
            </w:pPr>
            <w:r w:rsidRPr="00CF3673">
              <w:t>16.7</w:t>
            </w:r>
          </w:p>
        </w:tc>
      </w:tr>
      <w:tr w:rsidR="00682A88" w:rsidRPr="00CF3673" w:rsidTr="00682A88">
        <w:trPr>
          <w:trHeight w:val="300"/>
          <w:jc w:val="center"/>
        </w:trPr>
        <w:tc>
          <w:tcPr>
            <w:tcW w:w="2679" w:type="dxa"/>
            <w:noWrap/>
            <w:hideMark/>
          </w:tcPr>
          <w:p w:rsidR="00682A88" w:rsidRPr="00CF3673" w:rsidRDefault="00682A88" w:rsidP="00682A88">
            <w:pPr>
              <w:rPr>
                <w:rFonts w:ascii="Calibri" w:eastAsia="Times New Roman" w:hAnsi="Calibri" w:cs="Times New Roman"/>
                <w:lang w:eastAsia="zh-CN"/>
              </w:rPr>
            </w:pPr>
            <w:r w:rsidRPr="00CF3673">
              <w:rPr>
                <w:szCs w:val="20"/>
              </w:rPr>
              <w:t>Secundário, profissional</w:t>
            </w:r>
          </w:p>
        </w:tc>
        <w:tc>
          <w:tcPr>
            <w:tcW w:w="571" w:type="dxa"/>
            <w:noWrap/>
            <w:hideMark/>
          </w:tcPr>
          <w:p w:rsidR="00682A88" w:rsidRPr="00CF3673" w:rsidRDefault="00682A88" w:rsidP="00682A88">
            <w:pPr>
              <w:jc w:val="center"/>
            </w:pPr>
            <w:r w:rsidRPr="00CF3673">
              <w:t>4.5</w:t>
            </w:r>
          </w:p>
        </w:tc>
        <w:tc>
          <w:tcPr>
            <w:tcW w:w="693" w:type="dxa"/>
            <w:noWrap/>
            <w:hideMark/>
          </w:tcPr>
          <w:p w:rsidR="00682A88" w:rsidRPr="00CF3673" w:rsidRDefault="00682A88" w:rsidP="00682A88">
            <w:pPr>
              <w:jc w:val="center"/>
            </w:pPr>
            <w:r w:rsidRPr="00CF3673">
              <w:t>4.1</w:t>
            </w:r>
          </w:p>
        </w:tc>
        <w:tc>
          <w:tcPr>
            <w:tcW w:w="656" w:type="dxa"/>
            <w:noWrap/>
            <w:hideMark/>
          </w:tcPr>
          <w:p w:rsidR="00682A88" w:rsidRPr="00CF3673" w:rsidRDefault="00682A88" w:rsidP="00682A88">
            <w:pPr>
              <w:jc w:val="center"/>
            </w:pPr>
            <w:r w:rsidRPr="00CF3673">
              <w:t>5.6</w:t>
            </w:r>
          </w:p>
        </w:tc>
        <w:tc>
          <w:tcPr>
            <w:tcW w:w="903" w:type="dxa"/>
            <w:noWrap/>
            <w:hideMark/>
          </w:tcPr>
          <w:p w:rsidR="00682A88" w:rsidRPr="00CF3673" w:rsidRDefault="00682A88" w:rsidP="00682A88">
            <w:pPr>
              <w:jc w:val="center"/>
            </w:pPr>
            <w:r w:rsidRPr="00CF3673">
              <w:t>5.2</w:t>
            </w:r>
          </w:p>
        </w:tc>
        <w:tc>
          <w:tcPr>
            <w:tcW w:w="910" w:type="dxa"/>
            <w:noWrap/>
            <w:hideMark/>
          </w:tcPr>
          <w:p w:rsidR="00682A88" w:rsidRPr="00CF3673" w:rsidRDefault="00682A88" w:rsidP="00682A88">
            <w:pPr>
              <w:jc w:val="center"/>
            </w:pPr>
            <w:r w:rsidRPr="00CF3673">
              <w:t>3.3</w:t>
            </w:r>
          </w:p>
        </w:tc>
        <w:tc>
          <w:tcPr>
            <w:tcW w:w="785" w:type="dxa"/>
            <w:noWrap/>
            <w:hideMark/>
          </w:tcPr>
          <w:p w:rsidR="00682A88" w:rsidRPr="00CF3673" w:rsidRDefault="00682A88" w:rsidP="00682A88">
            <w:pPr>
              <w:jc w:val="center"/>
            </w:pPr>
            <w:r w:rsidRPr="00CF3673">
              <w:t>4.9</w:t>
            </w:r>
          </w:p>
        </w:tc>
        <w:tc>
          <w:tcPr>
            <w:tcW w:w="1253" w:type="dxa"/>
            <w:noWrap/>
            <w:hideMark/>
          </w:tcPr>
          <w:p w:rsidR="00682A88" w:rsidRPr="00CF3673" w:rsidRDefault="00682A88" w:rsidP="00682A88">
            <w:pPr>
              <w:jc w:val="center"/>
            </w:pPr>
            <w:r w:rsidRPr="00CF3673">
              <w:t>4.5</w:t>
            </w:r>
          </w:p>
        </w:tc>
        <w:tc>
          <w:tcPr>
            <w:tcW w:w="1164" w:type="dxa"/>
            <w:noWrap/>
            <w:hideMark/>
          </w:tcPr>
          <w:p w:rsidR="00682A88" w:rsidRPr="00CF3673" w:rsidRDefault="00682A88" w:rsidP="00682A88">
            <w:pPr>
              <w:jc w:val="center"/>
            </w:pPr>
            <w:r w:rsidRPr="00CF3673">
              <w:t>5.1</w:t>
            </w:r>
          </w:p>
        </w:tc>
      </w:tr>
      <w:tr w:rsidR="00682A88" w:rsidRPr="00CF3673" w:rsidTr="00682A88">
        <w:trPr>
          <w:trHeight w:val="300"/>
          <w:jc w:val="center"/>
        </w:trPr>
        <w:tc>
          <w:tcPr>
            <w:tcW w:w="2679" w:type="dxa"/>
            <w:noWrap/>
            <w:hideMark/>
          </w:tcPr>
          <w:p w:rsidR="00682A88" w:rsidRPr="00CF3673" w:rsidRDefault="00682A88" w:rsidP="00682A88">
            <w:pPr>
              <w:rPr>
                <w:rFonts w:ascii="Calibri" w:eastAsia="Times New Roman" w:hAnsi="Calibri" w:cs="Times New Roman"/>
                <w:lang w:eastAsia="zh-CN"/>
              </w:rPr>
            </w:pPr>
            <w:r w:rsidRPr="00CF3673">
              <w:rPr>
                <w:szCs w:val="20"/>
              </w:rPr>
              <w:t>Ensino Primário</w:t>
            </w:r>
          </w:p>
        </w:tc>
        <w:tc>
          <w:tcPr>
            <w:tcW w:w="571" w:type="dxa"/>
            <w:noWrap/>
            <w:hideMark/>
          </w:tcPr>
          <w:p w:rsidR="00682A88" w:rsidRPr="00CF3673" w:rsidRDefault="00682A88" w:rsidP="00682A88">
            <w:pPr>
              <w:jc w:val="center"/>
            </w:pPr>
            <w:r w:rsidRPr="00CF3673">
              <w:t>34.6</w:t>
            </w:r>
          </w:p>
        </w:tc>
        <w:tc>
          <w:tcPr>
            <w:tcW w:w="693" w:type="dxa"/>
            <w:noWrap/>
            <w:hideMark/>
          </w:tcPr>
          <w:p w:rsidR="00682A88" w:rsidRPr="00CF3673" w:rsidRDefault="00682A88" w:rsidP="00682A88">
            <w:pPr>
              <w:jc w:val="center"/>
            </w:pPr>
            <w:r w:rsidRPr="00CF3673">
              <w:t>36.6</w:t>
            </w:r>
          </w:p>
        </w:tc>
        <w:tc>
          <w:tcPr>
            <w:tcW w:w="656" w:type="dxa"/>
            <w:noWrap/>
            <w:hideMark/>
          </w:tcPr>
          <w:p w:rsidR="00682A88" w:rsidRPr="00CF3673" w:rsidRDefault="00682A88" w:rsidP="00682A88">
            <w:pPr>
              <w:jc w:val="center"/>
            </w:pPr>
            <w:r w:rsidRPr="00CF3673">
              <w:t>30.5</w:t>
            </w:r>
          </w:p>
        </w:tc>
        <w:tc>
          <w:tcPr>
            <w:tcW w:w="903" w:type="dxa"/>
            <w:noWrap/>
            <w:hideMark/>
          </w:tcPr>
          <w:p w:rsidR="00682A88" w:rsidRPr="00CF3673" w:rsidRDefault="00682A88" w:rsidP="00682A88">
            <w:pPr>
              <w:jc w:val="center"/>
            </w:pPr>
            <w:r w:rsidRPr="00CF3673">
              <w:t>28.1</w:t>
            </w:r>
          </w:p>
        </w:tc>
        <w:tc>
          <w:tcPr>
            <w:tcW w:w="910" w:type="dxa"/>
            <w:noWrap/>
            <w:hideMark/>
          </w:tcPr>
          <w:p w:rsidR="00682A88" w:rsidRPr="00CF3673" w:rsidRDefault="00682A88" w:rsidP="00682A88">
            <w:pPr>
              <w:jc w:val="center"/>
            </w:pPr>
            <w:r w:rsidRPr="00CF3673">
              <w:t>39.3</w:t>
            </w:r>
          </w:p>
        </w:tc>
        <w:tc>
          <w:tcPr>
            <w:tcW w:w="785" w:type="dxa"/>
            <w:noWrap/>
            <w:hideMark/>
          </w:tcPr>
          <w:p w:rsidR="00682A88" w:rsidRPr="00CF3673" w:rsidRDefault="00682A88" w:rsidP="00682A88">
            <w:pPr>
              <w:jc w:val="center"/>
            </w:pPr>
            <w:r w:rsidRPr="00CF3673">
              <w:t>33.2</w:t>
            </w:r>
          </w:p>
        </w:tc>
        <w:tc>
          <w:tcPr>
            <w:tcW w:w="1253" w:type="dxa"/>
            <w:noWrap/>
            <w:hideMark/>
          </w:tcPr>
          <w:p w:rsidR="00682A88" w:rsidRPr="00CF3673" w:rsidRDefault="00682A88" w:rsidP="00682A88">
            <w:pPr>
              <w:jc w:val="center"/>
            </w:pPr>
            <w:r w:rsidRPr="00CF3673">
              <w:t>35.2</w:t>
            </w:r>
          </w:p>
        </w:tc>
        <w:tc>
          <w:tcPr>
            <w:tcW w:w="1164" w:type="dxa"/>
            <w:noWrap/>
            <w:hideMark/>
          </w:tcPr>
          <w:p w:rsidR="00682A88" w:rsidRPr="00CF3673" w:rsidRDefault="00682A88" w:rsidP="00682A88">
            <w:pPr>
              <w:jc w:val="center"/>
            </w:pPr>
            <w:r w:rsidRPr="00CF3673">
              <w:t>29.9</w:t>
            </w:r>
          </w:p>
        </w:tc>
      </w:tr>
      <w:tr w:rsidR="00682A88" w:rsidRPr="00CF3673" w:rsidTr="00682A88">
        <w:trPr>
          <w:trHeight w:val="300"/>
          <w:jc w:val="center"/>
        </w:trPr>
        <w:tc>
          <w:tcPr>
            <w:tcW w:w="2679" w:type="dxa"/>
            <w:tcBorders>
              <w:bottom w:val="nil"/>
            </w:tcBorders>
            <w:noWrap/>
            <w:hideMark/>
          </w:tcPr>
          <w:p w:rsidR="00682A88" w:rsidRPr="00CF3673" w:rsidRDefault="00682A88" w:rsidP="00682A88">
            <w:pPr>
              <w:rPr>
                <w:rFonts w:ascii="Calibri" w:eastAsia="Times New Roman" w:hAnsi="Calibri" w:cs="Times New Roman"/>
                <w:lang w:eastAsia="zh-CN"/>
              </w:rPr>
            </w:pPr>
            <w:r w:rsidRPr="00CF3673">
              <w:rPr>
                <w:szCs w:val="20"/>
              </w:rPr>
              <w:t>Ensino básico incompleto</w:t>
            </w:r>
          </w:p>
        </w:tc>
        <w:tc>
          <w:tcPr>
            <w:tcW w:w="571" w:type="dxa"/>
            <w:tcBorders>
              <w:bottom w:val="nil"/>
            </w:tcBorders>
            <w:noWrap/>
            <w:hideMark/>
          </w:tcPr>
          <w:p w:rsidR="00682A88" w:rsidRPr="00CF3673" w:rsidRDefault="00682A88" w:rsidP="00682A88">
            <w:pPr>
              <w:jc w:val="center"/>
            </w:pPr>
            <w:r w:rsidRPr="00CF3673">
              <w:t>23.1</w:t>
            </w:r>
          </w:p>
        </w:tc>
        <w:tc>
          <w:tcPr>
            <w:tcW w:w="693" w:type="dxa"/>
            <w:tcBorders>
              <w:bottom w:val="nil"/>
            </w:tcBorders>
            <w:noWrap/>
            <w:hideMark/>
          </w:tcPr>
          <w:p w:rsidR="00682A88" w:rsidRPr="00CF3673" w:rsidRDefault="00682A88" w:rsidP="00682A88">
            <w:pPr>
              <w:jc w:val="center"/>
            </w:pPr>
            <w:r w:rsidRPr="00CF3673">
              <w:t>22.7</w:t>
            </w:r>
          </w:p>
        </w:tc>
        <w:tc>
          <w:tcPr>
            <w:tcW w:w="656" w:type="dxa"/>
            <w:tcBorders>
              <w:bottom w:val="nil"/>
            </w:tcBorders>
            <w:noWrap/>
            <w:hideMark/>
          </w:tcPr>
          <w:p w:rsidR="00682A88" w:rsidRPr="00CF3673" w:rsidRDefault="00682A88" w:rsidP="00682A88">
            <w:pPr>
              <w:jc w:val="center"/>
            </w:pPr>
            <w:r w:rsidRPr="00CF3673">
              <w:t>24.6</w:t>
            </w:r>
          </w:p>
        </w:tc>
        <w:tc>
          <w:tcPr>
            <w:tcW w:w="903" w:type="dxa"/>
            <w:tcBorders>
              <w:bottom w:val="nil"/>
            </w:tcBorders>
            <w:noWrap/>
            <w:hideMark/>
          </w:tcPr>
          <w:p w:rsidR="00682A88" w:rsidRPr="00CF3673" w:rsidRDefault="00682A88" w:rsidP="00682A88">
            <w:pPr>
              <w:jc w:val="center"/>
            </w:pPr>
            <w:r w:rsidRPr="00CF3673">
              <w:t>22.2</w:t>
            </w:r>
          </w:p>
        </w:tc>
        <w:tc>
          <w:tcPr>
            <w:tcW w:w="910" w:type="dxa"/>
            <w:tcBorders>
              <w:bottom w:val="nil"/>
            </w:tcBorders>
            <w:noWrap/>
            <w:hideMark/>
          </w:tcPr>
          <w:p w:rsidR="00682A88" w:rsidRPr="00CF3673" w:rsidRDefault="00682A88" w:rsidP="00682A88">
            <w:pPr>
              <w:jc w:val="center"/>
            </w:pPr>
            <w:r w:rsidRPr="00CF3673">
              <w:t>24.0</w:t>
            </w:r>
          </w:p>
        </w:tc>
        <w:tc>
          <w:tcPr>
            <w:tcW w:w="785" w:type="dxa"/>
            <w:tcBorders>
              <w:bottom w:val="nil"/>
            </w:tcBorders>
            <w:noWrap/>
            <w:hideMark/>
          </w:tcPr>
          <w:p w:rsidR="00682A88" w:rsidRPr="00CF3673" w:rsidRDefault="00682A88" w:rsidP="00682A88">
            <w:pPr>
              <w:jc w:val="center"/>
            </w:pPr>
            <w:r w:rsidRPr="00CF3673">
              <w:t>22.8</w:t>
            </w:r>
          </w:p>
        </w:tc>
        <w:tc>
          <w:tcPr>
            <w:tcW w:w="1253" w:type="dxa"/>
            <w:tcBorders>
              <w:bottom w:val="nil"/>
            </w:tcBorders>
            <w:noWrap/>
            <w:hideMark/>
          </w:tcPr>
          <w:p w:rsidR="00682A88" w:rsidRPr="00CF3673" w:rsidRDefault="00682A88" w:rsidP="00682A88">
            <w:pPr>
              <w:jc w:val="center"/>
            </w:pPr>
            <w:r w:rsidRPr="00CF3673">
              <w:t>23.6</w:t>
            </w:r>
          </w:p>
        </w:tc>
        <w:tc>
          <w:tcPr>
            <w:tcW w:w="1164" w:type="dxa"/>
            <w:tcBorders>
              <w:bottom w:val="nil"/>
            </w:tcBorders>
            <w:noWrap/>
            <w:hideMark/>
          </w:tcPr>
          <w:p w:rsidR="00682A88" w:rsidRPr="00CF3673" w:rsidRDefault="00682A88" w:rsidP="00682A88">
            <w:pPr>
              <w:jc w:val="center"/>
            </w:pPr>
            <w:r w:rsidRPr="00CF3673">
              <w:t>18.9</w:t>
            </w:r>
          </w:p>
        </w:tc>
      </w:tr>
      <w:tr w:rsidR="00682A88" w:rsidRPr="00CF3673" w:rsidTr="00682A88">
        <w:trPr>
          <w:trHeight w:val="300"/>
          <w:jc w:val="center"/>
        </w:trPr>
        <w:tc>
          <w:tcPr>
            <w:tcW w:w="2679"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szCs w:val="20"/>
              </w:rPr>
              <w:t>Sem educação</w:t>
            </w:r>
          </w:p>
        </w:tc>
        <w:tc>
          <w:tcPr>
            <w:tcW w:w="571" w:type="dxa"/>
            <w:tcBorders>
              <w:top w:val="nil"/>
              <w:bottom w:val="single" w:sz="4" w:space="0" w:color="auto"/>
            </w:tcBorders>
            <w:noWrap/>
            <w:hideMark/>
          </w:tcPr>
          <w:p w:rsidR="00682A88" w:rsidRPr="00CF3673" w:rsidRDefault="00682A88" w:rsidP="00682A88">
            <w:pPr>
              <w:jc w:val="center"/>
            </w:pPr>
            <w:r w:rsidRPr="00CF3673">
              <w:t>5.5</w:t>
            </w:r>
          </w:p>
        </w:tc>
        <w:tc>
          <w:tcPr>
            <w:tcW w:w="693" w:type="dxa"/>
            <w:tcBorders>
              <w:top w:val="nil"/>
              <w:bottom w:val="single" w:sz="4" w:space="0" w:color="auto"/>
            </w:tcBorders>
            <w:noWrap/>
            <w:hideMark/>
          </w:tcPr>
          <w:p w:rsidR="00682A88" w:rsidRPr="00CF3673" w:rsidRDefault="00682A88" w:rsidP="00682A88">
            <w:pPr>
              <w:jc w:val="center"/>
            </w:pPr>
            <w:r w:rsidRPr="00CF3673">
              <w:t>5.1</w:t>
            </w:r>
          </w:p>
        </w:tc>
        <w:tc>
          <w:tcPr>
            <w:tcW w:w="656" w:type="dxa"/>
            <w:tcBorders>
              <w:top w:val="nil"/>
              <w:bottom w:val="single" w:sz="4" w:space="0" w:color="auto"/>
            </w:tcBorders>
            <w:noWrap/>
            <w:hideMark/>
          </w:tcPr>
          <w:p w:rsidR="00682A88" w:rsidRPr="00CF3673" w:rsidRDefault="00682A88" w:rsidP="00682A88">
            <w:pPr>
              <w:jc w:val="center"/>
            </w:pPr>
            <w:r w:rsidRPr="00CF3673">
              <w:t>5.5</w:t>
            </w:r>
          </w:p>
        </w:tc>
        <w:tc>
          <w:tcPr>
            <w:tcW w:w="903" w:type="dxa"/>
            <w:tcBorders>
              <w:top w:val="nil"/>
              <w:bottom w:val="single" w:sz="4" w:space="0" w:color="auto"/>
            </w:tcBorders>
            <w:noWrap/>
            <w:hideMark/>
          </w:tcPr>
          <w:p w:rsidR="00682A88" w:rsidRPr="00CF3673" w:rsidRDefault="00682A88" w:rsidP="00682A88">
            <w:pPr>
              <w:jc w:val="center"/>
            </w:pPr>
            <w:r w:rsidRPr="00CF3673">
              <w:t>8.8</w:t>
            </w:r>
          </w:p>
        </w:tc>
        <w:tc>
          <w:tcPr>
            <w:tcW w:w="910" w:type="dxa"/>
            <w:tcBorders>
              <w:top w:val="nil"/>
              <w:bottom w:val="single" w:sz="4" w:space="0" w:color="auto"/>
            </w:tcBorders>
            <w:noWrap/>
            <w:hideMark/>
          </w:tcPr>
          <w:p w:rsidR="00682A88" w:rsidRPr="00CF3673" w:rsidRDefault="00682A88" w:rsidP="00682A88">
            <w:pPr>
              <w:jc w:val="center"/>
            </w:pPr>
            <w:r w:rsidRPr="00CF3673">
              <w:t>3.7</w:t>
            </w:r>
          </w:p>
        </w:tc>
        <w:tc>
          <w:tcPr>
            <w:tcW w:w="785" w:type="dxa"/>
            <w:tcBorders>
              <w:top w:val="nil"/>
              <w:bottom w:val="single" w:sz="4" w:space="0" w:color="auto"/>
            </w:tcBorders>
            <w:noWrap/>
            <w:hideMark/>
          </w:tcPr>
          <w:p w:rsidR="00682A88" w:rsidRPr="00CF3673" w:rsidRDefault="00682A88" w:rsidP="00682A88">
            <w:pPr>
              <w:jc w:val="center"/>
            </w:pPr>
            <w:r w:rsidRPr="00CF3673">
              <w:t>5.9</w:t>
            </w:r>
          </w:p>
        </w:tc>
        <w:tc>
          <w:tcPr>
            <w:tcW w:w="1253" w:type="dxa"/>
            <w:tcBorders>
              <w:top w:val="nil"/>
              <w:bottom w:val="single" w:sz="4" w:space="0" w:color="auto"/>
            </w:tcBorders>
            <w:noWrap/>
            <w:hideMark/>
          </w:tcPr>
          <w:p w:rsidR="00682A88" w:rsidRPr="00CF3673" w:rsidRDefault="00682A88" w:rsidP="00682A88">
            <w:pPr>
              <w:jc w:val="center"/>
            </w:pPr>
            <w:r w:rsidRPr="00CF3673">
              <w:t>4.9</w:t>
            </w:r>
          </w:p>
        </w:tc>
        <w:tc>
          <w:tcPr>
            <w:tcW w:w="1164" w:type="dxa"/>
            <w:tcBorders>
              <w:top w:val="nil"/>
              <w:bottom w:val="single" w:sz="4" w:space="0" w:color="auto"/>
            </w:tcBorders>
            <w:noWrap/>
            <w:hideMark/>
          </w:tcPr>
          <w:p w:rsidR="00682A88" w:rsidRPr="00CF3673" w:rsidRDefault="00682A88" w:rsidP="00682A88">
            <w:pPr>
              <w:jc w:val="center"/>
            </w:pPr>
            <w:r w:rsidRPr="00CF3673">
              <w:t>10.5</w:t>
            </w:r>
          </w:p>
        </w:tc>
      </w:tr>
      <w:tr w:rsidR="00682A88" w:rsidRPr="00CF3673" w:rsidTr="00682A88">
        <w:trPr>
          <w:trHeight w:val="300"/>
          <w:jc w:val="center"/>
        </w:trPr>
        <w:tc>
          <w:tcPr>
            <w:tcW w:w="2679" w:type="dxa"/>
            <w:tcBorders>
              <w:top w:val="single" w:sz="4" w:space="0" w:color="auto"/>
              <w:bottom w:val="doub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Nº de obs.</w:t>
            </w:r>
          </w:p>
        </w:tc>
        <w:tc>
          <w:tcPr>
            <w:tcW w:w="571" w:type="dxa"/>
            <w:tcBorders>
              <w:top w:val="single" w:sz="4" w:space="0" w:color="auto"/>
              <w:bottom w:val="double" w:sz="4" w:space="0" w:color="auto"/>
            </w:tcBorders>
            <w:noWrap/>
            <w:hideMark/>
          </w:tcPr>
          <w:p w:rsidR="00682A88" w:rsidRPr="00CF3673" w:rsidRDefault="00682A88" w:rsidP="00682A88">
            <w:pPr>
              <w:jc w:val="center"/>
            </w:pPr>
            <w:r w:rsidRPr="00CF3673">
              <w:t>719</w:t>
            </w:r>
          </w:p>
        </w:tc>
        <w:tc>
          <w:tcPr>
            <w:tcW w:w="693" w:type="dxa"/>
            <w:tcBorders>
              <w:top w:val="single" w:sz="4" w:space="0" w:color="auto"/>
              <w:bottom w:val="double" w:sz="4" w:space="0" w:color="auto"/>
            </w:tcBorders>
            <w:noWrap/>
            <w:hideMark/>
          </w:tcPr>
          <w:p w:rsidR="00682A88" w:rsidRPr="00CF3673" w:rsidRDefault="00682A88" w:rsidP="00682A88">
            <w:pPr>
              <w:jc w:val="center"/>
            </w:pPr>
            <w:r w:rsidRPr="00CF3673">
              <w:t>505</w:t>
            </w:r>
          </w:p>
        </w:tc>
        <w:tc>
          <w:tcPr>
            <w:tcW w:w="656" w:type="dxa"/>
            <w:tcBorders>
              <w:top w:val="single" w:sz="4" w:space="0" w:color="auto"/>
              <w:bottom w:val="double" w:sz="4" w:space="0" w:color="auto"/>
            </w:tcBorders>
            <w:noWrap/>
            <w:hideMark/>
          </w:tcPr>
          <w:p w:rsidR="00682A88" w:rsidRPr="00CF3673" w:rsidRDefault="00682A88" w:rsidP="00682A88">
            <w:pPr>
              <w:jc w:val="center"/>
            </w:pPr>
            <w:r w:rsidRPr="00CF3673">
              <w:t>155</w:t>
            </w:r>
          </w:p>
        </w:tc>
        <w:tc>
          <w:tcPr>
            <w:tcW w:w="903" w:type="dxa"/>
            <w:tcBorders>
              <w:top w:val="single" w:sz="4" w:space="0" w:color="auto"/>
              <w:bottom w:val="double" w:sz="4" w:space="0" w:color="auto"/>
            </w:tcBorders>
            <w:noWrap/>
            <w:hideMark/>
          </w:tcPr>
          <w:p w:rsidR="00682A88" w:rsidRPr="00CF3673" w:rsidRDefault="00682A88" w:rsidP="00682A88">
            <w:pPr>
              <w:jc w:val="center"/>
            </w:pPr>
            <w:r w:rsidRPr="00CF3673">
              <w:t>59</w:t>
            </w:r>
          </w:p>
        </w:tc>
        <w:tc>
          <w:tcPr>
            <w:tcW w:w="910" w:type="dxa"/>
            <w:tcBorders>
              <w:top w:val="single" w:sz="4" w:space="0" w:color="auto"/>
              <w:bottom w:val="double" w:sz="4" w:space="0" w:color="auto"/>
            </w:tcBorders>
            <w:noWrap/>
            <w:hideMark/>
          </w:tcPr>
          <w:p w:rsidR="00682A88" w:rsidRPr="00CF3673" w:rsidRDefault="00682A88" w:rsidP="00682A88">
            <w:pPr>
              <w:jc w:val="center"/>
            </w:pPr>
            <w:r w:rsidRPr="00CF3673">
              <w:t>164</w:t>
            </w:r>
          </w:p>
        </w:tc>
        <w:tc>
          <w:tcPr>
            <w:tcW w:w="785" w:type="dxa"/>
            <w:tcBorders>
              <w:top w:val="single" w:sz="4" w:space="0" w:color="auto"/>
              <w:bottom w:val="double" w:sz="4" w:space="0" w:color="auto"/>
            </w:tcBorders>
            <w:noWrap/>
            <w:hideMark/>
          </w:tcPr>
          <w:p w:rsidR="00682A88" w:rsidRPr="00CF3673" w:rsidRDefault="00682A88" w:rsidP="00682A88">
            <w:pPr>
              <w:jc w:val="center"/>
            </w:pPr>
            <w:r w:rsidRPr="00CF3673">
              <w:t>553</w:t>
            </w:r>
          </w:p>
        </w:tc>
        <w:tc>
          <w:tcPr>
            <w:tcW w:w="1253" w:type="dxa"/>
            <w:tcBorders>
              <w:top w:val="single" w:sz="4" w:space="0" w:color="auto"/>
              <w:bottom w:val="double" w:sz="4" w:space="0" w:color="auto"/>
            </w:tcBorders>
            <w:noWrap/>
            <w:hideMark/>
          </w:tcPr>
          <w:p w:rsidR="00682A88" w:rsidRPr="00CF3673" w:rsidRDefault="00682A88" w:rsidP="00682A88">
            <w:pPr>
              <w:jc w:val="center"/>
            </w:pPr>
            <w:r w:rsidRPr="00CF3673">
              <w:t>642</w:t>
            </w:r>
          </w:p>
        </w:tc>
        <w:tc>
          <w:tcPr>
            <w:tcW w:w="1164" w:type="dxa"/>
            <w:tcBorders>
              <w:top w:val="single" w:sz="4" w:space="0" w:color="auto"/>
              <w:bottom w:val="double" w:sz="4" w:space="0" w:color="auto"/>
            </w:tcBorders>
            <w:noWrap/>
            <w:hideMark/>
          </w:tcPr>
          <w:p w:rsidR="00682A88" w:rsidRPr="00CF3673" w:rsidRDefault="00682A88" w:rsidP="00682A88">
            <w:pPr>
              <w:jc w:val="center"/>
            </w:pPr>
            <w:r w:rsidRPr="00CF3673">
              <w:t>75</w:t>
            </w:r>
          </w:p>
        </w:tc>
      </w:tr>
      <w:tr w:rsidR="00682A88" w:rsidRPr="00CF3673" w:rsidTr="00682A88">
        <w:trPr>
          <w:trHeight w:val="300"/>
          <w:jc w:val="center"/>
        </w:trPr>
        <w:tc>
          <w:tcPr>
            <w:tcW w:w="9614" w:type="dxa"/>
            <w:gridSpan w:val="9"/>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42 </w:t>
            </w:r>
            <w:r w:rsidR="006A4724" w:rsidRPr="00CF3673">
              <w:rPr>
                <w:lang w:val="pt-PT"/>
              </w:rPr>
              <w:t>observações</w:t>
            </w:r>
            <w:r w:rsidRPr="00CF3673">
              <w:rPr>
                <w:lang w:val="pt-PT"/>
              </w:rPr>
              <w:t xml:space="preserve"> em falta.</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jc w:val="center"/>
        </w:trPr>
        <w:tc>
          <w:tcPr>
            <w:tcW w:w="9614" w:type="dxa"/>
            <w:gridSpan w:val="9"/>
            <w:tcBorders>
              <w:top w:val="nil"/>
              <w:bottom w:val="nil"/>
            </w:tcBorders>
            <w:noWrap/>
          </w:tcPr>
          <w:p w:rsidR="00682A88" w:rsidRPr="00CF3673" w:rsidRDefault="00682A88" w:rsidP="00C41650">
            <w:pPr>
              <w:pStyle w:val="Tablenote"/>
              <w:rPr>
                <w:b/>
                <w:lang w:val="pt-PT"/>
              </w:rPr>
            </w:pPr>
            <w:r w:rsidRPr="00CF3673">
              <w:rPr>
                <w:b/>
                <w:lang w:val="pt-PT"/>
              </w:rPr>
              <w:t>Fonte:</w:t>
            </w:r>
            <w:r w:rsidRPr="00CF3673">
              <w:rPr>
                <w:lang w:val="pt-PT"/>
              </w:rPr>
              <w:t xml:space="preserve"> Cálculos</w:t>
            </w:r>
            <w:r w:rsidR="00C41650" w:rsidRPr="00CF3673">
              <w:rPr>
                <w:lang w:val="pt-PT"/>
              </w:rPr>
              <w:t xml:space="preserve"> dos autores</w:t>
            </w:r>
            <w:r w:rsidRPr="00CF3673">
              <w:rPr>
                <w:lang w:val="pt-PT"/>
              </w:rPr>
              <w:t xml:space="preserve">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Após a visão geral do nível de escolaridade dos </w:t>
      </w:r>
      <w:r w:rsidR="00C41650" w:rsidRPr="00CF3673">
        <w:t>trabalhadores,</w:t>
      </w:r>
      <w:r w:rsidRPr="00CF3673">
        <w:t xml:space="preserve"> a Tabela 4.8 relata a medida em que o nível de habilidade dos trabalhadores apresenta problemas para as empresas. Isso é feito por perguntar se a empresa tem uma força de trabalho suficientemente qualificada, dado o tipo de produção em que a empresa está envolvida (percentagem dizer "não") . A Tabela 4.8 também apresenta o percentual de empresas que realizou algum tipo de formação dos trabalhadores em 2011.</w:t>
      </w:r>
    </w:p>
    <w:p w:rsidR="00682A88" w:rsidRPr="00CF3673" w:rsidRDefault="00682A88" w:rsidP="00682A88">
      <w:pPr>
        <w:spacing w:line="360" w:lineRule="auto"/>
        <w:jc w:val="both"/>
      </w:pPr>
    </w:p>
    <w:p w:rsidR="00682A88" w:rsidRPr="00CF3673" w:rsidRDefault="00682A88" w:rsidP="00682A88">
      <w:pPr>
        <w:spacing w:line="360" w:lineRule="auto"/>
        <w:jc w:val="both"/>
        <w:rPr>
          <w:b/>
        </w:rPr>
      </w:pPr>
      <w:r w:rsidRPr="00CF3673">
        <w:rPr>
          <w:b/>
        </w:rPr>
        <w:lastRenderedPageBreak/>
        <w:t>Tabela 4.8 : Percentagem de empresas percebendo a qualificação dos trabalhadores como insuficiente fornecem treinamento, %.</w:t>
      </w:r>
    </w:p>
    <w:tbl>
      <w:tblPr>
        <w:tblStyle w:val="StandardTable"/>
        <w:tblW w:w="0" w:type="auto"/>
        <w:jc w:val="center"/>
        <w:tblInd w:w="-778" w:type="dxa"/>
        <w:tblLayout w:type="fixed"/>
        <w:tblLook w:val="04A0" w:firstRow="1" w:lastRow="0" w:firstColumn="1" w:lastColumn="0" w:noHBand="0" w:noVBand="1"/>
      </w:tblPr>
      <w:tblGrid>
        <w:gridCol w:w="2241"/>
        <w:gridCol w:w="3240"/>
        <w:gridCol w:w="1890"/>
        <w:gridCol w:w="1070"/>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2"/>
          <w:jc w:val="center"/>
        </w:trPr>
        <w:tc>
          <w:tcPr>
            <w:tcW w:w="2241" w:type="dxa"/>
            <w:noWrap/>
            <w:hideMark/>
          </w:tcPr>
          <w:p w:rsidR="00682A88" w:rsidRPr="00CF3673" w:rsidRDefault="00682A88" w:rsidP="00682A88">
            <w:pPr>
              <w:rPr>
                <w:rFonts w:ascii="Calibri" w:eastAsia="Times New Roman" w:hAnsi="Calibri" w:cs="Times New Roman"/>
                <w:lang w:eastAsia="zh-CN"/>
              </w:rPr>
            </w:pPr>
          </w:p>
        </w:tc>
        <w:tc>
          <w:tcPr>
            <w:tcW w:w="3240" w:type="dxa"/>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Trabalhadores não suficientemente qualificados*</w:t>
            </w:r>
          </w:p>
        </w:tc>
        <w:tc>
          <w:tcPr>
            <w:tcW w:w="1890" w:type="dxa"/>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Empresa oferece treinamento</w:t>
            </w:r>
          </w:p>
        </w:tc>
        <w:tc>
          <w:tcPr>
            <w:tcW w:w="107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Nº de obs.</w:t>
            </w:r>
          </w:p>
        </w:tc>
      </w:tr>
      <w:tr w:rsidR="00682A88" w:rsidRPr="00CF3673" w:rsidTr="00682A88">
        <w:trPr>
          <w:trHeight w:val="302"/>
          <w:jc w:val="center"/>
        </w:trPr>
        <w:tc>
          <w:tcPr>
            <w:tcW w:w="2241"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Todas</w:t>
            </w:r>
          </w:p>
        </w:tc>
        <w:tc>
          <w:tcPr>
            <w:tcW w:w="3240" w:type="dxa"/>
            <w:noWrap/>
            <w:hideMark/>
          </w:tcPr>
          <w:p w:rsidR="00682A88" w:rsidRPr="00CF3673" w:rsidRDefault="00682A88" w:rsidP="00682A88">
            <w:pPr>
              <w:jc w:val="center"/>
            </w:pPr>
            <w:r w:rsidRPr="00CF3673">
              <w:t>23.4</w:t>
            </w:r>
          </w:p>
        </w:tc>
        <w:tc>
          <w:tcPr>
            <w:tcW w:w="1890" w:type="dxa"/>
            <w:noWrap/>
            <w:hideMark/>
          </w:tcPr>
          <w:p w:rsidR="00682A88" w:rsidRPr="00CF3673" w:rsidRDefault="00682A88" w:rsidP="00682A88">
            <w:pPr>
              <w:jc w:val="center"/>
            </w:pPr>
            <w:r w:rsidRPr="00CF3673">
              <w:t>8.2</w:t>
            </w:r>
          </w:p>
        </w:tc>
        <w:tc>
          <w:tcPr>
            <w:tcW w:w="1070" w:type="dxa"/>
            <w:noWrap/>
            <w:hideMark/>
          </w:tcPr>
          <w:p w:rsidR="00682A88" w:rsidRPr="00CF3673" w:rsidRDefault="00682A88" w:rsidP="00682A88">
            <w:pPr>
              <w:jc w:val="center"/>
            </w:pPr>
            <w:r w:rsidRPr="00CF3673">
              <w:t>758</w:t>
            </w:r>
          </w:p>
        </w:tc>
      </w:tr>
      <w:tr w:rsidR="00682A88" w:rsidRPr="00CF3673" w:rsidTr="00682A88">
        <w:trPr>
          <w:trHeight w:val="302"/>
          <w:jc w:val="center"/>
        </w:trPr>
        <w:tc>
          <w:tcPr>
            <w:tcW w:w="2241"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3240" w:type="dxa"/>
            <w:noWrap/>
            <w:hideMark/>
          </w:tcPr>
          <w:p w:rsidR="00682A88" w:rsidRPr="00CF3673" w:rsidRDefault="00682A88" w:rsidP="00682A88">
            <w:pPr>
              <w:jc w:val="center"/>
            </w:pPr>
            <w:r w:rsidRPr="00CF3673">
              <w:t>27.8</w:t>
            </w:r>
          </w:p>
        </w:tc>
        <w:tc>
          <w:tcPr>
            <w:tcW w:w="1890" w:type="dxa"/>
            <w:noWrap/>
            <w:hideMark/>
          </w:tcPr>
          <w:p w:rsidR="00682A88" w:rsidRPr="00CF3673" w:rsidRDefault="00682A88" w:rsidP="00682A88">
            <w:pPr>
              <w:jc w:val="center"/>
            </w:pPr>
            <w:r w:rsidRPr="00CF3673">
              <w:t>4.9</w:t>
            </w:r>
          </w:p>
        </w:tc>
        <w:tc>
          <w:tcPr>
            <w:tcW w:w="1070" w:type="dxa"/>
            <w:noWrap/>
            <w:hideMark/>
          </w:tcPr>
          <w:p w:rsidR="00682A88" w:rsidRPr="00CF3673" w:rsidRDefault="00682A88" w:rsidP="00682A88">
            <w:pPr>
              <w:jc w:val="center"/>
            </w:pPr>
            <w:r w:rsidRPr="00CF3673">
              <w:t>515</w:t>
            </w:r>
          </w:p>
        </w:tc>
      </w:tr>
      <w:tr w:rsidR="00682A88" w:rsidRPr="00CF3673" w:rsidTr="00682A88">
        <w:trPr>
          <w:trHeight w:val="302"/>
          <w:jc w:val="center"/>
        </w:trPr>
        <w:tc>
          <w:tcPr>
            <w:tcW w:w="2241" w:type="dxa"/>
            <w:tcBorders>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3240" w:type="dxa"/>
            <w:tcBorders>
              <w:bottom w:val="nil"/>
            </w:tcBorders>
            <w:noWrap/>
            <w:hideMark/>
          </w:tcPr>
          <w:p w:rsidR="00682A88" w:rsidRPr="00CF3673" w:rsidRDefault="00682A88" w:rsidP="00682A88">
            <w:pPr>
              <w:jc w:val="center"/>
            </w:pPr>
            <w:r w:rsidRPr="00CF3673">
              <w:t>12.4</w:t>
            </w:r>
          </w:p>
        </w:tc>
        <w:tc>
          <w:tcPr>
            <w:tcW w:w="1890" w:type="dxa"/>
            <w:tcBorders>
              <w:bottom w:val="nil"/>
            </w:tcBorders>
            <w:noWrap/>
            <w:hideMark/>
          </w:tcPr>
          <w:p w:rsidR="00682A88" w:rsidRPr="00CF3673" w:rsidRDefault="00682A88" w:rsidP="00682A88">
            <w:pPr>
              <w:jc w:val="center"/>
            </w:pPr>
            <w:r w:rsidRPr="00CF3673">
              <w:t>13.0</w:t>
            </w:r>
          </w:p>
        </w:tc>
        <w:tc>
          <w:tcPr>
            <w:tcW w:w="1070" w:type="dxa"/>
            <w:tcBorders>
              <w:bottom w:val="nil"/>
            </w:tcBorders>
            <w:noWrap/>
            <w:hideMark/>
          </w:tcPr>
          <w:p w:rsidR="00682A88" w:rsidRPr="00CF3673" w:rsidRDefault="00682A88" w:rsidP="00682A88">
            <w:pPr>
              <w:jc w:val="center"/>
            </w:pPr>
            <w:r w:rsidRPr="00CF3673">
              <w:t>177</w:t>
            </w:r>
          </w:p>
        </w:tc>
      </w:tr>
      <w:tr w:rsidR="00682A88" w:rsidRPr="00CF3673" w:rsidTr="00682A88">
        <w:trPr>
          <w:trHeight w:val="302"/>
          <w:jc w:val="center"/>
        </w:trPr>
        <w:tc>
          <w:tcPr>
            <w:tcW w:w="2241"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Média</w:t>
            </w:r>
          </w:p>
        </w:tc>
        <w:tc>
          <w:tcPr>
            <w:tcW w:w="3240" w:type="dxa"/>
            <w:tcBorders>
              <w:top w:val="nil"/>
              <w:bottom w:val="single" w:sz="4" w:space="0" w:color="auto"/>
            </w:tcBorders>
            <w:noWrap/>
            <w:hideMark/>
          </w:tcPr>
          <w:p w:rsidR="00682A88" w:rsidRPr="00CF3673" w:rsidRDefault="00682A88" w:rsidP="00682A88">
            <w:pPr>
              <w:jc w:val="center"/>
            </w:pPr>
            <w:r w:rsidRPr="00CF3673">
              <w:t>18.2</w:t>
            </w:r>
          </w:p>
        </w:tc>
        <w:tc>
          <w:tcPr>
            <w:tcW w:w="1890" w:type="dxa"/>
            <w:tcBorders>
              <w:top w:val="nil"/>
              <w:bottom w:val="single" w:sz="4" w:space="0" w:color="auto"/>
            </w:tcBorders>
            <w:noWrap/>
            <w:hideMark/>
          </w:tcPr>
          <w:p w:rsidR="00682A88" w:rsidRPr="00CF3673" w:rsidRDefault="00682A88" w:rsidP="00682A88">
            <w:pPr>
              <w:jc w:val="center"/>
            </w:pPr>
            <w:r w:rsidRPr="00CF3673">
              <w:t>21.2</w:t>
            </w:r>
          </w:p>
        </w:tc>
        <w:tc>
          <w:tcPr>
            <w:tcW w:w="1070" w:type="dxa"/>
            <w:tcBorders>
              <w:top w:val="nil"/>
              <w:bottom w:val="single" w:sz="4" w:space="0" w:color="auto"/>
            </w:tcBorders>
            <w:noWrap/>
            <w:hideMark/>
          </w:tcPr>
          <w:p w:rsidR="00682A88" w:rsidRPr="00CF3673" w:rsidRDefault="00682A88" w:rsidP="00682A88">
            <w:pPr>
              <w:jc w:val="center"/>
            </w:pPr>
            <w:r w:rsidRPr="00CF3673">
              <w:t>66</w:t>
            </w:r>
          </w:p>
        </w:tc>
      </w:tr>
      <w:tr w:rsidR="00682A88" w:rsidRPr="00CF3673" w:rsidTr="00682A88">
        <w:trPr>
          <w:trHeight w:val="302"/>
          <w:jc w:val="center"/>
        </w:trPr>
        <w:tc>
          <w:tcPr>
            <w:tcW w:w="2241" w:type="dxa"/>
            <w:tcBorders>
              <w:top w:val="single" w:sz="4" w:space="0" w:color="auto"/>
              <w:bottom w:val="nil"/>
            </w:tcBorders>
            <w:noWrap/>
            <w:hideMark/>
          </w:tcPr>
          <w:p w:rsidR="00682A88" w:rsidRPr="00CF3673" w:rsidRDefault="00682A88" w:rsidP="00682A88">
            <w:pPr>
              <w:rPr>
                <w:rFonts w:ascii="Calibri" w:hAnsi="Calibri"/>
                <w:color w:val="000000"/>
                <w:szCs w:val="20"/>
              </w:rPr>
            </w:pPr>
            <w:r w:rsidRPr="00CF3673">
              <w:rPr>
                <w:rFonts w:ascii="Calibri" w:hAnsi="Calibri"/>
                <w:color w:val="000000"/>
                <w:szCs w:val="20"/>
              </w:rPr>
              <w:t>Informal</w:t>
            </w:r>
          </w:p>
        </w:tc>
        <w:tc>
          <w:tcPr>
            <w:tcW w:w="3240" w:type="dxa"/>
            <w:tcBorders>
              <w:top w:val="single" w:sz="4" w:space="0" w:color="auto"/>
              <w:bottom w:val="nil"/>
            </w:tcBorders>
            <w:noWrap/>
            <w:hideMark/>
          </w:tcPr>
          <w:p w:rsidR="00682A88" w:rsidRPr="00CF3673" w:rsidRDefault="00682A88" w:rsidP="00682A88">
            <w:pPr>
              <w:jc w:val="center"/>
            </w:pPr>
            <w:r w:rsidRPr="00CF3673">
              <w:t>33.3</w:t>
            </w:r>
          </w:p>
        </w:tc>
        <w:tc>
          <w:tcPr>
            <w:tcW w:w="1890" w:type="dxa"/>
            <w:tcBorders>
              <w:top w:val="single" w:sz="4" w:space="0" w:color="auto"/>
              <w:bottom w:val="nil"/>
            </w:tcBorders>
            <w:noWrap/>
            <w:hideMark/>
          </w:tcPr>
          <w:p w:rsidR="00682A88" w:rsidRPr="00CF3673" w:rsidRDefault="00682A88" w:rsidP="00682A88">
            <w:pPr>
              <w:jc w:val="center"/>
            </w:pPr>
            <w:r w:rsidRPr="00CF3673">
              <w:t>4.2</w:t>
            </w:r>
          </w:p>
        </w:tc>
        <w:tc>
          <w:tcPr>
            <w:tcW w:w="1070" w:type="dxa"/>
            <w:tcBorders>
              <w:top w:val="single" w:sz="4" w:space="0" w:color="auto"/>
              <w:bottom w:val="nil"/>
            </w:tcBorders>
            <w:noWrap/>
            <w:hideMark/>
          </w:tcPr>
          <w:p w:rsidR="00682A88" w:rsidRPr="00CF3673" w:rsidRDefault="00682A88" w:rsidP="00682A88">
            <w:pPr>
              <w:jc w:val="center"/>
            </w:pPr>
            <w:r w:rsidRPr="00CF3673">
              <w:t>165</w:t>
            </w:r>
          </w:p>
        </w:tc>
      </w:tr>
      <w:tr w:rsidR="00682A88" w:rsidRPr="00CF3673" w:rsidTr="00682A88">
        <w:trPr>
          <w:trHeight w:val="302"/>
          <w:jc w:val="center"/>
        </w:trPr>
        <w:tc>
          <w:tcPr>
            <w:tcW w:w="2241" w:type="dxa"/>
            <w:tcBorders>
              <w:top w:val="nil"/>
              <w:bottom w:val="single" w:sz="4" w:space="0" w:color="auto"/>
            </w:tcBorders>
            <w:noWrap/>
            <w:hideMark/>
          </w:tcPr>
          <w:p w:rsidR="00682A88" w:rsidRPr="00CF3673" w:rsidRDefault="00682A88" w:rsidP="00682A88">
            <w:pPr>
              <w:rPr>
                <w:rFonts w:ascii="Calibri" w:hAnsi="Calibri"/>
                <w:color w:val="000000"/>
                <w:szCs w:val="20"/>
              </w:rPr>
            </w:pPr>
            <w:r w:rsidRPr="00CF3673">
              <w:rPr>
                <w:rFonts w:ascii="Calibri" w:eastAsia="Times New Roman" w:hAnsi="Calibri" w:cs="Times New Roman"/>
                <w:lang w:eastAsia="zh-CN"/>
              </w:rPr>
              <w:t>Formal</w:t>
            </w:r>
          </w:p>
        </w:tc>
        <w:tc>
          <w:tcPr>
            <w:tcW w:w="3240" w:type="dxa"/>
            <w:tcBorders>
              <w:top w:val="nil"/>
              <w:bottom w:val="single" w:sz="4" w:space="0" w:color="auto"/>
            </w:tcBorders>
            <w:noWrap/>
            <w:hideMark/>
          </w:tcPr>
          <w:p w:rsidR="00682A88" w:rsidRPr="00CF3673" w:rsidRDefault="00682A88" w:rsidP="00682A88">
            <w:pPr>
              <w:jc w:val="center"/>
            </w:pPr>
            <w:r w:rsidRPr="00CF3673">
              <w:t>20.6</w:t>
            </w:r>
          </w:p>
        </w:tc>
        <w:tc>
          <w:tcPr>
            <w:tcW w:w="1890" w:type="dxa"/>
            <w:tcBorders>
              <w:top w:val="nil"/>
              <w:bottom w:val="single" w:sz="4" w:space="0" w:color="auto"/>
            </w:tcBorders>
            <w:noWrap/>
            <w:hideMark/>
          </w:tcPr>
          <w:p w:rsidR="00682A88" w:rsidRPr="00CF3673" w:rsidRDefault="00682A88" w:rsidP="00682A88">
            <w:pPr>
              <w:jc w:val="center"/>
            </w:pPr>
            <w:r w:rsidRPr="00CF3673">
              <w:t>9.3</w:t>
            </w:r>
          </w:p>
        </w:tc>
        <w:tc>
          <w:tcPr>
            <w:tcW w:w="1070" w:type="dxa"/>
            <w:tcBorders>
              <w:top w:val="nil"/>
              <w:bottom w:val="single" w:sz="4" w:space="0" w:color="auto"/>
            </w:tcBorders>
            <w:noWrap/>
            <w:hideMark/>
          </w:tcPr>
          <w:p w:rsidR="00682A88" w:rsidRPr="00CF3673" w:rsidRDefault="00682A88" w:rsidP="00682A88">
            <w:pPr>
              <w:jc w:val="center"/>
            </w:pPr>
            <w:r w:rsidRPr="00CF3673">
              <w:t>591</w:t>
            </w:r>
          </w:p>
        </w:tc>
      </w:tr>
      <w:tr w:rsidR="00682A88" w:rsidRPr="00CF3673" w:rsidTr="00682A88">
        <w:trPr>
          <w:trHeight w:val="302"/>
          <w:jc w:val="center"/>
        </w:trPr>
        <w:tc>
          <w:tcPr>
            <w:tcW w:w="2241" w:type="dxa"/>
            <w:tcBorders>
              <w:top w:val="single" w:sz="4" w:space="0" w:color="auto"/>
              <w:bottom w:val="nil"/>
            </w:tcBorders>
            <w:noWrap/>
            <w:hideMark/>
          </w:tcPr>
          <w:p w:rsidR="00682A88" w:rsidRPr="00CF3673" w:rsidRDefault="00682A88" w:rsidP="00682A88">
            <w:pPr>
              <w:rPr>
                <w:rFonts w:ascii="Calibri" w:hAnsi="Calibri"/>
                <w:color w:val="000000"/>
                <w:szCs w:val="20"/>
              </w:rPr>
            </w:pPr>
            <w:r w:rsidRPr="00CF3673">
              <w:rPr>
                <w:rFonts w:ascii="Calibri" w:hAnsi="Calibri"/>
                <w:color w:val="000000"/>
                <w:szCs w:val="20"/>
              </w:rPr>
              <w:t>Propriedade Moçambicana</w:t>
            </w:r>
          </w:p>
        </w:tc>
        <w:tc>
          <w:tcPr>
            <w:tcW w:w="3240" w:type="dxa"/>
            <w:tcBorders>
              <w:top w:val="single" w:sz="4" w:space="0" w:color="auto"/>
              <w:bottom w:val="nil"/>
            </w:tcBorders>
            <w:noWrap/>
            <w:hideMark/>
          </w:tcPr>
          <w:p w:rsidR="00682A88" w:rsidRPr="00CF3673" w:rsidRDefault="00682A88" w:rsidP="00682A88">
            <w:pPr>
              <w:jc w:val="center"/>
            </w:pPr>
            <w:r w:rsidRPr="00CF3673">
              <w:t>24.5</w:t>
            </w:r>
          </w:p>
        </w:tc>
        <w:tc>
          <w:tcPr>
            <w:tcW w:w="1890" w:type="dxa"/>
            <w:tcBorders>
              <w:top w:val="single" w:sz="4" w:space="0" w:color="auto"/>
              <w:bottom w:val="nil"/>
            </w:tcBorders>
            <w:noWrap/>
            <w:hideMark/>
          </w:tcPr>
          <w:p w:rsidR="00682A88" w:rsidRPr="00CF3673" w:rsidRDefault="00682A88" w:rsidP="00682A88">
            <w:pPr>
              <w:jc w:val="center"/>
            </w:pPr>
            <w:r w:rsidRPr="00CF3673">
              <w:t>7.6</w:t>
            </w:r>
          </w:p>
        </w:tc>
        <w:tc>
          <w:tcPr>
            <w:tcW w:w="1070" w:type="dxa"/>
            <w:tcBorders>
              <w:top w:val="single" w:sz="4" w:space="0" w:color="auto"/>
              <w:bottom w:val="nil"/>
            </w:tcBorders>
            <w:noWrap/>
            <w:hideMark/>
          </w:tcPr>
          <w:p w:rsidR="00682A88" w:rsidRPr="00CF3673" w:rsidRDefault="00682A88" w:rsidP="00682A88">
            <w:pPr>
              <w:jc w:val="center"/>
            </w:pPr>
            <w:r w:rsidRPr="00CF3673">
              <w:t>673</w:t>
            </w:r>
          </w:p>
        </w:tc>
      </w:tr>
      <w:tr w:rsidR="00682A88" w:rsidRPr="00CF3673" w:rsidTr="00682A88">
        <w:trPr>
          <w:trHeight w:val="302"/>
          <w:jc w:val="center"/>
        </w:trPr>
        <w:tc>
          <w:tcPr>
            <w:tcW w:w="2241" w:type="dxa"/>
            <w:tcBorders>
              <w:top w:val="nil"/>
              <w:bottom w:val="single" w:sz="4" w:space="0" w:color="auto"/>
            </w:tcBorders>
            <w:noWrap/>
            <w:hideMark/>
          </w:tcPr>
          <w:p w:rsidR="00682A88" w:rsidRPr="00CF3673" w:rsidRDefault="00682A88" w:rsidP="00682A88">
            <w:pPr>
              <w:rPr>
                <w:rFonts w:ascii="Calibri" w:hAnsi="Calibri"/>
                <w:color w:val="000000"/>
                <w:szCs w:val="20"/>
              </w:rPr>
            </w:pPr>
            <w:r w:rsidRPr="00CF3673">
              <w:rPr>
                <w:rFonts w:ascii="Calibri" w:hAnsi="Calibri"/>
                <w:color w:val="000000"/>
                <w:szCs w:val="20"/>
              </w:rPr>
              <w:t>Propriedade Estrangeira</w:t>
            </w:r>
          </w:p>
        </w:tc>
        <w:tc>
          <w:tcPr>
            <w:tcW w:w="3240" w:type="dxa"/>
            <w:tcBorders>
              <w:top w:val="nil"/>
              <w:bottom w:val="single" w:sz="4" w:space="0" w:color="auto"/>
            </w:tcBorders>
            <w:noWrap/>
            <w:hideMark/>
          </w:tcPr>
          <w:p w:rsidR="00682A88" w:rsidRPr="00CF3673" w:rsidRDefault="00682A88" w:rsidP="00682A88">
            <w:pPr>
              <w:jc w:val="center"/>
            </w:pPr>
            <w:r w:rsidRPr="00CF3673">
              <w:t>14.5</w:t>
            </w:r>
          </w:p>
        </w:tc>
        <w:tc>
          <w:tcPr>
            <w:tcW w:w="1890" w:type="dxa"/>
            <w:tcBorders>
              <w:top w:val="nil"/>
              <w:bottom w:val="single" w:sz="4" w:space="0" w:color="auto"/>
            </w:tcBorders>
            <w:noWrap/>
            <w:hideMark/>
          </w:tcPr>
          <w:p w:rsidR="00682A88" w:rsidRPr="00CF3673" w:rsidRDefault="00682A88" w:rsidP="00682A88">
            <w:pPr>
              <w:jc w:val="center"/>
            </w:pPr>
            <w:r w:rsidRPr="00CF3673">
              <w:t>13.3</w:t>
            </w:r>
          </w:p>
        </w:tc>
        <w:tc>
          <w:tcPr>
            <w:tcW w:w="1070" w:type="dxa"/>
            <w:tcBorders>
              <w:top w:val="nil"/>
              <w:bottom w:val="single" w:sz="4" w:space="0" w:color="auto"/>
            </w:tcBorders>
            <w:noWrap/>
            <w:hideMark/>
          </w:tcPr>
          <w:p w:rsidR="00682A88" w:rsidRPr="00CF3673" w:rsidRDefault="00682A88" w:rsidP="00682A88">
            <w:pPr>
              <w:jc w:val="center"/>
            </w:pPr>
            <w:r w:rsidRPr="00CF3673">
              <w:t>83</w:t>
            </w:r>
          </w:p>
        </w:tc>
      </w:tr>
      <w:tr w:rsidR="00682A88" w:rsidRPr="00CF3673" w:rsidTr="00682A88">
        <w:trPr>
          <w:trHeight w:val="302"/>
          <w:jc w:val="center"/>
        </w:trPr>
        <w:tc>
          <w:tcPr>
            <w:tcW w:w="2241" w:type="dxa"/>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Maputo</w:t>
            </w:r>
          </w:p>
        </w:tc>
        <w:tc>
          <w:tcPr>
            <w:tcW w:w="3240" w:type="dxa"/>
            <w:tcBorders>
              <w:top w:val="single" w:sz="4" w:space="0" w:color="auto"/>
            </w:tcBorders>
            <w:noWrap/>
            <w:hideMark/>
          </w:tcPr>
          <w:p w:rsidR="00682A88" w:rsidRPr="00CF3673" w:rsidRDefault="00682A88" w:rsidP="00682A88">
            <w:pPr>
              <w:jc w:val="center"/>
            </w:pPr>
            <w:r w:rsidRPr="00CF3673">
              <w:t>27.3</w:t>
            </w:r>
          </w:p>
        </w:tc>
        <w:tc>
          <w:tcPr>
            <w:tcW w:w="1890" w:type="dxa"/>
            <w:tcBorders>
              <w:top w:val="single" w:sz="4" w:space="0" w:color="auto"/>
            </w:tcBorders>
            <w:noWrap/>
            <w:hideMark/>
          </w:tcPr>
          <w:p w:rsidR="00682A88" w:rsidRPr="00CF3673" w:rsidRDefault="00682A88" w:rsidP="00682A88">
            <w:pPr>
              <w:jc w:val="center"/>
            </w:pPr>
            <w:r w:rsidRPr="00CF3673">
              <w:t>10.9</w:t>
            </w:r>
          </w:p>
        </w:tc>
        <w:tc>
          <w:tcPr>
            <w:tcW w:w="1070" w:type="dxa"/>
            <w:tcBorders>
              <w:top w:val="single" w:sz="4" w:space="0" w:color="auto"/>
            </w:tcBorders>
            <w:noWrap/>
            <w:hideMark/>
          </w:tcPr>
          <w:p w:rsidR="00682A88" w:rsidRPr="00CF3673" w:rsidRDefault="00682A88" w:rsidP="00682A88">
            <w:pPr>
              <w:jc w:val="center"/>
            </w:pPr>
            <w:r w:rsidRPr="00CF3673">
              <w:t>267</w:t>
            </w:r>
          </w:p>
        </w:tc>
      </w:tr>
      <w:tr w:rsidR="00682A88" w:rsidRPr="00CF3673" w:rsidTr="00682A88">
        <w:trPr>
          <w:trHeight w:val="302"/>
          <w:jc w:val="center"/>
        </w:trPr>
        <w:tc>
          <w:tcPr>
            <w:tcW w:w="2241"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Matola</w:t>
            </w:r>
          </w:p>
        </w:tc>
        <w:tc>
          <w:tcPr>
            <w:tcW w:w="3240" w:type="dxa"/>
            <w:noWrap/>
            <w:hideMark/>
          </w:tcPr>
          <w:p w:rsidR="00682A88" w:rsidRPr="00CF3673" w:rsidRDefault="00682A88" w:rsidP="00682A88">
            <w:pPr>
              <w:jc w:val="center"/>
            </w:pPr>
            <w:r w:rsidRPr="00CF3673">
              <w:t>11.6</w:t>
            </w:r>
          </w:p>
        </w:tc>
        <w:tc>
          <w:tcPr>
            <w:tcW w:w="1890" w:type="dxa"/>
            <w:noWrap/>
            <w:hideMark/>
          </w:tcPr>
          <w:p w:rsidR="00682A88" w:rsidRPr="00CF3673" w:rsidRDefault="00682A88" w:rsidP="00682A88">
            <w:pPr>
              <w:jc w:val="center"/>
            </w:pPr>
            <w:r w:rsidRPr="00CF3673">
              <w:t>5.8</w:t>
            </w:r>
          </w:p>
        </w:tc>
        <w:tc>
          <w:tcPr>
            <w:tcW w:w="1070" w:type="dxa"/>
            <w:noWrap/>
            <w:hideMark/>
          </w:tcPr>
          <w:p w:rsidR="00682A88" w:rsidRPr="00CF3673" w:rsidRDefault="00682A88" w:rsidP="00682A88">
            <w:pPr>
              <w:jc w:val="center"/>
            </w:pPr>
            <w:r w:rsidRPr="00CF3673">
              <w:t>69</w:t>
            </w:r>
          </w:p>
        </w:tc>
      </w:tr>
      <w:tr w:rsidR="00682A88" w:rsidRPr="00CF3673" w:rsidTr="00682A88">
        <w:trPr>
          <w:trHeight w:val="302"/>
          <w:jc w:val="center"/>
        </w:trPr>
        <w:tc>
          <w:tcPr>
            <w:tcW w:w="2241"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Beira</w:t>
            </w:r>
          </w:p>
        </w:tc>
        <w:tc>
          <w:tcPr>
            <w:tcW w:w="3240" w:type="dxa"/>
            <w:noWrap/>
            <w:hideMark/>
          </w:tcPr>
          <w:p w:rsidR="00682A88" w:rsidRPr="00CF3673" w:rsidRDefault="00682A88" w:rsidP="00682A88">
            <w:pPr>
              <w:jc w:val="center"/>
            </w:pPr>
            <w:r w:rsidRPr="00CF3673">
              <w:t>19.6</w:t>
            </w:r>
          </w:p>
        </w:tc>
        <w:tc>
          <w:tcPr>
            <w:tcW w:w="1890" w:type="dxa"/>
            <w:noWrap/>
            <w:hideMark/>
          </w:tcPr>
          <w:p w:rsidR="00682A88" w:rsidRPr="00CF3673" w:rsidRDefault="00682A88" w:rsidP="00682A88">
            <w:pPr>
              <w:jc w:val="center"/>
            </w:pPr>
            <w:r w:rsidRPr="00CF3673">
              <w:t>10.5</w:t>
            </w:r>
          </w:p>
        </w:tc>
        <w:tc>
          <w:tcPr>
            <w:tcW w:w="1070" w:type="dxa"/>
            <w:noWrap/>
            <w:hideMark/>
          </w:tcPr>
          <w:p w:rsidR="00682A88" w:rsidRPr="00CF3673" w:rsidRDefault="00682A88" w:rsidP="00682A88">
            <w:pPr>
              <w:jc w:val="center"/>
            </w:pPr>
            <w:r w:rsidRPr="00CF3673">
              <w:t>143</w:t>
            </w:r>
          </w:p>
        </w:tc>
      </w:tr>
      <w:tr w:rsidR="00682A88" w:rsidRPr="00CF3673" w:rsidTr="00682A88">
        <w:trPr>
          <w:trHeight w:val="302"/>
          <w:jc w:val="center"/>
        </w:trPr>
        <w:tc>
          <w:tcPr>
            <w:tcW w:w="2241"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Nampula</w:t>
            </w:r>
          </w:p>
        </w:tc>
        <w:tc>
          <w:tcPr>
            <w:tcW w:w="3240" w:type="dxa"/>
            <w:noWrap/>
            <w:hideMark/>
          </w:tcPr>
          <w:p w:rsidR="00682A88" w:rsidRPr="00CF3673" w:rsidRDefault="00682A88" w:rsidP="00682A88">
            <w:pPr>
              <w:jc w:val="center"/>
            </w:pPr>
            <w:r w:rsidRPr="00CF3673">
              <w:t>18.8</w:t>
            </w:r>
          </w:p>
        </w:tc>
        <w:tc>
          <w:tcPr>
            <w:tcW w:w="1890" w:type="dxa"/>
            <w:noWrap/>
            <w:hideMark/>
          </w:tcPr>
          <w:p w:rsidR="00682A88" w:rsidRPr="00CF3673" w:rsidRDefault="00682A88" w:rsidP="00682A88">
            <w:pPr>
              <w:jc w:val="center"/>
            </w:pPr>
            <w:r w:rsidRPr="00CF3673">
              <w:t>0.0</w:t>
            </w:r>
          </w:p>
        </w:tc>
        <w:tc>
          <w:tcPr>
            <w:tcW w:w="1070" w:type="dxa"/>
            <w:noWrap/>
            <w:hideMark/>
          </w:tcPr>
          <w:p w:rsidR="00682A88" w:rsidRPr="00CF3673" w:rsidRDefault="00682A88" w:rsidP="00682A88">
            <w:pPr>
              <w:jc w:val="center"/>
            </w:pPr>
            <w:r w:rsidRPr="00CF3673">
              <w:t>48</w:t>
            </w:r>
          </w:p>
        </w:tc>
      </w:tr>
      <w:tr w:rsidR="00682A88" w:rsidRPr="00CF3673" w:rsidTr="00682A88">
        <w:trPr>
          <w:trHeight w:val="302"/>
          <w:jc w:val="center"/>
        </w:trPr>
        <w:tc>
          <w:tcPr>
            <w:tcW w:w="2241"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Nacala</w:t>
            </w:r>
          </w:p>
        </w:tc>
        <w:tc>
          <w:tcPr>
            <w:tcW w:w="3240" w:type="dxa"/>
            <w:noWrap/>
            <w:hideMark/>
          </w:tcPr>
          <w:p w:rsidR="00682A88" w:rsidRPr="00CF3673" w:rsidRDefault="00682A88" w:rsidP="00682A88">
            <w:pPr>
              <w:jc w:val="center"/>
            </w:pPr>
            <w:r w:rsidRPr="00CF3673">
              <w:t>30.4</w:t>
            </w:r>
          </w:p>
        </w:tc>
        <w:tc>
          <w:tcPr>
            <w:tcW w:w="1890" w:type="dxa"/>
            <w:noWrap/>
            <w:hideMark/>
          </w:tcPr>
          <w:p w:rsidR="00682A88" w:rsidRPr="00CF3673" w:rsidRDefault="00682A88" w:rsidP="00682A88">
            <w:pPr>
              <w:jc w:val="center"/>
            </w:pPr>
            <w:r w:rsidRPr="00CF3673">
              <w:t>0.0</w:t>
            </w:r>
          </w:p>
        </w:tc>
        <w:tc>
          <w:tcPr>
            <w:tcW w:w="1070" w:type="dxa"/>
            <w:noWrap/>
            <w:hideMark/>
          </w:tcPr>
          <w:p w:rsidR="00682A88" w:rsidRPr="00CF3673" w:rsidRDefault="00682A88" w:rsidP="00682A88">
            <w:pPr>
              <w:jc w:val="center"/>
            </w:pPr>
            <w:r w:rsidRPr="00CF3673">
              <w:t>23</w:t>
            </w:r>
          </w:p>
        </w:tc>
      </w:tr>
      <w:tr w:rsidR="00682A88" w:rsidRPr="00CF3673" w:rsidTr="00682A88">
        <w:trPr>
          <w:trHeight w:val="302"/>
          <w:jc w:val="center"/>
        </w:trPr>
        <w:tc>
          <w:tcPr>
            <w:tcW w:w="2241"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Chimoio</w:t>
            </w:r>
          </w:p>
        </w:tc>
        <w:tc>
          <w:tcPr>
            <w:tcW w:w="3240" w:type="dxa"/>
            <w:noWrap/>
            <w:hideMark/>
          </w:tcPr>
          <w:p w:rsidR="00682A88" w:rsidRPr="00CF3673" w:rsidRDefault="00682A88" w:rsidP="00682A88">
            <w:pPr>
              <w:jc w:val="center"/>
            </w:pPr>
            <w:r w:rsidRPr="00CF3673">
              <w:t>20.0</w:t>
            </w:r>
          </w:p>
        </w:tc>
        <w:tc>
          <w:tcPr>
            <w:tcW w:w="1890" w:type="dxa"/>
            <w:noWrap/>
            <w:hideMark/>
          </w:tcPr>
          <w:p w:rsidR="00682A88" w:rsidRPr="00CF3673" w:rsidRDefault="00682A88" w:rsidP="00682A88">
            <w:pPr>
              <w:jc w:val="center"/>
            </w:pPr>
            <w:r w:rsidRPr="00CF3673">
              <w:t>8.2</w:t>
            </w:r>
          </w:p>
        </w:tc>
        <w:tc>
          <w:tcPr>
            <w:tcW w:w="1070" w:type="dxa"/>
            <w:noWrap/>
            <w:hideMark/>
          </w:tcPr>
          <w:p w:rsidR="00682A88" w:rsidRPr="00CF3673" w:rsidRDefault="00682A88" w:rsidP="00682A88">
            <w:pPr>
              <w:jc w:val="center"/>
            </w:pPr>
            <w:r w:rsidRPr="00CF3673">
              <w:t>85</w:t>
            </w:r>
          </w:p>
        </w:tc>
      </w:tr>
      <w:tr w:rsidR="00682A88" w:rsidRPr="00CF3673" w:rsidTr="00682A88">
        <w:trPr>
          <w:trHeight w:val="302"/>
          <w:jc w:val="center"/>
        </w:trPr>
        <w:tc>
          <w:tcPr>
            <w:tcW w:w="2241"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Tete</w:t>
            </w:r>
          </w:p>
        </w:tc>
        <w:tc>
          <w:tcPr>
            <w:tcW w:w="3240" w:type="dxa"/>
            <w:noWrap/>
            <w:hideMark/>
          </w:tcPr>
          <w:p w:rsidR="00682A88" w:rsidRPr="00CF3673" w:rsidRDefault="00682A88" w:rsidP="00682A88">
            <w:pPr>
              <w:jc w:val="center"/>
            </w:pPr>
            <w:r w:rsidRPr="00CF3673">
              <w:t>13.9</w:t>
            </w:r>
          </w:p>
        </w:tc>
        <w:tc>
          <w:tcPr>
            <w:tcW w:w="1890" w:type="dxa"/>
            <w:noWrap/>
            <w:hideMark/>
          </w:tcPr>
          <w:p w:rsidR="00682A88" w:rsidRPr="00CF3673" w:rsidRDefault="00682A88" w:rsidP="00682A88">
            <w:pPr>
              <w:jc w:val="center"/>
            </w:pPr>
            <w:r w:rsidRPr="00CF3673">
              <w:t>5.6</w:t>
            </w:r>
          </w:p>
        </w:tc>
        <w:tc>
          <w:tcPr>
            <w:tcW w:w="1070" w:type="dxa"/>
            <w:noWrap/>
            <w:hideMark/>
          </w:tcPr>
          <w:p w:rsidR="00682A88" w:rsidRPr="00CF3673" w:rsidRDefault="00682A88" w:rsidP="00682A88">
            <w:pPr>
              <w:jc w:val="center"/>
            </w:pPr>
            <w:r w:rsidRPr="00CF3673">
              <w:t>36</w:t>
            </w:r>
          </w:p>
        </w:tc>
      </w:tr>
      <w:tr w:rsidR="00682A88" w:rsidRPr="00CF3673" w:rsidTr="00682A88">
        <w:trPr>
          <w:trHeight w:val="302"/>
          <w:jc w:val="center"/>
        </w:trPr>
        <w:tc>
          <w:tcPr>
            <w:tcW w:w="2241" w:type="dxa"/>
            <w:noWrap/>
            <w:hideMark/>
          </w:tcPr>
          <w:p w:rsidR="00682A88" w:rsidRPr="00CF3673" w:rsidRDefault="00682A88" w:rsidP="00682A88">
            <w:pPr>
              <w:rPr>
                <w:rFonts w:ascii="Calibri" w:eastAsia="Times New Roman" w:hAnsi="Calibri" w:cs="Times New Roman"/>
                <w:lang w:eastAsia="zh-CN"/>
              </w:rPr>
            </w:pPr>
            <w:proofErr w:type="spellStart"/>
            <w:r w:rsidRPr="00CF3673">
              <w:rPr>
                <w:rFonts w:ascii="Calibri" w:eastAsia="Times New Roman" w:hAnsi="Calibri" w:cs="Times New Roman"/>
                <w:lang w:eastAsia="zh-CN"/>
              </w:rPr>
              <w:t>Moatize</w:t>
            </w:r>
            <w:proofErr w:type="spellEnd"/>
          </w:p>
        </w:tc>
        <w:tc>
          <w:tcPr>
            <w:tcW w:w="3240" w:type="dxa"/>
            <w:noWrap/>
            <w:hideMark/>
          </w:tcPr>
          <w:p w:rsidR="00682A88" w:rsidRPr="00CF3673" w:rsidRDefault="00682A88" w:rsidP="00682A88">
            <w:pPr>
              <w:jc w:val="center"/>
            </w:pPr>
            <w:r w:rsidRPr="00CF3673">
              <w:t>26.7</w:t>
            </w:r>
          </w:p>
        </w:tc>
        <w:tc>
          <w:tcPr>
            <w:tcW w:w="1890" w:type="dxa"/>
            <w:noWrap/>
            <w:hideMark/>
          </w:tcPr>
          <w:p w:rsidR="00682A88" w:rsidRPr="00CF3673" w:rsidRDefault="00682A88" w:rsidP="00682A88">
            <w:pPr>
              <w:jc w:val="center"/>
            </w:pPr>
            <w:r w:rsidRPr="00CF3673">
              <w:t>6.7</w:t>
            </w:r>
          </w:p>
        </w:tc>
        <w:tc>
          <w:tcPr>
            <w:tcW w:w="1070" w:type="dxa"/>
            <w:noWrap/>
            <w:hideMark/>
          </w:tcPr>
          <w:p w:rsidR="00682A88" w:rsidRPr="00CF3673" w:rsidRDefault="00682A88" w:rsidP="00682A88">
            <w:pPr>
              <w:jc w:val="center"/>
            </w:pPr>
            <w:r w:rsidRPr="00CF3673">
              <w:t>15</w:t>
            </w:r>
          </w:p>
        </w:tc>
      </w:tr>
      <w:tr w:rsidR="00682A88" w:rsidRPr="00CF3673" w:rsidTr="00682A88">
        <w:trPr>
          <w:trHeight w:val="302"/>
          <w:jc w:val="center"/>
        </w:trPr>
        <w:tc>
          <w:tcPr>
            <w:tcW w:w="2241" w:type="dxa"/>
            <w:noWrap/>
            <w:hideMark/>
          </w:tcPr>
          <w:p w:rsidR="00682A88" w:rsidRPr="00CF3673" w:rsidRDefault="00682A88" w:rsidP="00682A88">
            <w:pPr>
              <w:rPr>
                <w:rFonts w:ascii="Calibri" w:eastAsia="Times New Roman" w:hAnsi="Calibri" w:cs="Times New Roman"/>
                <w:lang w:eastAsia="zh-CN"/>
              </w:rPr>
            </w:pPr>
            <w:proofErr w:type="spellStart"/>
            <w:r w:rsidRPr="00CF3673">
              <w:rPr>
                <w:rFonts w:ascii="Calibri" w:eastAsia="Times New Roman" w:hAnsi="Calibri" w:cs="Times New Roman"/>
                <w:lang w:eastAsia="zh-CN"/>
              </w:rPr>
              <w:t>Xai-Xai</w:t>
            </w:r>
            <w:proofErr w:type="spellEnd"/>
          </w:p>
        </w:tc>
        <w:tc>
          <w:tcPr>
            <w:tcW w:w="3240" w:type="dxa"/>
            <w:noWrap/>
            <w:hideMark/>
          </w:tcPr>
          <w:p w:rsidR="00682A88" w:rsidRPr="00CF3673" w:rsidRDefault="00682A88" w:rsidP="00682A88">
            <w:pPr>
              <w:jc w:val="center"/>
            </w:pPr>
            <w:r w:rsidRPr="00CF3673">
              <w:t>32.6</w:t>
            </w:r>
          </w:p>
        </w:tc>
        <w:tc>
          <w:tcPr>
            <w:tcW w:w="1890" w:type="dxa"/>
            <w:noWrap/>
            <w:hideMark/>
          </w:tcPr>
          <w:p w:rsidR="00682A88" w:rsidRPr="00CF3673" w:rsidRDefault="00682A88" w:rsidP="00682A88">
            <w:pPr>
              <w:jc w:val="center"/>
            </w:pPr>
            <w:r w:rsidRPr="00CF3673">
              <w:t>9.3</w:t>
            </w:r>
          </w:p>
        </w:tc>
        <w:tc>
          <w:tcPr>
            <w:tcW w:w="1070" w:type="dxa"/>
            <w:noWrap/>
            <w:hideMark/>
          </w:tcPr>
          <w:p w:rsidR="00682A88" w:rsidRPr="00CF3673" w:rsidRDefault="00682A88" w:rsidP="00682A88">
            <w:pPr>
              <w:jc w:val="center"/>
            </w:pPr>
            <w:r w:rsidRPr="00CF3673">
              <w:t>43</w:t>
            </w:r>
          </w:p>
        </w:tc>
      </w:tr>
      <w:tr w:rsidR="00682A88" w:rsidRPr="00CF3673" w:rsidTr="00682A88">
        <w:trPr>
          <w:trHeight w:val="302"/>
          <w:jc w:val="center"/>
        </w:trPr>
        <w:tc>
          <w:tcPr>
            <w:tcW w:w="2241" w:type="dxa"/>
            <w:tcBorders>
              <w:bottom w:val="double" w:sz="4" w:space="0" w:color="auto"/>
            </w:tcBorders>
            <w:noWrap/>
            <w:hideMark/>
          </w:tcPr>
          <w:p w:rsidR="00682A88" w:rsidRPr="00CF3673" w:rsidRDefault="006A4724" w:rsidP="00682A88">
            <w:pPr>
              <w:rPr>
                <w:rFonts w:ascii="Calibri" w:eastAsia="Times New Roman" w:hAnsi="Calibri" w:cs="Times New Roman"/>
                <w:lang w:eastAsia="zh-CN"/>
              </w:rPr>
            </w:pPr>
            <w:proofErr w:type="spellStart"/>
            <w:r w:rsidRPr="00CF3673">
              <w:rPr>
                <w:rFonts w:ascii="Calibri" w:eastAsia="Times New Roman" w:hAnsi="Calibri" w:cs="Times New Roman"/>
                <w:lang w:eastAsia="zh-CN"/>
              </w:rPr>
              <w:t>Chókwe</w:t>
            </w:r>
            <w:proofErr w:type="spellEnd"/>
          </w:p>
        </w:tc>
        <w:tc>
          <w:tcPr>
            <w:tcW w:w="3240" w:type="dxa"/>
            <w:tcBorders>
              <w:bottom w:val="double" w:sz="4" w:space="0" w:color="auto"/>
            </w:tcBorders>
            <w:noWrap/>
            <w:hideMark/>
          </w:tcPr>
          <w:p w:rsidR="00682A88" w:rsidRPr="00CF3673" w:rsidRDefault="00682A88" w:rsidP="00682A88">
            <w:pPr>
              <w:jc w:val="center"/>
            </w:pPr>
            <w:r w:rsidRPr="00CF3673">
              <w:t>41.4</w:t>
            </w:r>
          </w:p>
        </w:tc>
        <w:tc>
          <w:tcPr>
            <w:tcW w:w="1890" w:type="dxa"/>
            <w:tcBorders>
              <w:bottom w:val="double" w:sz="4" w:space="0" w:color="auto"/>
            </w:tcBorders>
            <w:noWrap/>
            <w:hideMark/>
          </w:tcPr>
          <w:p w:rsidR="00682A88" w:rsidRPr="00CF3673" w:rsidRDefault="00682A88" w:rsidP="00682A88">
            <w:pPr>
              <w:jc w:val="center"/>
            </w:pPr>
            <w:r w:rsidRPr="00CF3673">
              <w:t>0.0</w:t>
            </w:r>
          </w:p>
        </w:tc>
        <w:tc>
          <w:tcPr>
            <w:tcW w:w="1070" w:type="dxa"/>
            <w:tcBorders>
              <w:bottom w:val="double" w:sz="4" w:space="0" w:color="auto"/>
            </w:tcBorders>
            <w:noWrap/>
            <w:hideMark/>
          </w:tcPr>
          <w:p w:rsidR="00682A88" w:rsidRPr="00CF3673" w:rsidRDefault="00682A88" w:rsidP="00682A88">
            <w:pPr>
              <w:jc w:val="center"/>
            </w:pPr>
            <w:r w:rsidRPr="00CF3673">
              <w:t>29</w:t>
            </w:r>
          </w:p>
        </w:tc>
      </w:tr>
      <w:tr w:rsidR="00682A88" w:rsidRPr="00CF3673" w:rsidTr="00682A88">
        <w:trPr>
          <w:trHeight w:val="302"/>
          <w:jc w:val="center"/>
        </w:trPr>
        <w:tc>
          <w:tcPr>
            <w:tcW w:w="8441" w:type="dxa"/>
            <w:gridSpan w:val="4"/>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 Percentagem dos que responderam </w:t>
            </w:r>
            <w:r w:rsidR="006A4724" w:rsidRPr="00CF3673">
              <w:rPr>
                <w:lang w:val="pt-PT"/>
              </w:rPr>
              <w:t>Não</w:t>
            </w:r>
            <w:r w:rsidRPr="00CF3673">
              <w:rPr>
                <w:lang w:val="pt-PT"/>
              </w:rPr>
              <w:t xml:space="preserve"> à questão: "Você tem uma força de trabalho suficientemente qualificada, dado o tipo de produção e a tecnologia envolvidas?”. Três </w:t>
            </w:r>
            <w:r w:rsidR="006A4724" w:rsidRPr="00CF3673">
              <w:rPr>
                <w:lang w:val="pt-PT"/>
              </w:rPr>
              <w:t>observações</w:t>
            </w:r>
            <w:r w:rsidRPr="00CF3673">
              <w:rPr>
                <w:lang w:val="pt-PT"/>
              </w:rPr>
              <w:t xml:space="preserve"> em falta.</w:t>
            </w:r>
          </w:p>
        </w:tc>
      </w:tr>
      <w:tr w:rsidR="00682A88" w:rsidRPr="00CF3673" w:rsidTr="00682A88">
        <w:trPr>
          <w:trHeight w:val="302"/>
          <w:jc w:val="center"/>
        </w:trPr>
        <w:tc>
          <w:tcPr>
            <w:tcW w:w="8441" w:type="dxa"/>
            <w:gridSpan w:val="4"/>
            <w:tcBorders>
              <w:top w:val="nil"/>
              <w:bottom w:val="nil"/>
            </w:tcBorders>
            <w:noWrap/>
          </w:tcPr>
          <w:p w:rsidR="00682A88" w:rsidRPr="00CF3673" w:rsidRDefault="00682A88" w:rsidP="00C41650">
            <w:pPr>
              <w:pStyle w:val="Tablenote"/>
              <w:rPr>
                <w:b/>
                <w:lang w:val="pt-PT"/>
              </w:rPr>
            </w:pPr>
            <w:r w:rsidRPr="00CF3673">
              <w:rPr>
                <w:b/>
                <w:lang w:val="pt-PT"/>
              </w:rPr>
              <w:t>Fonte:</w:t>
            </w:r>
            <w:r w:rsidRPr="00CF3673">
              <w:rPr>
                <w:lang w:val="pt-PT"/>
              </w:rPr>
              <w:t xml:space="preserve"> Cálculos</w:t>
            </w:r>
            <w:r w:rsidR="00C41650" w:rsidRPr="00CF3673">
              <w:rPr>
                <w:lang w:val="pt-PT"/>
              </w:rPr>
              <w:t xml:space="preserve"> dos autores</w:t>
            </w:r>
            <w:r w:rsidRPr="00CF3673">
              <w:rPr>
                <w:lang w:val="pt-PT"/>
              </w:rPr>
              <w:t xml:space="preserve">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Como a Tabela 4.8 mostra , cerca de 23% das empresas não pensam que a sua força de trabalho era suficientemente qualificada e cerca de 8% realizou actividades de formação em 2011. Enquanto 28% das microempresas não acham que eles tinham uma força de trabalho suficientemente qualificada, este foi apenas o caso de 18% das médias empresas e 12% das pequenas empresas . Empresas informais são muito mais propensas a não ter uma força de trabalho suficientemente qualificada o que é o oposto das empresas estrangeiras. Curiosamente, os problemas com uma força de trabalho insuficientemente qualificada parece ser mais grave em Maputo e Nacala e em algumas das cidades menos industrializadas (</w:t>
      </w:r>
      <w:proofErr w:type="spellStart"/>
      <w:r w:rsidRPr="00CF3673">
        <w:t>Moatize</w:t>
      </w:r>
      <w:proofErr w:type="spellEnd"/>
      <w:r w:rsidRPr="00CF3673">
        <w:t xml:space="preserve">, </w:t>
      </w:r>
      <w:proofErr w:type="spellStart"/>
      <w:r w:rsidRPr="00CF3673">
        <w:t>Xai</w:t>
      </w:r>
      <w:proofErr w:type="spellEnd"/>
      <w:r w:rsidRPr="00CF3673">
        <w:t xml:space="preserve"> -</w:t>
      </w:r>
      <w:proofErr w:type="spellStart"/>
      <w:r w:rsidRPr="00CF3673">
        <w:t>Xai</w:t>
      </w:r>
      <w:proofErr w:type="spellEnd"/>
      <w:r w:rsidRPr="00CF3673">
        <w:t xml:space="preserve">, </w:t>
      </w:r>
      <w:proofErr w:type="spellStart"/>
      <w:r w:rsidR="006A4724" w:rsidRPr="00CF3673">
        <w:t>Chókwe</w:t>
      </w:r>
      <w:proofErr w:type="spellEnd"/>
      <w:r w:rsidRPr="00CF3673">
        <w:t xml:space="preserve">). Em Maputo isso </w:t>
      </w:r>
      <w:r w:rsidR="006A4724" w:rsidRPr="00CF3673">
        <w:t>reflecte</w:t>
      </w:r>
      <w:r w:rsidRPr="00CF3673">
        <w:t xml:space="preserve"> provavelmente uma intensa competição por trabalhadores qualificados, ao mesmo tempo que </w:t>
      </w:r>
      <w:r w:rsidR="006A4724" w:rsidRPr="00CF3673">
        <w:t>reflecte</w:t>
      </w:r>
      <w:r w:rsidRPr="00CF3673">
        <w:t xml:space="preserve"> presumivelmente mercados de trabalho nas outras cidades. Os problemas com uma força de trabalho insuficientemente qualificada experimentado por empresas informais e microempresas são susceptíveis de ser intimamente ligado à baixa produtividade e, portanto, a capacidade de pagar salários mais altos.</w:t>
      </w:r>
    </w:p>
    <w:p w:rsidR="00682A88" w:rsidRPr="00CF3673" w:rsidRDefault="00682A88" w:rsidP="00682A88">
      <w:pPr>
        <w:spacing w:line="360" w:lineRule="auto"/>
        <w:jc w:val="both"/>
      </w:pPr>
      <w:r w:rsidRPr="00CF3673">
        <w:lastRenderedPageBreak/>
        <w:t xml:space="preserve">Sem surpresa, as grandes empresas são mais propensos a oferecer treinamento </w:t>
      </w:r>
      <w:proofErr w:type="spellStart"/>
      <w:r w:rsidRPr="00CF3673">
        <w:rPr>
          <w:i/>
        </w:rPr>
        <w:t>on</w:t>
      </w:r>
      <w:proofErr w:type="spellEnd"/>
      <w:r w:rsidRPr="00CF3673">
        <w:rPr>
          <w:i/>
        </w:rPr>
        <w:t xml:space="preserve">- </w:t>
      </w:r>
      <w:proofErr w:type="spellStart"/>
      <w:r w:rsidRPr="00CF3673">
        <w:rPr>
          <w:i/>
        </w:rPr>
        <w:t>the-job</w:t>
      </w:r>
      <w:proofErr w:type="spellEnd"/>
      <w:r w:rsidRPr="00CF3673">
        <w:t xml:space="preserve">, como são empresas formais e estrangeiras. Geograficamente, as empresas em Maputo são os mais propensos a fornecer treinamento (11% </w:t>
      </w:r>
      <w:r w:rsidR="006A4724" w:rsidRPr="00CF3673">
        <w:t>das empresas</w:t>
      </w:r>
      <w:r w:rsidRPr="00CF3673">
        <w:t xml:space="preserve">), </w:t>
      </w:r>
      <w:r w:rsidR="006A4724" w:rsidRPr="00CF3673">
        <w:t>enquanto</w:t>
      </w:r>
      <w:r w:rsidRPr="00CF3673">
        <w:t xml:space="preserve"> em algumas cidades (Nampula , Nacala e </w:t>
      </w:r>
      <w:proofErr w:type="spellStart"/>
      <w:r w:rsidR="006A4724" w:rsidRPr="00CF3673">
        <w:t>Chókwe</w:t>
      </w:r>
      <w:proofErr w:type="spellEnd"/>
      <w:r w:rsidRPr="00CF3673">
        <w:t xml:space="preserve"> ), não empresas ofereceram treinamento em 2011.</w:t>
      </w:r>
    </w:p>
    <w:p w:rsidR="00C41650" w:rsidRPr="00CF3673" w:rsidRDefault="00682A88" w:rsidP="00682A88">
      <w:pPr>
        <w:spacing w:line="360" w:lineRule="auto"/>
        <w:jc w:val="both"/>
      </w:pPr>
      <w:r w:rsidRPr="00CF3673">
        <w:t>A partir da Tabela 4.8 verifica-se que as grandes empresas são menos propensos a dizer que os seus trabalhadores não são suficientemente qualificados. Lembre-se também o resultado do Capítulo 3, que as habilidades e educação dos trabalhadores não são percebidas como um dos principais entraves para as empresas.</w:t>
      </w:r>
      <w:r w:rsidR="00C41650" w:rsidRPr="00CF3673">
        <w:t xml:space="preserve"> Dado que as grandes empresas se envolvem numa produção mais avançada, como tal joga com os trabalhadores </w:t>
      </w:r>
      <w:r w:rsidR="006A4724" w:rsidRPr="00CF3673">
        <w:t>moçambicanos</w:t>
      </w:r>
      <w:r w:rsidR="00C41650" w:rsidRPr="00CF3673">
        <w:t xml:space="preserve"> que geralmente são menos qualificados?</w:t>
      </w:r>
    </w:p>
    <w:p w:rsidR="00682A88" w:rsidRPr="00CF3673" w:rsidRDefault="00682A88" w:rsidP="00682A88">
      <w:pPr>
        <w:spacing w:line="360" w:lineRule="auto"/>
        <w:jc w:val="both"/>
      </w:pPr>
      <w:r w:rsidRPr="00CF3673">
        <w:t xml:space="preserve">Uma interpretação possível é que o nível de competências dos trabalhadores é um factor fundamental que influencia profundamente a </w:t>
      </w:r>
      <w:r w:rsidR="00C41650" w:rsidRPr="00CF3673">
        <w:t>decisão de</w:t>
      </w:r>
      <w:r w:rsidRPr="00CF3673">
        <w:t xml:space="preserve"> começar um negócio. Se os trabalhadores altamente qualificados não estão </w:t>
      </w:r>
      <w:r w:rsidR="00C41650" w:rsidRPr="00CF3673">
        <w:t>disponíveis,</w:t>
      </w:r>
      <w:r w:rsidRPr="00CF3673">
        <w:t xml:space="preserve"> algumas indústrias simplesmente não vai estabelecer-se em Moçambique. Isto implica que uma actualização geral das habilidades e níveis de educação dos trabalhadores moçambicanos poderia induzir as empresas a começar a produção mais avançada. A pequena parcela de empresas percebendo trabalhadores como insuficientemente qualificada não deve , portanto, ser tratado como um argumento de que não há necessidade de actualizar a educação e habilidades da força de trabalho moçambicana.</w:t>
      </w:r>
    </w:p>
    <w:p w:rsidR="00682A88" w:rsidRPr="00CF3673" w:rsidRDefault="00682A88" w:rsidP="00682A88">
      <w:pPr>
        <w:spacing w:line="360" w:lineRule="auto"/>
        <w:jc w:val="both"/>
        <w:rPr>
          <w:b/>
        </w:rPr>
      </w:pPr>
      <w:r w:rsidRPr="00CF3673">
        <w:rPr>
          <w:b/>
        </w:rPr>
        <w:t>Figura 4.6 : Proporção de empresas que prestam formação pelo tamanho da empresa, 2006-2011 , %.</w:t>
      </w:r>
    </w:p>
    <w:p w:rsidR="00682A88" w:rsidRPr="00CF3673" w:rsidRDefault="00682A88" w:rsidP="00682A88">
      <w:pPr>
        <w:spacing w:after="0" w:line="240" w:lineRule="auto"/>
        <w:jc w:val="center"/>
      </w:pPr>
      <w:r w:rsidRPr="00CF3673">
        <w:rPr>
          <w:noProof/>
          <w:lang w:val="en-US"/>
        </w:rPr>
        <w:drawing>
          <wp:inline distT="0" distB="0" distL="0" distR="0" wp14:anchorId="70A47968" wp14:editId="70D26E0F">
            <wp:extent cx="3543300" cy="2333625"/>
            <wp:effectExtent l="0" t="0" r="19050" b="9525"/>
            <wp:docPr id="26"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bl>
      <w:tblPr>
        <w:tblStyle w:val="SrensTable"/>
        <w:tblpPr w:leftFromText="141" w:rightFromText="141" w:vertAnchor="text" w:horzAnchor="margin" w:tblpXSpec="center" w:tblpY="3"/>
        <w:tblW w:w="5658" w:type="dxa"/>
        <w:tblLook w:val="04A0" w:firstRow="1" w:lastRow="0" w:firstColumn="1" w:lastColumn="0" w:noHBand="0" w:noVBand="1"/>
      </w:tblPr>
      <w:tblGrid>
        <w:gridCol w:w="5658"/>
      </w:tblGrid>
      <w:tr w:rsidR="00682A88" w:rsidRPr="00CF3673" w:rsidTr="00682A88">
        <w:trPr>
          <w:trHeight w:val="431"/>
        </w:trPr>
        <w:tc>
          <w:tcPr>
            <w:tcW w:w="0" w:type="auto"/>
          </w:tcPr>
          <w:p w:rsidR="00682A88" w:rsidRPr="00CF3673" w:rsidRDefault="00682A88" w:rsidP="00682A88">
            <w:pPr>
              <w:pStyle w:val="Tablenote"/>
              <w:rPr>
                <w:b/>
                <w:lang w:val="pt-PT"/>
              </w:rPr>
            </w:pPr>
            <w:r w:rsidRPr="00CF3673">
              <w:rPr>
                <w:b/>
                <w:lang w:val="pt-PT"/>
              </w:rPr>
              <w:t>Nota</w:t>
            </w:r>
            <w:r w:rsidRPr="00CF3673">
              <w:rPr>
                <w:lang w:val="pt-PT"/>
              </w:rPr>
              <w:t xml:space="preserve">: Painel equilibrado, ou seja, seguindo as mesmas empresas ao longo do tempo. Número de </w:t>
            </w:r>
            <w:r w:rsidR="006A4724" w:rsidRPr="00CF3673">
              <w:rPr>
                <w:lang w:val="pt-PT"/>
              </w:rPr>
              <w:t>observações</w:t>
            </w:r>
            <w:r w:rsidRPr="00CF3673">
              <w:rPr>
                <w:lang w:val="pt-PT"/>
              </w:rPr>
              <w:t xml:space="preserve">: 216.  </w:t>
            </w:r>
          </w:p>
        </w:tc>
      </w:tr>
      <w:tr w:rsidR="00682A88" w:rsidRPr="00CF3673" w:rsidTr="00682A88">
        <w:trPr>
          <w:trHeight w:val="431"/>
        </w:trPr>
        <w:tc>
          <w:tcPr>
            <w:tcW w:w="0" w:type="auto"/>
          </w:tcPr>
          <w:p w:rsidR="00682A88" w:rsidRPr="00CF3673" w:rsidRDefault="006A4724" w:rsidP="00C41650">
            <w:pPr>
              <w:pStyle w:val="Tablenote"/>
              <w:rPr>
                <w:b/>
                <w:lang w:val="pt-PT"/>
              </w:rPr>
            </w:pPr>
            <w:r w:rsidRPr="00CF3673">
              <w:rPr>
                <w:b/>
                <w:lang w:val="pt-PT"/>
              </w:rPr>
              <w:t>Fonte</w:t>
            </w:r>
            <w:r w:rsidR="00682A88" w:rsidRPr="00CF3673">
              <w:rPr>
                <w:b/>
                <w:lang w:val="pt-PT"/>
              </w:rPr>
              <w:t>:</w:t>
            </w:r>
            <w:r w:rsidR="00682A88" w:rsidRPr="00CF3673">
              <w:rPr>
                <w:lang w:val="pt-PT"/>
              </w:rPr>
              <w:t xml:space="preserve"> Cálculos </w:t>
            </w:r>
            <w:r w:rsidR="00C41650" w:rsidRPr="00CF3673">
              <w:rPr>
                <w:lang w:val="pt-PT"/>
              </w:rPr>
              <w:t xml:space="preserve">dos autores </w:t>
            </w:r>
            <w:r w:rsidR="00682A88" w:rsidRPr="00CF3673">
              <w:rPr>
                <w:lang w:val="pt-PT"/>
              </w:rPr>
              <w:t>usando IIM 2012, DNEAP (2006) e ICA (2009).</w:t>
            </w:r>
          </w:p>
        </w:tc>
      </w:tr>
    </w:tbl>
    <w:p w:rsidR="00682A88" w:rsidRPr="00CF3673" w:rsidRDefault="00682A88" w:rsidP="00682A88">
      <w:pPr>
        <w:spacing w:after="0" w:line="240" w:lineRule="auto"/>
      </w:pPr>
    </w:p>
    <w:p w:rsidR="00682A88" w:rsidRPr="00CF3673" w:rsidRDefault="00682A88" w:rsidP="00682A88">
      <w:pPr>
        <w:spacing w:after="0" w:line="240" w:lineRule="auto"/>
      </w:pPr>
    </w:p>
    <w:p w:rsidR="00682A88" w:rsidRPr="00CF3673" w:rsidRDefault="00682A88" w:rsidP="00682A88">
      <w:pPr>
        <w:spacing w:after="0" w:line="240" w:lineRule="auto"/>
      </w:pPr>
    </w:p>
    <w:p w:rsidR="00682A88" w:rsidRPr="00CF3673" w:rsidRDefault="00682A88" w:rsidP="00682A88">
      <w:pPr>
        <w:spacing w:after="0" w:line="240" w:lineRule="auto"/>
      </w:pPr>
    </w:p>
    <w:p w:rsidR="00682A88" w:rsidRPr="00CF3673" w:rsidRDefault="00682A88" w:rsidP="00682A88">
      <w:pPr>
        <w:spacing w:after="0" w:line="240" w:lineRule="auto"/>
      </w:pPr>
    </w:p>
    <w:p w:rsidR="00682A88" w:rsidRPr="00CF3673" w:rsidRDefault="00682A88" w:rsidP="00682A88">
      <w:pPr>
        <w:spacing w:after="0" w:line="360" w:lineRule="auto"/>
        <w:jc w:val="both"/>
      </w:pPr>
      <w:r w:rsidRPr="00CF3673">
        <w:lastRenderedPageBreak/>
        <w:t>O número de empresas que forneceram treinamento em 2011 parece baixo, e tendo um olhar para a dimensão do painel na Figura 4.6 confirma essa suspeita. Entre as categorias de tamanho, as empresas são apenas cerca de metade da probabilidade como eram em 2006 para ter fornecido treinamento no ano passado. Uma possível explicação para isso poderia ser que as empresas precisam usar menos treinamento à medida que amadurecem, e que, após as mesmas empresas ao longo do tempo iria dar uma imagem de cada vez menos tendo formação lugar. Mais pesquisas são necessárias para identificar se este é um problema para Moçambique e em caso afirmativo, quais são as causas e possíveis soluções são.</w:t>
      </w: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pPr>
    </w:p>
    <w:p w:rsidR="00682A88" w:rsidRPr="00CF3673" w:rsidRDefault="00682A88" w:rsidP="00682A88">
      <w:pPr>
        <w:spacing w:after="0" w:line="360" w:lineRule="auto"/>
        <w:jc w:val="both"/>
        <w:rPr>
          <w:b/>
          <w:sz w:val="28"/>
        </w:rPr>
      </w:pPr>
      <w:r w:rsidRPr="00CF3673">
        <w:rPr>
          <w:b/>
          <w:sz w:val="28"/>
        </w:rPr>
        <w:lastRenderedPageBreak/>
        <w:t>5 . Produtividade e investimentos</w:t>
      </w:r>
    </w:p>
    <w:p w:rsidR="00682A88" w:rsidRPr="00CF3673" w:rsidRDefault="00682A88" w:rsidP="00682A88">
      <w:pPr>
        <w:spacing w:after="0" w:line="360" w:lineRule="auto"/>
        <w:jc w:val="both"/>
      </w:pPr>
    </w:p>
    <w:p w:rsidR="00682A88" w:rsidRPr="00CF3673" w:rsidRDefault="00682A88" w:rsidP="00682A88">
      <w:pPr>
        <w:spacing w:after="0" w:line="360" w:lineRule="auto"/>
        <w:jc w:val="both"/>
      </w:pPr>
      <w:r w:rsidRPr="00CF3673">
        <w:t xml:space="preserve">Como mencionado na introdução , as </w:t>
      </w:r>
      <w:r w:rsidR="006A4724" w:rsidRPr="00CF3673">
        <w:t>preocupações</w:t>
      </w:r>
      <w:r w:rsidRPr="00CF3673">
        <w:t xml:space="preserve"> têm muitas vezes sido levantadas sobre a produtividade do sector industrial de Moçambique . DNEAP (2006) mostrou que a produtividade aumentou de 2002 a 2006, mas sugeriu que o aumento foi principalmente devido ao aumento da utilização da capacidade. Na mesma linha , </w:t>
      </w:r>
      <w:proofErr w:type="spellStart"/>
      <w:r w:rsidRPr="00CF3673">
        <w:t>Warren</w:t>
      </w:r>
      <w:proofErr w:type="spellEnd"/>
      <w:r w:rsidRPr="00CF3673">
        <w:t xml:space="preserve"> -Rodriguez (2010 ) documentos crescente obsolescência tecnológica entre os fabricantes de Moçambique . Usando pesquisas domiciliares , Jones e </w:t>
      </w:r>
      <w:proofErr w:type="spellStart"/>
      <w:r w:rsidRPr="00CF3673">
        <w:t>Tarp</w:t>
      </w:r>
      <w:proofErr w:type="spellEnd"/>
      <w:r w:rsidRPr="00CF3673">
        <w:t xml:space="preserve"> (2012) mostram que a fabricação como um todo acrescenta mais valor por hora trabalhada de serviços ( por um factor de 1,65) e, especialmente, a agricultura ( por um factor de 11 ), mas que a produtividade tem sido mais ou menos estagnada desde 2005. Finalmente, ICA (2009) mostra que a fabricação de produtividade em Moçambique fica para trás rivais regionais como a Zâmbia e</w:t>
      </w:r>
      <w:r w:rsidR="006A4724" w:rsidRPr="00CF3673">
        <w:t xml:space="preserve"> </w:t>
      </w:r>
      <w:r w:rsidRPr="00CF3673">
        <w:t>o Malawi.</w:t>
      </w:r>
    </w:p>
    <w:p w:rsidR="00682A88" w:rsidRPr="00CF3673" w:rsidRDefault="00682A88" w:rsidP="00682A88">
      <w:pPr>
        <w:spacing w:after="0" w:line="360" w:lineRule="auto"/>
        <w:jc w:val="both"/>
      </w:pPr>
    </w:p>
    <w:p w:rsidR="00682A88" w:rsidRPr="00CF3673" w:rsidRDefault="00682A88" w:rsidP="00682A88">
      <w:pPr>
        <w:spacing w:after="0" w:line="360" w:lineRule="auto"/>
        <w:jc w:val="both"/>
      </w:pPr>
      <w:r w:rsidRPr="00CF3673">
        <w:t xml:space="preserve">A primeira Secção deste capítulo trata a evolução da produtividade do trabalho e diferenças de produtividade do trabalho entre as empresas. Uma das maneiras mais importantes de aumentar a produtividade é através de investimentos , que são o tema da Secção 5.2 . Desde que a pesquisa em geral sofre de uma série de </w:t>
      </w:r>
      <w:r w:rsidR="006A4724" w:rsidRPr="00CF3673">
        <w:t>observações</w:t>
      </w:r>
      <w:r w:rsidRPr="00CF3673">
        <w:t xml:space="preserve"> em falta nas variáveis ​​de finanças , os resultados deste capítulo devem ser interpretados com cautela.</w:t>
      </w:r>
    </w:p>
    <w:p w:rsidR="00682A88" w:rsidRPr="00CF3673" w:rsidRDefault="00682A88" w:rsidP="00682A88">
      <w:pPr>
        <w:spacing w:after="0" w:line="360" w:lineRule="auto"/>
        <w:jc w:val="both"/>
      </w:pPr>
    </w:p>
    <w:p w:rsidR="00682A88" w:rsidRPr="00CF3673" w:rsidRDefault="00682A88" w:rsidP="00682A88">
      <w:pPr>
        <w:spacing w:after="0" w:line="480" w:lineRule="auto"/>
        <w:jc w:val="both"/>
        <w:rPr>
          <w:b/>
          <w:u w:val="single"/>
        </w:rPr>
      </w:pPr>
      <w:r w:rsidRPr="00CF3673">
        <w:rPr>
          <w:b/>
          <w:u w:val="single"/>
        </w:rPr>
        <w:t>5.1 . A produtividade do trabalho</w:t>
      </w:r>
    </w:p>
    <w:p w:rsidR="00682A88" w:rsidRPr="00CF3673" w:rsidRDefault="00682A88" w:rsidP="00682A88">
      <w:pPr>
        <w:spacing w:after="0" w:line="480" w:lineRule="auto"/>
        <w:jc w:val="both"/>
      </w:pPr>
      <w:r w:rsidRPr="00CF3673">
        <w:t xml:space="preserve">Para analisar a evolução da produtividade do trabalho das empresas industriais de Moçambique , a </w:t>
      </w:r>
      <w:r w:rsidR="00C41650" w:rsidRPr="00CF3673">
        <w:t>f</w:t>
      </w:r>
      <w:r w:rsidRPr="00CF3673">
        <w:t>igura 5.1 ilustra a receita média por trabalhador por tamanho da empresa em 2006 e 2011.</w:t>
      </w:r>
    </w:p>
    <w:p w:rsidR="00682A88" w:rsidRPr="00CF3673" w:rsidRDefault="00682A88" w:rsidP="00682A88">
      <w:pPr>
        <w:spacing w:after="0" w:line="240" w:lineRule="auto"/>
        <w:jc w:val="both"/>
        <w:rPr>
          <w:b/>
        </w:rPr>
      </w:pPr>
      <w:r w:rsidRPr="00CF3673">
        <w:rPr>
          <w:b/>
        </w:rPr>
        <w:t>Figura 5.1 : a receita média por trabalhador em 2006 e 2011 pelo tamanho da empresa, milhares de 2011- MT</w:t>
      </w:r>
    </w:p>
    <w:p w:rsidR="00682A88" w:rsidRPr="00CF3673" w:rsidRDefault="00682A88" w:rsidP="00682A88">
      <w:pPr>
        <w:spacing w:after="0" w:line="240" w:lineRule="auto"/>
        <w:jc w:val="center"/>
      </w:pPr>
      <w:r w:rsidRPr="00CF3673">
        <w:rPr>
          <w:noProof/>
          <w:lang w:val="en-US"/>
        </w:rPr>
        <w:drawing>
          <wp:inline distT="0" distB="0" distL="0" distR="0" wp14:anchorId="53D52936" wp14:editId="339AEEE2">
            <wp:extent cx="4278614" cy="1977932"/>
            <wp:effectExtent l="19050" t="0" r="26686" b="3268"/>
            <wp:docPr id="2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bl>
      <w:tblPr>
        <w:tblStyle w:val="SrensTable"/>
        <w:tblpPr w:leftFromText="141" w:rightFromText="141" w:vertAnchor="text" w:horzAnchor="page" w:tblpX="2791" w:tblpY="10"/>
        <w:tblW w:w="6948" w:type="dxa"/>
        <w:tblLook w:val="04A0" w:firstRow="1" w:lastRow="0" w:firstColumn="1" w:lastColumn="0" w:noHBand="0" w:noVBand="1"/>
      </w:tblPr>
      <w:tblGrid>
        <w:gridCol w:w="6948"/>
      </w:tblGrid>
      <w:tr w:rsidR="00682A88" w:rsidRPr="00CF3673" w:rsidTr="00682A88">
        <w:trPr>
          <w:trHeight w:val="318"/>
        </w:trPr>
        <w:tc>
          <w:tcPr>
            <w:tcW w:w="6948" w:type="dxa"/>
          </w:tcPr>
          <w:p w:rsidR="00682A88" w:rsidRPr="00CF3673" w:rsidRDefault="00682A88" w:rsidP="00682A88">
            <w:pPr>
              <w:pStyle w:val="Tablenote"/>
              <w:rPr>
                <w:b/>
                <w:lang w:val="pt-PT"/>
              </w:rPr>
            </w:pPr>
            <w:r w:rsidRPr="00CF3673">
              <w:rPr>
                <w:b/>
                <w:lang w:val="pt-PT"/>
              </w:rPr>
              <w:t>Nota:</w:t>
            </w:r>
            <w:r w:rsidRPr="00CF3673">
              <w:rPr>
                <w:lang w:val="pt-PT"/>
              </w:rPr>
              <w:t xml:space="preserve">  painel não balanceado, ou seja, não seguindo as mesmas empresas ao longo do tempo. Usando um painel equilibrado vez não faz uma diferença qualitativa. </w:t>
            </w:r>
            <w:proofErr w:type="spellStart"/>
            <w:r w:rsidRPr="00CF3673">
              <w:rPr>
                <w:lang w:val="pt-PT"/>
              </w:rPr>
              <w:t>Outliers</w:t>
            </w:r>
            <w:proofErr w:type="spellEnd"/>
            <w:r w:rsidRPr="00CF3673">
              <w:rPr>
                <w:lang w:val="pt-PT"/>
              </w:rPr>
              <w:t xml:space="preserve"> (valores abaixo de 2 º percentil e acima do percentil 98) foram excluídos. Número de </w:t>
            </w:r>
            <w:r w:rsidR="006A4724" w:rsidRPr="00CF3673">
              <w:rPr>
                <w:lang w:val="pt-PT"/>
              </w:rPr>
              <w:lastRenderedPageBreak/>
              <w:t>observações</w:t>
            </w:r>
            <w:r w:rsidRPr="00CF3673">
              <w:rPr>
                <w:lang w:val="pt-PT"/>
              </w:rPr>
              <w:t xml:space="preserve"> em 2006: 365 (77 em falta), em 2011: 319 (442 em falta). Quatro empresas com mais de 299 trabalhadores excluídos em 2006.</w:t>
            </w:r>
          </w:p>
        </w:tc>
      </w:tr>
      <w:tr w:rsidR="00682A88" w:rsidRPr="00CF3673" w:rsidTr="00682A88">
        <w:trPr>
          <w:trHeight w:val="318"/>
        </w:trPr>
        <w:tc>
          <w:tcPr>
            <w:tcW w:w="6948" w:type="dxa"/>
          </w:tcPr>
          <w:p w:rsidR="00682A88" w:rsidRPr="00CF3673" w:rsidRDefault="00682A88" w:rsidP="00682A88">
            <w:pPr>
              <w:pStyle w:val="Tablenote"/>
              <w:rPr>
                <w:b/>
                <w:lang w:val="pt-PT"/>
              </w:rPr>
            </w:pPr>
            <w:r w:rsidRPr="00CF3673">
              <w:rPr>
                <w:b/>
                <w:lang w:val="pt-PT"/>
              </w:rPr>
              <w:lastRenderedPageBreak/>
              <w:t>Fonte:</w:t>
            </w:r>
            <w:r w:rsidRPr="00CF3673">
              <w:rPr>
                <w:lang w:val="pt-PT"/>
              </w:rPr>
              <w:t xml:space="preserve"> Cálculos próprios usando IIM 2012, DNEAP (2006) e ICA (2009).</w:t>
            </w:r>
          </w:p>
        </w:tc>
      </w:tr>
    </w:tbl>
    <w:p w:rsidR="00682A88" w:rsidRPr="00CF3673" w:rsidRDefault="00682A88" w:rsidP="00682A88">
      <w:pPr>
        <w:spacing w:after="0" w:line="360" w:lineRule="auto"/>
        <w:jc w:val="both"/>
      </w:pPr>
    </w:p>
    <w:p w:rsidR="00682A88" w:rsidRPr="00CF3673" w:rsidRDefault="00682A88" w:rsidP="00682A88">
      <w:pPr>
        <w:spacing w:after="0" w:line="240" w:lineRule="auto"/>
      </w:pPr>
    </w:p>
    <w:p w:rsidR="00682A88" w:rsidRPr="00CF3673" w:rsidRDefault="00682A88" w:rsidP="00682A88">
      <w:pPr>
        <w:spacing w:after="0" w:line="240" w:lineRule="auto"/>
      </w:pPr>
    </w:p>
    <w:p w:rsidR="00C41650" w:rsidRPr="00CF3673" w:rsidRDefault="00C41650" w:rsidP="00682A88">
      <w:pPr>
        <w:spacing w:line="360" w:lineRule="auto"/>
        <w:jc w:val="both"/>
      </w:pPr>
    </w:p>
    <w:p w:rsidR="00682A88" w:rsidRPr="00CF3673" w:rsidRDefault="00682A88" w:rsidP="00682A88">
      <w:pPr>
        <w:spacing w:line="360" w:lineRule="auto"/>
        <w:jc w:val="both"/>
      </w:pPr>
      <w:r w:rsidRPr="00CF3673">
        <w:t xml:space="preserve">A receita média por empregado parece ter diminuído para todas as três categorias de tamanho e isso não muda se um painel equilibrado (onde as mesmas empresas são seguidos ao longo do tempo) é considerado em seu lugar. O pequeno número de </w:t>
      </w:r>
      <w:r w:rsidR="006A4724" w:rsidRPr="00CF3673">
        <w:t>observações</w:t>
      </w:r>
      <w:r w:rsidRPr="00CF3673">
        <w:t xml:space="preserve"> torna difícil concluir decisivamente , mas os resultados indicam um declínio geral na produtividade do trabalho entre as empresas de fabricação de Moçambique .</w:t>
      </w:r>
    </w:p>
    <w:p w:rsidR="00682A88" w:rsidRPr="00CF3673" w:rsidRDefault="00682A88" w:rsidP="00682A88">
      <w:pPr>
        <w:spacing w:line="360" w:lineRule="auto"/>
        <w:jc w:val="both"/>
      </w:pPr>
      <w:r w:rsidRPr="00CF3673">
        <w:t xml:space="preserve">No mínimo , os números não sugerem um aumento geral da produtividade do trabalho para as empresas de fabricação de Moçambique , de acordo com os achados em Bila e Rand (2011). Tendo em vista o 7-8%crescimento anual da economia de Moçambique como um todo , isto sugere que a fabricação das PME está ficando muito atrás do crescimento no resto da economia. Isto é consistente com o achado na da KPMG Top 100 </w:t>
      </w:r>
      <w:proofErr w:type="spellStart"/>
      <w:r w:rsidRPr="00CF3673">
        <w:t>Companies</w:t>
      </w:r>
      <w:proofErr w:type="spellEnd"/>
      <w:r w:rsidRPr="00CF3673">
        <w:t xml:space="preserve"> </w:t>
      </w:r>
      <w:proofErr w:type="spellStart"/>
      <w:r w:rsidRPr="00CF3673">
        <w:t>Report</w:t>
      </w:r>
      <w:proofErr w:type="spellEnd"/>
      <w:r w:rsidRPr="00CF3673">
        <w:t xml:space="preserve"> ( KPMG, 2011) que o PIB industrial de Moçambique tem vindo a crescer a taxas muito escassas desde Mozal atingiu os seus atuais níveis de produção por volta de 2004 , sendo superado por praticamente todos os outros sectores da economia moçambicana. Isso está em contraste com o resultado em DNEAP (2006) em que as empresas de fabricação de Moçambique , em média, foram encontrados para experimentar um aumento significativo na produtividade do trabalho. Uma análise do crescimento da produtividade também foi conduzido para </w:t>
      </w:r>
      <w:r w:rsidR="006A4724" w:rsidRPr="00CF3673">
        <w:t xml:space="preserve">2010-2011 , utilizando dados da confirmação dos dados dos inquéritos do </w:t>
      </w:r>
      <w:r w:rsidRPr="00CF3673">
        <w:t>IIM 2012. Isso também indicado na melhor das hipóteses estagnação da produtividade (receita e do valor adicionado por trabalhador) e não é relatado aqui.</w:t>
      </w:r>
    </w:p>
    <w:p w:rsidR="00682A88" w:rsidRPr="00CF3673" w:rsidRDefault="00682A88" w:rsidP="00682A88">
      <w:pPr>
        <w:spacing w:line="360" w:lineRule="auto"/>
        <w:jc w:val="both"/>
      </w:pPr>
      <w:r w:rsidRPr="00CF3673">
        <w:t xml:space="preserve">Dada esta conta bastante pessimista do crescimento da produtividade no sector </w:t>
      </w:r>
      <w:r w:rsidR="006A4724" w:rsidRPr="00CF3673">
        <w:t>manufactureiro</w:t>
      </w:r>
      <w:r w:rsidRPr="00CF3673">
        <w:t xml:space="preserve"> , talvez seja de alguma preocupação de que o salário mínimo no sector </w:t>
      </w:r>
      <w:r w:rsidR="006A4724" w:rsidRPr="00CF3673">
        <w:t>manufactureiro</w:t>
      </w:r>
      <w:r w:rsidRPr="00CF3673">
        <w:t xml:space="preserve"> continua a aumentar a uma taxa bruta acima da inflação . Ele cresceu 24% 2010-2011</w:t>
      </w:r>
      <w:r w:rsidRPr="00CF3673">
        <w:rPr>
          <w:rStyle w:val="FootnoteReference"/>
        </w:rPr>
        <w:footnoteReference w:id="30"/>
      </w:r>
      <w:r w:rsidRPr="00CF3673">
        <w:t xml:space="preserve"> e 16 </w:t>
      </w:r>
      <w:r w:rsidR="006A4724" w:rsidRPr="00CF3673">
        <w:t>%</w:t>
      </w:r>
      <w:r w:rsidRPr="00CF3673">
        <w:t>. 2011-2012</w:t>
      </w:r>
      <w:r w:rsidRPr="00CF3673">
        <w:rPr>
          <w:rStyle w:val="FootnoteReference"/>
        </w:rPr>
        <w:footnoteReference w:id="31"/>
      </w:r>
      <w:r w:rsidRPr="00CF3673">
        <w:t xml:space="preserve"> em que a inflação foi de 10% e cerca de 7% respectivamente (FMI , 2012).</w:t>
      </w:r>
    </w:p>
    <w:p w:rsidR="00682A88" w:rsidRPr="00CF3673" w:rsidRDefault="00682A88" w:rsidP="00682A88">
      <w:pPr>
        <w:spacing w:after="0" w:line="360" w:lineRule="auto"/>
        <w:jc w:val="both"/>
      </w:pPr>
    </w:p>
    <w:p w:rsidR="00682A88" w:rsidRPr="00CF3673" w:rsidRDefault="00682A88" w:rsidP="00682A88">
      <w:pPr>
        <w:spacing w:after="0" w:line="360" w:lineRule="auto"/>
        <w:jc w:val="both"/>
        <w:rPr>
          <w:b/>
          <w:u w:val="single"/>
        </w:rPr>
      </w:pPr>
      <w:r w:rsidRPr="00CF3673">
        <w:rPr>
          <w:b/>
          <w:u w:val="single"/>
        </w:rPr>
        <w:t>5.2 . Investimentos</w:t>
      </w:r>
    </w:p>
    <w:p w:rsidR="00682A88" w:rsidRPr="00CF3673" w:rsidRDefault="00682A88" w:rsidP="00682A88">
      <w:pPr>
        <w:spacing w:after="0" w:line="360" w:lineRule="auto"/>
        <w:jc w:val="both"/>
      </w:pPr>
    </w:p>
    <w:p w:rsidR="00682A88" w:rsidRPr="00CF3673" w:rsidRDefault="00682A88" w:rsidP="00682A88">
      <w:pPr>
        <w:spacing w:line="360" w:lineRule="auto"/>
        <w:jc w:val="both"/>
      </w:pPr>
      <w:r w:rsidRPr="00CF3673">
        <w:t xml:space="preserve">A fim de entender a dinâmica e crescimento das empresas , é importante para descobrir os determinantes do investimento , uma vez que desempenham um papel fundamental na modernização e expansão do aparato de produção das empresas . Dado que as empresas muitas vezes pode precisar de fazer </w:t>
      </w:r>
      <w:r w:rsidRPr="00CF3673">
        <w:lastRenderedPageBreak/>
        <w:t>investimentos maiores do que pode ser feito com recursos próprios e resultados transitados , o acesso ao financiamento desempenha um papel importante nas estratégias de investimento das empresas , um tema abordado pelo capítulo 9.</w:t>
      </w:r>
    </w:p>
    <w:p w:rsidR="00682A88" w:rsidRPr="00CF3673" w:rsidRDefault="00682A88" w:rsidP="00682A88">
      <w:pPr>
        <w:spacing w:line="360" w:lineRule="auto"/>
        <w:jc w:val="both"/>
      </w:pPr>
      <w:r w:rsidRPr="00CF3673">
        <w:t xml:space="preserve">O Quadro 5.1 apresenta a percentagem de empresas que fizeram investimentos em 2009-2011 , bem como a proporção de financiamento do investimento de várias fontes. Os resultados </w:t>
      </w:r>
      <w:r w:rsidR="006A4724" w:rsidRPr="00CF3673">
        <w:t>apoiam</w:t>
      </w:r>
      <w:r w:rsidRPr="00CF3673">
        <w:t xml:space="preserve"> conclusões DNEAP (2006) e Rand ( 2008) , mostrando que as empresas maiores são mais propensos a fazer investimentos e para fazer este investimento a partir de fontes externas de crédito . Tabela 5.1 também mostra que os recursos próprios são a mais importante fonte de financiamento do investimento , de longe . Mesmo as empresas de médio porte utilizar recursos próprios para cerca de 70% da necessidade total de financiamento e micro empresas de contar com ele por mais de 90% de financiamento dos investimentos . O facto de que as micro e informais empresas só recebem cerca de 2% do seu financiamento de investimentos de "outras fontes" também </w:t>
      </w:r>
      <w:r w:rsidR="006A4724" w:rsidRPr="00CF3673">
        <w:t>contrária</w:t>
      </w:r>
      <w:r w:rsidRPr="00CF3673">
        <w:t xml:space="preserve"> a visão de que os empréstimos informais e de crédito são uma importante fonte de financiamento para os investimentos informais e micro empresa.</w:t>
      </w:r>
    </w:p>
    <w:p w:rsidR="00682A88" w:rsidRPr="00CF3673" w:rsidRDefault="00682A88" w:rsidP="00682A88">
      <w:pPr>
        <w:spacing w:line="360" w:lineRule="auto"/>
        <w:jc w:val="both"/>
      </w:pPr>
      <w:r w:rsidRPr="00CF3673">
        <w:t xml:space="preserve">Há também uma grande variação no uso de instrumentos financeiros entre as regiões. Maputo, Matola , Beira e Nacala parecem melhor ligados aos mercados financeiros , com maior utilização de empréstimos bancários , bem como outras fontes de financiamento. Em </w:t>
      </w:r>
      <w:proofErr w:type="spellStart"/>
      <w:r w:rsidRPr="00CF3673">
        <w:t>Moatize</w:t>
      </w:r>
      <w:proofErr w:type="spellEnd"/>
      <w:r w:rsidRPr="00CF3673">
        <w:t xml:space="preserve"> , </w:t>
      </w:r>
      <w:proofErr w:type="spellStart"/>
      <w:r w:rsidRPr="00CF3673">
        <w:t>Xai</w:t>
      </w:r>
      <w:proofErr w:type="spellEnd"/>
      <w:r w:rsidRPr="00CF3673">
        <w:t xml:space="preserve">- </w:t>
      </w:r>
      <w:proofErr w:type="spellStart"/>
      <w:r w:rsidRPr="00CF3673">
        <w:t>Xai</w:t>
      </w:r>
      <w:proofErr w:type="spellEnd"/>
      <w:r w:rsidRPr="00CF3673">
        <w:t xml:space="preserve"> e </w:t>
      </w:r>
      <w:proofErr w:type="spellStart"/>
      <w:r w:rsidR="006A4724" w:rsidRPr="00CF3673">
        <w:t>Chókwe</w:t>
      </w:r>
      <w:proofErr w:type="spellEnd"/>
      <w:r w:rsidRPr="00CF3673">
        <w:t xml:space="preserve"> , praticamente todos os investimentos são financiados por recursos próprios .</w:t>
      </w:r>
    </w:p>
    <w:p w:rsidR="00682A88" w:rsidRPr="00CF3673" w:rsidRDefault="00682A88" w:rsidP="00682A88">
      <w:pPr>
        <w:spacing w:line="360" w:lineRule="auto"/>
        <w:jc w:val="both"/>
      </w:pPr>
    </w:p>
    <w:p w:rsidR="00682A88" w:rsidRPr="00CF3673" w:rsidRDefault="00682A88" w:rsidP="00682A88">
      <w:pPr>
        <w:spacing w:line="360" w:lineRule="auto"/>
        <w:jc w:val="both"/>
        <w:rPr>
          <w:b/>
        </w:rPr>
      </w:pPr>
      <w:r w:rsidRPr="00CF3673">
        <w:rPr>
          <w:b/>
        </w:rPr>
        <w:t>Tabela 5.1 : Percentagem de empresas que realizaram investimentos nos últimos três anos, %.</w:t>
      </w:r>
    </w:p>
    <w:tbl>
      <w:tblPr>
        <w:tblStyle w:val="StandardTable"/>
        <w:tblW w:w="0" w:type="auto"/>
        <w:jc w:val="center"/>
        <w:tblLayout w:type="fixed"/>
        <w:tblLook w:val="04A0" w:firstRow="1" w:lastRow="0" w:firstColumn="1" w:lastColumn="0" w:noHBand="0" w:noVBand="1"/>
      </w:tblPr>
      <w:tblGrid>
        <w:gridCol w:w="953"/>
        <w:gridCol w:w="1729"/>
        <w:gridCol w:w="1779"/>
        <w:gridCol w:w="1710"/>
        <w:gridCol w:w="900"/>
        <w:gridCol w:w="1311"/>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953" w:type="dxa"/>
            <w:tcBorders>
              <w:bottom w:val="nil"/>
            </w:tcBorders>
            <w:noWrap/>
          </w:tcPr>
          <w:p w:rsidR="00682A88" w:rsidRPr="00CF3673" w:rsidRDefault="00682A88" w:rsidP="00682A88">
            <w:pPr>
              <w:rPr>
                <w:rFonts w:ascii="Calibri" w:eastAsia="Times New Roman" w:hAnsi="Calibri" w:cs="Times New Roman"/>
                <w:lang w:eastAsia="zh-CN"/>
              </w:rPr>
            </w:pPr>
          </w:p>
        </w:tc>
        <w:tc>
          <w:tcPr>
            <w:tcW w:w="1729" w:type="dxa"/>
            <w:tcBorders>
              <w:bottom w:val="nil"/>
            </w:tcBorders>
            <w:noWrap/>
          </w:tcPr>
          <w:p w:rsidR="00682A88" w:rsidRPr="00CF3673" w:rsidRDefault="00682A88" w:rsidP="00682A88">
            <w:pPr>
              <w:rPr>
                <w:rFonts w:ascii="Calibri" w:eastAsia="Times New Roman" w:hAnsi="Calibri" w:cs="Times New Roman"/>
                <w:lang w:eastAsia="zh-CN"/>
              </w:rPr>
            </w:pPr>
          </w:p>
        </w:tc>
        <w:tc>
          <w:tcPr>
            <w:tcW w:w="5700" w:type="dxa"/>
            <w:gridSpan w:val="4"/>
            <w:noWrap/>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Financiamento de investimentos, % de empresas investidoras</w:t>
            </w:r>
          </w:p>
        </w:tc>
      </w:tr>
      <w:tr w:rsidR="00682A88" w:rsidRPr="00CF3673" w:rsidTr="00682A88">
        <w:trPr>
          <w:trHeight w:val="300"/>
          <w:jc w:val="center"/>
        </w:trPr>
        <w:tc>
          <w:tcPr>
            <w:tcW w:w="953"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p>
        </w:tc>
        <w:tc>
          <w:tcPr>
            <w:tcW w:w="1729" w:type="dxa"/>
            <w:tcBorders>
              <w:top w:val="nil"/>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Investimentos realizados</w:t>
            </w:r>
          </w:p>
        </w:tc>
        <w:tc>
          <w:tcPr>
            <w:tcW w:w="1779" w:type="dxa"/>
            <w:tcBorders>
              <w:top w:val="single" w:sz="4" w:space="0" w:color="auto"/>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Recursos próprios</w:t>
            </w:r>
          </w:p>
        </w:tc>
        <w:tc>
          <w:tcPr>
            <w:tcW w:w="1710" w:type="dxa"/>
            <w:tcBorders>
              <w:top w:val="single" w:sz="4" w:space="0" w:color="auto"/>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Empréstimo bancário</w:t>
            </w:r>
          </w:p>
        </w:tc>
        <w:tc>
          <w:tcPr>
            <w:tcW w:w="900" w:type="dxa"/>
            <w:tcBorders>
              <w:top w:val="single" w:sz="4" w:space="0" w:color="auto"/>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Outras fontes</w:t>
            </w:r>
          </w:p>
        </w:tc>
        <w:tc>
          <w:tcPr>
            <w:tcW w:w="1311" w:type="dxa"/>
            <w:tcBorders>
              <w:top w:val="single" w:sz="4" w:space="0" w:color="auto"/>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Obs.</w:t>
            </w:r>
          </w:p>
        </w:tc>
      </w:tr>
      <w:tr w:rsidR="00682A88" w:rsidRPr="00CF3673" w:rsidTr="00682A88">
        <w:trPr>
          <w:trHeight w:val="300"/>
          <w:jc w:val="center"/>
        </w:trPr>
        <w:tc>
          <w:tcPr>
            <w:tcW w:w="953" w:type="dxa"/>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Todas</w:t>
            </w:r>
          </w:p>
        </w:tc>
        <w:tc>
          <w:tcPr>
            <w:tcW w:w="1729" w:type="dxa"/>
            <w:tcBorders>
              <w:top w:val="single" w:sz="4" w:space="0" w:color="auto"/>
            </w:tcBorders>
            <w:noWrap/>
            <w:hideMark/>
          </w:tcPr>
          <w:p w:rsidR="00682A88" w:rsidRPr="00CF3673" w:rsidRDefault="00682A88" w:rsidP="00682A88">
            <w:pPr>
              <w:jc w:val="center"/>
            </w:pPr>
            <w:r w:rsidRPr="00CF3673">
              <w:t>48.0</w:t>
            </w:r>
          </w:p>
        </w:tc>
        <w:tc>
          <w:tcPr>
            <w:tcW w:w="1779" w:type="dxa"/>
            <w:tcBorders>
              <w:top w:val="single" w:sz="4" w:space="0" w:color="auto"/>
            </w:tcBorders>
            <w:noWrap/>
            <w:hideMark/>
          </w:tcPr>
          <w:p w:rsidR="00682A88" w:rsidRPr="00CF3673" w:rsidRDefault="00682A88" w:rsidP="00682A88">
            <w:pPr>
              <w:jc w:val="center"/>
            </w:pPr>
            <w:r w:rsidRPr="00CF3673">
              <w:t>88.5</w:t>
            </w:r>
          </w:p>
        </w:tc>
        <w:tc>
          <w:tcPr>
            <w:tcW w:w="1710" w:type="dxa"/>
            <w:tcBorders>
              <w:top w:val="single" w:sz="4" w:space="0" w:color="auto"/>
            </w:tcBorders>
            <w:noWrap/>
            <w:hideMark/>
          </w:tcPr>
          <w:p w:rsidR="00682A88" w:rsidRPr="00CF3673" w:rsidRDefault="00682A88" w:rsidP="00682A88">
            <w:pPr>
              <w:jc w:val="center"/>
            </w:pPr>
            <w:r w:rsidRPr="00CF3673">
              <w:t>8.2</w:t>
            </w:r>
          </w:p>
        </w:tc>
        <w:tc>
          <w:tcPr>
            <w:tcW w:w="900" w:type="dxa"/>
            <w:tcBorders>
              <w:top w:val="single" w:sz="4" w:space="0" w:color="auto"/>
            </w:tcBorders>
            <w:noWrap/>
            <w:hideMark/>
          </w:tcPr>
          <w:p w:rsidR="00682A88" w:rsidRPr="00CF3673" w:rsidRDefault="00682A88" w:rsidP="00682A88">
            <w:pPr>
              <w:jc w:val="center"/>
            </w:pPr>
            <w:r w:rsidRPr="00CF3673">
              <w:t>3.3</w:t>
            </w:r>
          </w:p>
        </w:tc>
        <w:tc>
          <w:tcPr>
            <w:tcW w:w="1311" w:type="dxa"/>
            <w:tcBorders>
              <w:top w:val="single" w:sz="4" w:space="0" w:color="auto"/>
            </w:tcBorders>
            <w:noWrap/>
            <w:hideMark/>
          </w:tcPr>
          <w:p w:rsidR="00682A88" w:rsidRPr="00CF3673" w:rsidRDefault="00682A88" w:rsidP="00682A88">
            <w:pPr>
              <w:jc w:val="center"/>
            </w:pPr>
            <w:r w:rsidRPr="00CF3673">
              <w:t>758</w:t>
            </w:r>
          </w:p>
        </w:tc>
      </w:tr>
      <w:tr w:rsidR="00682A88" w:rsidRPr="00CF3673" w:rsidTr="00682A88">
        <w:trPr>
          <w:trHeight w:val="300"/>
          <w:jc w:val="center"/>
        </w:trPr>
        <w:tc>
          <w:tcPr>
            <w:tcW w:w="953"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1729" w:type="dxa"/>
            <w:noWrap/>
            <w:hideMark/>
          </w:tcPr>
          <w:p w:rsidR="00682A88" w:rsidRPr="00CF3673" w:rsidRDefault="00682A88" w:rsidP="00682A88">
            <w:pPr>
              <w:jc w:val="center"/>
            </w:pPr>
            <w:r w:rsidRPr="00CF3673">
              <w:t>44.1</w:t>
            </w:r>
          </w:p>
        </w:tc>
        <w:tc>
          <w:tcPr>
            <w:tcW w:w="1779" w:type="dxa"/>
            <w:noWrap/>
            <w:hideMark/>
          </w:tcPr>
          <w:p w:rsidR="00682A88" w:rsidRPr="00CF3673" w:rsidRDefault="00682A88" w:rsidP="00682A88">
            <w:pPr>
              <w:jc w:val="center"/>
            </w:pPr>
            <w:r w:rsidRPr="00CF3673">
              <w:t>92.8</w:t>
            </w:r>
          </w:p>
        </w:tc>
        <w:tc>
          <w:tcPr>
            <w:tcW w:w="1710" w:type="dxa"/>
            <w:noWrap/>
            <w:hideMark/>
          </w:tcPr>
          <w:p w:rsidR="00682A88" w:rsidRPr="00CF3673" w:rsidRDefault="00682A88" w:rsidP="00682A88">
            <w:pPr>
              <w:jc w:val="center"/>
            </w:pPr>
            <w:r w:rsidRPr="00CF3673">
              <w:t>5.1</w:t>
            </w:r>
          </w:p>
        </w:tc>
        <w:tc>
          <w:tcPr>
            <w:tcW w:w="900" w:type="dxa"/>
            <w:noWrap/>
            <w:hideMark/>
          </w:tcPr>
          <w:p w:rsidR="00682A88" w:rsidRPr="00CF3673" w:rsidRDefault="00682A88" w:rsidP="00682A88">
            <w:pPr>
              <w:jc w:val="center"/>
            </w:pPr>
            <w:r w:rsidRPr="00CF3673">
              <w:t>2.1</w:t>
            </w:r>
          </w:p>
        </w:tc>
        <w:tc>
          <w:tcPr>
            <w:tcW w:w="1311" w:type="dxa"/>
            <w:noWrap/>
            <w:hideMark/>
          </w:tcPr>
          <w:p w:rsidR="00682A88" w:rsidRPr="00CF3673" w:rsidRDefault="00682A88" w:rsidP="00682A88">
            <w:pPr>
              <w:jc w:val="center"/>
            </w:pPr>
            <w:r w:rsidRPr="00CF3673">
              <w:t>515</w:t>
            </w:r>
          </w:p>
        </w:tc>
      </w:tr>
      <w:tr w:rsidR="00682A88" w:rsidRPr="00CF3673" w:rsidTr="00682A88">
        <w:trPr>
          <w:trHeight w:val="300"/>
          <w:jc w:val="center"/>
        </w:trPr>
        <w:tc>
          <w:tcPr>
            <w:tcW w:w="953" w:type="dxa"/>
            <w:tcBorders>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 xml:space="preserve">Pequena </w:t>
            </w:r>
          </w:p>
        </w:tc>
        <w:tc>
          <w:tcPr>
            <w:tcW w:w="1729" w:type="dxa"/>
            <w:tcBorders>
              <w:bottom w:val="nil"/>
            </w:tcBorders>
            <w:noWrap/>
            <w:hideMark/>
          </w:tcPr>
          <w:p w:rsidR="00682A88" w:rsidRPr="00CF3673" w:rsidRDefault="00682A88" w:rsidP="00682A88">
            <w:pPr>
              <w:jc w:val="center"/>
            </w:pPr>
            <w:r w:rsidRPr="00CF3673">
              <w:t>50.6</w:t>
            </w:r>
          </w:p>
        </w:tc>
        <w:tc>
          <w:tcPr>
            <w:tcW w:w="1779" w:type="dxa"/>
            <w:tcBorders>
              <w:bottom w:val="nil"/>
            </w:tcBorders>
            <w:noWrap/>
            <w:hideMark/>
          </w:tcPr>
          <w:p w:rsidR="00682A88" w:rsidRPr="00CF3673" w:rsidRDefault="00682A88" w:rsidP="00682A88">
            <w:pPr>
              <w:jc w:val="center"/>
            </w:pPr>
            <w:r w:rsidRPr="00CF3673">
              <w:t>87.9</w:t>
            </w:r>
          </w:p>
        </w:tc>
        <w:tc>
          <w:tcPr>
            <w:tcW w:w="1710" w:type="dxa"/>
            <w:tcBorders>
              <w:bottom w:val="nil"/>
            </w:tcBorders>
            <w:noWrap/>
            <w:hideMark/>
          </w:tcPr>
          <w:p w:rsidR="00682A88" w:rsidRPr="00CF3673" w:rsidRDefault="00682A88" w:rsidP="00682A88">
            <w:pPr>
              <w:jc w:val="center"/>
            </w:pPr>
            <w:r w:rsidRPr="00CF3673">
              <w:t>6.3</w:t>
            </w:r>
          </w:p>
        </w:tc>
        <w:tc>
          <w:tcPr>
            <w:tcW w:w="900" w:type="dxa"/>
            <w:tcBorders>
              <w:bottom w:val="nil"/>
            </w:tcBorders>
            <w:noWrap/>
            <w:hideMark/>
          </w:tcPr>
          <w:p w:rsidR="00682A88" w:rsidRPr="00CF3673" w:rsidRDefault="00682A88" w:rsidP="00682A88">
            <w:pPr>
              <w:jc w:val="center"/>
            </w:pPr>
            <w:r w:rsidRPr="00CF3673">
              <w:t>5.9</w:t>
            </w:r>
          </w:p>
        </w:tc>
        <w:tc>
          <w:tcPr>
            <w:tcW w:w="1311" w:type="dxa"/>
            <w:tcBorders>
              <w:bottom w:val="nil"/>
            </w:tcBorders>
            <w:noWrap/>
            <w:hideMark/>
          </w:tcPr>
          <w:p w:rsidR="00682A88" w:rsidRPr="00CF3673" w:rsidRDefault="00682A88" w:rsidP="00682A88">
            <w:pPr>
              <w:jc w:val="center"/>
            </w:pPr>
            <w:r w:rsidRPr="00CF3673">
              <w:t>178</w:t>
            </w:r>
          </w:p>
        </w:tc>
      </w:tr>
      <w:tr w:rsidR="00682A88" w:rsidRPr="00CF3673" w:rsidTr="00682A88">
        <w:trPr>
          <w:trHeight w:val="300"/>
          <w:jc w:val="center"/>
        </w:trPr>
        <w:tc>
          <w:tcPr>
            <w:tcW w:w="953"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Média</w:t>
            </w:r>
          </w:p>
        </w:tc>
        <w:tc>
          <w:tcPr>
            <w:tcW w:w="1729" w:type="dxa"/>
            <w:tcBorders>
              <w:top w:val="nil"/>
              <w:bottom w:val="single" w:sz="4" w:space="0" w:color="auto"/>
            </w:tcBorders>
            <w:noWrap/>
            <w:hideMark/>
          </w:tcPr>
          <w:p w:rsidR="00682A88" w:rsidRPr="00CF3673" w:rsidRDefault="00682A88" w:rsidP="00682A88">
            <w:pPr>
              <w:jc w:val="center"/>
            </w:pPr>
            <w:r w:rsidRPr="00CF3673">
              <w:t>72.3</w:t>
            </w:r>
          </w:p>
        </w:tc>
        <w:tc>
          <w:tcPr>
            <w:tcW w:w="1779" w:type="dxa"/>
            <w:tcBorders>
              <w:top w:val="nil"/>
              <w:bottom w:val="single" w:sz="4" w:space="0" w:color="auto"/>
            </w:tcBorders>
            <w:noWrap/>
            <w:hideMark/>
          </w:tcPr>
          <w:p w:rsidR="00682A88" w:rsidRPr="00CF3673" w:rsidRDefault="00682A88" w:rsidP="00682A88">
            <w:pPr>
              <w:jc w:val="center"/>
            </w:pPr>
            <w:r w:rsidRPr="00CF3673">
              <w:t>69.3</w:t>
            </w:r>
          </w:p>
        </w:tc>
        <w:tc>
          <w:tcPr>
            <w:tcW w:w="1710" w:type="dxa"/>
            <w:tcBorders>
              <w:top w:val="nil"/>
              <w:bottom w:val="single" w:sz="4" w:space="0" w:color="auto"/>
            </w:tcBorders>
            <w:noWrap/>
            <w:hideMark/>
          </w:tcPr>
          <w:p w:rsidR="00682A88" w:rsidRPr="00CF3673" w:rsidRDefault="00682A88" w:rsidP="00682A88">
            <w:pPr>
              <w:jc w:val="center"/>
            </w:pPr>
            <w:r w:rsidRPr="00CF3673">
              <w:t>27.0</w:t>
            </w:r>
          </w:p>
        </w:tc>
        <w:tc>
          <w:tcPr>
            <w:tcW w:w="900" w:type="dxa"/>
            <w:tcBorders>
              <w:top w:val="nil"/>
              <w:bottom w:val="single" w:sz="4" w:space="0" w:color="auto"/>
            </w:tcBorders>
            <w:noWrap/>
            <w:hideMark/>
          </w:tcPr>
          <w:p w:rsidR="00682A88" w:rsidRPr="00CF3673" w:rsidRDefault="00682A88" w:rsidP="00682A88">
            <w:pPr>
              <w:jc w:val="center"/>
            </w:pPr>
            <w:r w:rsidRPr="00CF3673">
              <w:t>3.7</w:t>
            </w:r>
          </w:p>
        </w:tc>
        <w:tc>
          <w:tcPr>
            <w:tcW w:w="1311" w:type="dxa"/>
            <w:tcBorders>
              <w:top w:val="nil"/>
              <w:bottom w:val="single" w:sz="4" w:space="0" w:color="auto"/>
            </w:tcBorders>
            <w:noWrap/>
            <w:hideMark/>
          </w:tcPr>
          <w:p w:rsidR="00682A88" w:rsidRPr="00CF3673" w:rsidRDefault="00682A88" w:rsidP="00682A88">
            <w:pPr>
              <w:jc w:val="center"/>
            </w:pPr>
            <w:r w:rsidRPr="00CF3673">
              <w:t>65</w:t>
            </w:r>
          </w:p>
        </w:tc>
      </w:tr>
      <w:tr w:rsidR="00682A88" w:rsidRPr="00CF3673" w:rsidTr="00682A88">
        <w:trPr>
          <w:trHeight w:val="300"/>
          <w:jc w:val="center"/>
        </w:trPr>
        <w:tc>
          <w:tcPr>
            <w:tcW w:w="953" w:type="dxa"/>
            <w:tcBorders>
              <w:top w:val="single" w:sz="4" w:space="0" w:color="auto"/>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1729" w:type="dxa"/>
            <w:tcBorders>
              <w:top w:val="single" w:sz="4" w:space="0" w:color="auto"/>
              <w:bottom w:val="nil"/>
            </w:tcBorders>
            <w:noWrap/>
            <w:hideMark/>
          </w:tcPr>
          <w:p w:rsidR="00682A88" w:rsidRPr="00CF3673" w:rsidRDefault="00682A88" w:rsidP="00682A88">
            <w:pPr>
              <w:jc w:val="center"/>
            </w:pPr>
            <w:r w:rsidRPr="00CF3673">
              <w:t>35.8</w:t>
            </w:r>
          </w:p>
        </w:tc>
        <w:tc>
          <w:tcPr>
            <w:tcW w:w="1779" w:type="dxa"/>
            <w:tcBorders>
              <w:top w:val="single" w:sz="4" w:space="0" w:color="auto"/>
              <w:bottom w:val="nil"/>
            </w:tcBorders>
            <w:noWrap/>
            <w:hideMark/>
          </w:tcPr>
          <w:p w:rsidR="00682A88" w:rsidRPr="00CF3673" w:rsidRDefault="00682A88" w:rsidP="00682A88">
            <w:pPr>
              <w:jc w:val="center"/>
            </w:pPr>
            <w:r w:rsidRPr="00CF3673">
              <w:t>94.3</w:t>
            </w:r>
          </w:p>
        </w:tc>
        <w:tc>
          <w:tcPr>
            <w:tcW w:w="1710" w:type="dxa"/>
            <w:tcBorders>
              <w:top w:val="single" w:sz="4" w:space="0" w:color="auto"/>
              <w:bottom w:val="nil"/>
            </w:tcBorders>
            <w:noWrap/>
            <w:hideMark/>
          </w:tcPr>
          <w:p w:rsidR="00682A88" w:rsidRPr="00CF3673" w:rsidRDefault="00682A88" w:rsidP="00682A88">
            <w:pPr>
              <w:jc w:val="center"/>
            </w:pPr>
            <w:r w:rsidRPr="00CF3673">
              <w:t>3.4</w:t>
            </w:r>
          </w:p>
        </w:tc>
        <w:tc>
          <w:tcPr>
            <w:tcW w:w="900" w:type="dxa"/>
            <w:tcBorders>
              <w:top w:val="single" w:sz="4" w:space="0" w:color="auto"/>
              <w:bottom w:val="nil"/>
            </w:tcBorders>
            <w:noWrap/>
            <w:hideMark/>
          </w:tcPr>
          <w:p w:rsidR="00682A88" w:rsidRPr="00CF3673" w:rsidRDefault="00682A88" w:rsidP="00682A88">
            <w:pPr>
              <w:jc w:val="center"/>
            </w:pPr>
            <w:r w:rsidRPr="00CF3673">
              <w:t>2.2</w:t>
            </w:r>
          </w:p>
        </w:tc>
        <w:tc>
          <w:tcPr>
            <w:tcW w:w="1311" w:type="dxa"/>
            <w:tcBorders>
              <w:top w:val="single" w:sz="4" w:space="0" w:color="auto"/>
              <w:bottom w:val="nil"/>
            </w:tcBorders>
            <w:noWrap/>
            <w:hideMark/>
          </w:tcPr>
          <w:p w:rsidR="00682A88" w:rsidRPr="00CF3673" w:rsidRDefault="00682A88" w:rsidP="00682A88">
            <w:pPr>
              <w:jc w:val="center"/>
            </w:pPr>
            <w:r w:rsidRPr="00CF3673">
              <w:t>165</w:t>
            </w:r>
          </w:p>
        </w:tc>
      </w:tr>
      <w:tr w:rsidR="00682A88" w:rsidRPr="00CF3673" w:rsidTr="00682A88">
        <w:trPr>
          <w:trHeight w:val="300"/>
          <w:jc w:val="center"/>
        </w:trPr>
        <w:tc>
          <w:tcPr>
            <w:tcW w:w="953"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Formal</w:t>
            </w:r>
          </w:p>
        </w:tc>
        <w:tc>
          <w:tcPr>
            <w:tcW w:w="1729" w:type="dxa"/>
            <w:tcBorders>
              <w:top w:val="nil"/>
              <w:bottom w:val="single" w:sz="4" w:space="0" w:color="auto"/>
            </w:tcBorders>
            <w:noWrap/>
            <w:hideMark/>
          </w:tcPr>
          <w:p w:rsidR="00682A88" w:rsidRPr="00CF3673" w:rsidRDefault="00682A88" w:rsidP="00682A88">
            <w:pPr>
              <w:jc w:val="center"/>
            </w:pPr>
            <w:r w:rsidRPr="00CF3673">
              <w:t>51.6</w:t>
            </w:r>
          </w:p>
        </w:tc>
        <w:tc>
          <w:tcPr>
            <w:tcW w:w="1779" w:type="dxa"/>
            <w:tcBorders>
              <w:top w:val="nil"/>
              <w:bottom w:val="single" w:sz="4" w:space="0" w:color="auto"/>
            </w:tcBorders>
            <w:noWrap/>
            <w:hideMark/>
          </w:tcPr>
          <w:p w:rsidR="00682A88" w:rsidRPr="00CF3673" w:rsidRDefault="00682A88" w:rsidP="00682A88">
            <w:pPr>
              <w:jc w:val="center"/>
            </w:pPr>
            <w:r w:rsidRPr="00CF3673">
              <w:t>87.4</w:t>
            </w:r>
          </w:p>
        </w:tc>
        <w:tc>
          <w:tcPr>
            <w:tcW w:w="1710" w:type="dxa"/>
            <w:tcBorders>
              <w:top w:val="nil"/>
              <w:bottom w:val="single" w:sz="4" w:space="0" w:color="auto"/>
            </w:tcBorders>
            <w:noWrap/>
            <w:hideMark/>
          </w:tcPr>
          <w:p w:rsidR="00682A88" w:rsidRPr="00CF3673" w:rsidRDefault="00682A88" w:rsidP="00682A88">
            <w:pPr>
              <w:jc w:val="center"/>
            </w:pPr>
            <w:r w:rsidRPr="00CF3673">
              <w:t>9.1</w:t>
            </w:r>
          </w:p>
        </w:tc>
        <w:tc>
          <w:tcPr>
            <w:tcW w:w="900" w:type="dxa"/>
            <w:tcBorders>
              <w:top w:val="nil"/>
              <w:bottom w:val="single" w:sz="4" w:space="0" w:color="auto"/>
            </w:tcBorders>
            <w:noWrap/>
            <w:hideMark/>
          </w:tcPr>
          <w:p w:rsidR="00682A88" w:rsidRPr="00CF3673" w:rsidRDefault="00682A88" w:rsidP="00682A88">
            <w:pPr>
              <w:jc w:val="center"/>
            </w:pPr>
            <w:r w:rsidRPr="00CF3673">
              <w:t>3.5</w:t>
            </w:r>
          </w:p>
        </w:tc>
        <w:tc>
          <w:tcPr>
            <w:tcW w:w="1311" w:type="dxa"/>
            <w:tcBorders>
              <w:top w:val="nil"/>
              <w:bottom w:val="single" w:sz="4" w:space="0" w:color="auto"/>
            </w:tcBorders>
            <w:noWrap/>
            <w:hideMark/>
          </w:tcPr>
          <w:p w:rsidR="00682A88" w:rsidRPr="00CF3673" w:rsidRDefault="00682A88" w:rsidP="00682A88">
            <w:pPr>
              <w:jc w:val="center"/>
            </w:pPr>
            <w:r w:rsidRPr="00CF3673">
              <w:t>591</w:t>
            </w:r>
          </w:p>
        </w:tc>
      </w:tr>
      <w:tr w:rsidR="00682A88" w:rsidRPr="00CF3673" w:rsidTr="00682A88">
        <w:trPr>
          <w:trHeight w:val="300"/>
          <w:jc w:val="center"/>
        </w:trPr>
        <w:tc>
          <w:tcPr>
            <w:tcW w:w="953" w:type="dxa"/>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Maputo</w:t>
            </w:r>
          </w:p>
        </w:tc>
        <w:tc>
          <w:tcPr>
            <w:tcW w:w="1729" w:type="dxa"/>
            <w:tcBorders>
              <w:top w:val="single" w:sz="4" w:space="0" w:color="auto"/>
            </w:tcBorders>
            <w:noWrap/>
            <w:hideMark/>
          </w:tcPr>
          <w:p w:rsidR="00682A88" w:rsidRPr="00CF3673" w:rsidRDefault="00682A88" w:rsidP="00682A88">
            <w:pPr>
              <w:jc w:val="center"/>
            </w:pPr>
            <w:r w:rsidRPr="00CF3673">
              <w:t>53.2</w:t>
            </w:r>
          </w:p>
        </w:tc>
        <w:tc>
          <w:tcPr>
            <w:tcW w:w="1779" w:type="dxa"/>
            <w:tcBorders>
              <w:top w:val="single" w:sz="4" w:space="0" w:color="auto"/>
            </w:tcBorders>
            <w:noWrap/>
            <w:hideMark/>
          </w:tcPr>
          <w:p w:rsidR="00682A88" w:rsidRPr="00CF3673" w:rsidRDefault="00682A88" w:rsidP="00682A88">
            <w:pPr>
              <w:jc w:val="center"/>
            </w:pPr>
            <w:r w:rsidRPr="00CF3673">
              <w:t>86.2</w:t>
            </w:r>
          </w:p>
        </w:tc>
        <w:tc>
          <w:tcPr>
            <w:tcW w:w="1710" w:type="dxa"/>
            <w:tcBorders>
              <w:top w:val="single" w:sz="4" w:space="0" w:color="auto"/>
            </w:tcBorders>
            <w:noWrap/>
            <w:hideMark/>
          </w:tcPr>
          <w:p w:rsidR="00682A88" w:rsidRPr="00CF3673" w:rsidRDefault="00682A88" w:rsidP="00682A88">
            <w:pPr>
              <w:jc w:val="center"/>
            </w:pPr>
            <w:r w:rsidRPr="00CF3673">
              <w:t>9.0</w:t>
            </w:r>
          </w:p>
        </w:tc>
        <w:tc>
          <w:tcPr>
            <w:tcW w:w="900" w:type="dxa"/>
            <w:tcBorders>
              <w:top w:val="single" w:sz="4" w:space="0" w:color="auto"/>
            </w:tcBorders>
            <w:noWrap/>
            <w:hideMark/>
          </w:tcPr>
          <w:p w:rsidR="00682A88" w:rsidRPr="00CF3673" w:rsidRDefault="00682A88" w:rsidP="00682A88">
            <w:pPr>
              <w:jc w:val="center"/>
            </w:pPr>
            <w:r w:rsidRPr="00CF3673">
              <w:t>4.9</w:t>
            </w:r>
          </w:p>
        </w:tc>
        <w:tc>
          <w:tcPr>
            <w:tcW w:w="1311" w:type="dxa"/>
            <w:tcBorders>
              <w:top w:val="single" w:sz="4" w:space="0" w:color="auto"/>
            </w:tcBorders>
            <w:noWrap/>
            <w:hideMark/>
          </w:tcPr>
          <w:p w:rsidR="00682A88" w:rsidRPr="00CF3673" w:rsidRDefault="00682A88" w:rsidP="00682A88">
            <w:pPr>
              <w:jc w:val="center"/>
            </w:pPr>
            <w:r w:rsidRPr="00CF3673">
              <w:t>267</w:t>
            </w:r>
          </w:p>
        </w:tc>
      </w:tr>
      <w:tr w:rsidR="00682A88" w:rsidRPr="00CF3673" w:rsidTr="00682A88">
        <w:trPr>
          <w:trHeight w:val="300"/>
          <w:jc w:val="center"/>
        </w:trPr>
        <w:tc>
          <w:tcPr>
            <w:tcW w:w="953"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Matola</w:t>
            </w:r>
          </w:p>
        </w:tc>
        <w:tc>
          <w:tcPr>
            <w:tcW w:w="1729" w:type="dxa"/>
            <w:noWrap/>
            <w:hideMark/>
          </w:tcPr>
          <w:p w:rsidR="00682A88" w:rsidRPr="00CF3673" w:rsidRDefault="00682A88" w:rsidP="00682A88">
            <w:pPr>
              <w:jc w:val="center"/>
            </w:pPr>
            <w:r w:rsidRPr="00CF3673">
              <w:t>57.4</w:t>
            </w:r>
          </w:p>
        </w:tc>
        <w:tc>
          <w:tcPr>
            <w:tcW w:w="1779" w:type="dxa"/>
            <w:noWrap/>
            <w:hideMark/>
          </w:tcPr>
          <w:p w:rsidR="00682A88" w:rsidRPr="00CF3673" w:rsidRDefault="00682A88" w:rsidP="00682A88">
            <w:pPr>
              <w:jc w:val="center"/>
            </w:pPr>
            <w:r w:rsidRPr="00CF3673">
              <w:t>85.8</w:t>
            </w:r>
          </w:p>
        </w:tc>
        <w:tc>
          <w:tcPr>
            <w:tcW w:w="1710" w:type="dxa"/>
            <w:noWrap/>
            <w:hideMark/>
          </w:tcPr>
          <w:p w:rsidR="00682A88" w:rsidRPr="00CF3673" w:rsidRDefault="00682A88" w:rsidP="00682A88">
            <w:pPr>
              <w:jc w:val="center"/>
            </w:pPr>
            <w:r w:rsidRPr="00CF3673">
              <w:t>10.9</w:t>
            </w:r>
          </w:p>
        </w:tc>
        <w:tc>
          <w:tcPr>
            <w:tcW w:w="900" w:type="dxa"/>
            <w:noWrap/>
            <w:hideMark/>
          </w:tcPr>
          <w:p w:rsidR="00682A88" w:rsidRPr="00CF3673" w:rsidRDefault="00682A88" w:rsidP="00682A88">
            <w:pPr>
              <w:jc w:val="center"/>
            </w:pPr>
            <w:r w:rsidRPr="00CF3673">
              <w:t>3.3</w:t>
            </w:r>
          </w:p>
        </w:tc>
        <w:tc>
          <w:tcPr>
            <w:tcW w:w="1311" w:type="dxa"/>
            <w:noWrap/>
            <w:hideMark/>
          </w:tcPr>
          <w:p w:rsidR="00682A88" w:rsidRPr="00CF3673" w:rsidRDefault="00682A88" w:rsidP="00682A88">
            <w:pPr>
              <w:jc w:val="center"/>
            </w:pPr>
            <w:r w:rsidRPr="00CF3673">
              <w:t>68</w:t>
            </w:r>
          </w:p>
        </w:tc>
      </w:tr>
      <w:tr w:rsidR="00682A88" w:rsidRPr="00CF3673" w:rsidTr="00682A88">
        <w:trPr>
          <w:trHeight w:val="300"/>
          <w:jc w:val="center"/>
        </w:trPr>
        <w:tc>
          <w:tcPr>
            <w:tcW w:w="953"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Beira</w:t>
            </w:r>
          </w:p>
        </w:tc>
        <w:tc>
          <w:tcPr>
            <w:tcW w:w="1729" w:type="dxa"/>
            <w:noWrap/>
            <w:hideMark/>
          </w:tcPr>
          <w:p w:rsidR="00682A88" w:rsidRPr="00CF3673" w:rsidRDefault="00682A88" w:rsidP="00682A88">
            <w:pPr>
              <w:jc w:val="center"/>
            </w:pPr>
            <w:r w:rsidRPr="00CF3673">
              <w:t>36.6</w:t>
            </w:r>
          </w:p>
        </w:tc>
        <w:tc>
          <w:tcPr>
            <w:tcW w:w="1779" w:type="dxa"/>
            <w:noWrap/>
            <w:hideMark/>
          </w:tcPr>
          <w:p w:rsidR="00682A88" w:rsidRPr="00CF3673" w:rsidRDefault="00682A88" w:rsidP="00682A88">
            <w:pPr>
              <w:jc w:val="center"/>
            </w:pPr>
            <w:r w:rsidRPr="00CF3673">
              <w:t>86.2</w:t>
            </w:r>
          </w:p>
        </w:tc>
        <w:tc>
          <w:tcPr>
            <w:tcW w:w="1710" w:type="dxa"/>
            <w:noWrap/>
            <w:hideMark/>
          </w:tcPr>
          <w:p w:rsidR="00682A88" w:rsidRPr="00CF3673" w:rsidRDefault="00682A88" w:rsidP="00682A88">
            <w:pPr>
              <w:jc w:val="center"/>
            </w:pPr>
            <w:r w:rsidRPr="00CF3673">
              <w:t>8.3</w:t>
            </w:r>
          </w:p>
        </w:tc>
        <w:tc>
          <w:tcPr>
            <w:tcW w:w="900" w:type="dxa"/>
            <w:noWrap/>
            <w:hideMark/>
          </w:tcPr>
          <w:p w:rsidR="00682A88" w:rsidRPr="00CF3673" w:rsidRDefault="00682A88" w:rsidP="00682A88">
            <w:pPr>
              <w:jc w:val="center"/>
            </w:pPr>
            <w:r w:rsidRPr="00CF3673">
              <w:t>5.6</w:t>
            </w:r>
          </w:p>
        </w:tc>
        <w:tc>
          <w:tcPr>
            <w:tcW w:w="1311" w:type="dxa"/>
            <w:noWrap/>
            <w:hideMark/>
          </w:tcPr>
          <w:p w:rsidR="00682A88" w:rsidRPr="00CF3673" w:rsidRDefault="00682A88" w:rsidP="00682A88">
            <w:pPr>
              <w:jc w:val="center"/>
            </w:pPr>
            <w:r w:rsidRPr="00CF3673">
              <w:t>142</w:t>
            </w:r>
          </w:p>
        </w:tc>
      </w:tr>
      <w:tr w:rsidR="00682A88" w:rsidRPr="00CF3673" w:rsidTr="00682A88">
        <w:trPr>
          <w:trHeight w:val="300"/>
          <w:jc w:val="center"/>
        </w:trPr>
        <w:tc>
          <w:tcPr>
            <w:tcW w:w="953"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Nampula</w:t>
            </w:r>
          </w:p>
        </w:tc>
        <w:tc>
          <w:tcPr>
            <w:tcW w:w="1729" w:type="dxa"/>
            <w:noWrap/>
            <w:hideMark/>
          </w:tcPr>
          <w:p w:rsidR="00682A88" w:rsidRPr="00CF3673" w:rsidRDefault="00682A88" w:rsidP="00682A88">
            <w:pPr>
              <w:jc w:val="center"/>
            </w:pPr>
            <w:r w:rsidRPr="00CF3673">
              <w:t>33.3</w:t>
            </w:r>
          </w:p>
        </w:tc>
        <w:tc>
          <w:tcPr>
            <w:tcW w:w="1779" w:type="dxa"/>
            <w:noWrap/>
            <w:hideMark/>
          </w:tcPr>
          <w:p w:rsidR="00682A88" w:rsidRPr="00CF3673" w:rsidRDefault="00682A88" w:rsidP="00682A88">
            <w:pPr>
              <w:jc w:val="center"/>
            </w:pPr>
            <w:r w:rsidRPr="00CF3673">
              <w:t>93.8</w:t>
            </w:r>
          </w:p>
        </w:tc>
        <w:tc>
          <w:tcPr>
            <w:tcW w:w="1710" w:type="dxa"/>
            <w:noWrap/>
            <w:hideMark/>
          </w:tcPr>
          <w:p w:rsidR="00682A88" w:rsidRPr="00CF3673" w:rsidRDefault="00682A88" w:rsidP="00682A88">
            <w:pPr>
              <w:jc w:val="center"/>
            </w:pPr>
            <w:r w:rsidRPr="00CF3673">
              <w:t>6.3</w:t>
            </w:r>
          </w:p>
        </w:tc>
        <w:tc>
          <w:tcPr>
            <w:tcW w:w="900" w:type="dxa"/>
            <w:noWrap/>
            <w:hideMark/>
          </w:tcPr>
          <w:p w:rsidR="00682A88" w:rsidRPr="00CF3673" w:rsidRDefault="00682A88" w:rsidP="00682A88">
            <w:pPr>
              <w:jc w:val="center"/>
            </w:pPr>
            <w:r w:rsidRPr="00CF3673">
              <w:t>0.0</w:t>
            </w:r>
          </w:p>
        </w:tc>
        <w:tc>
          <w:tcPr>
            <w:tcW w:w="1311" w:type="dxa"/>
            <w:noWrap/>
            <w:hideMark/>
          </w:tcPr>
          <w:p w:rsidR="00682A88" w:rsidRPr="00CF3673" w:rsidRDefault="00682A88" w:rsidP="00682A88">
            <w:pPr>
              <w:jc w:val="center"/>
            </w:pPr>
            <w:r w:rsidRPr="00CF3673">
              <w:t>48</w:t>
            </w:r>
          </w:p>
        </w:tc>
      </w:tr>
      <w:tr w:rsidR="00682A88" w:rsidRPr="00CF3673" w:rsidTr="00682A88">
        <w:trPr>
          <w:trHeight w:val="300"/>
          <w:jc w:val="center"/>
        </w:trPr>
        <w:tc>
          <w:tcPr>
            <w:tcW w:w="953"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Nacala</w:t>
            </w:r>
          </w:p>
        </w:tc>
        <w:tc>
          <w:tcPr>
            <w:tcW w:w="1729" w:type="dxa"/>
            <w:noWrap/>
            <w:hideMark/>
          </w:tcPr>
          <w:p w:rsidR="00682A88" w:rsidRPr="00CF3673" w:rsidRDefault="00682A88" w:rsidP="00682A88">
            <w:pPr>
              <w:jc w:val="center"/>
            </w:pPr>
            <w:r w:rsidRPr="00CF3673">
              <w:t>56.5</w:t>
            </w:r>
          </w:p>
        </w:tc>
        <w:tc>
          <w:tcPr>
            <w:tcW w:w="1779" w:type="dxa"/>
            <w:noWrap/>
            <w:hideMark/>
          </w:tcPr>
          <w:p w:rsidR="00682A88" w:rsidRPr="00CF3673" w:rsidRDefault="00682A88" w:rsidP="00682A88">
            <w:pPr>
              <w:jc w:val="center"/>
            </w:pPr>
            <w:r w:rsidRPr="00CF3673">
              <w:t>86.2</w:t>
            </w:r>
          </w:p>
        </w:tc>
        <w:tc>
          <w:tcPr>
            <w:tcW w:w="1710" w:type="dxa"/>
            <w:noWrap/>
            <w:hideMark/>
          </w:tcPr>
          <w:p w:rsidR="00682A88" w:rsidRPr="00CF3673" w:rsidRDefault="00682A88" w:rsidP="00682A88">
            <w:pPr>
              <w:jc w:val="center"/>
            </w:pPr>
            <w:r w:rsidRPr="00CF3673">
              <w:t>13.8</w:t>
            </w:r>
          </w:p>
        </w:tc>
        <w:tc>
          <w:tcPr>
            <w:tcW w:w="900" w:type="dxa"/>
            <w:noWrap/>
            <w:hideMark/>
          </w:tcPr>
          <w:p w:rsidR="00682A88" w:rsidRPr="00CF3673" w:rsidRDefault="00682A88" w:rsidP="00682A88">
            <w:pPr>
              <w:jc w:val="center"/>
            </w:pPr>
            <w:r w:rsidRPr="00CF3673">
              <w:t>0.0</w:t>
            </w:r>
          </w:p>
        </w:tc>
        <w:tc>
          <w:tcPr>
            <w:tcW w:w="1311" w:type="dxa"/>
            <w:noWrap/>
            <w:hideMark/>
          </w:tcPr>
          <w:p w:rsidR="00682A88" w:rsidRPr="00CF3673" w:rsidRDefault="00682A88" w:rsidP="00682A88">
            <w:pPr>
              <w:jc w:val="center"/>
            </w:pPr>
            <w:r w:rsidRPr="00CF3673">
              <w:t>23</w:t>
            </w:r>
          </w:p>
        </w:tc>
      </w:tr>
      <w:tr w:rsidR="00682A88" w:rsidRPr="00CF3673" w:rsidTr="00682A88">
        <w:trPr>
          <w:trHeight w:val="300"/>
          <w:jc w:val="center"/>
        </w:trPr>
        <w:tc>
          <w:tcPr>
            <w:tcW w:w="953"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Chimoio</w:t>
            </w:r>
          </w:p>
        </w:tc>
        <w:tc>
          <w:tcPr>
            <w:tcW w:w="1729" w:type="dxa"/>
            <w:noWrap/>
            <w:hideMark/>
          </w:tcPr>
          <w:p w:rsidR="00682A88" w:rsidRPr="00CF3673" w:rsidRDefault="00682A88" w:rsidP="00682A88">
            <w:pPr>
              <w:jc w:val="center"/>
            </w:pPr>
            <w:r w:rsidRPr="00CF3673">
              <w:t>57.6</w:t>
            </w:r>
          </w:p>
        </w:tc>
        <w:tc>
          <w:tcPr>
            <w:tcW w:w="1779" w:type="dxa"/>
            <w:noWrap/>
            <w:hideMark/>
          </w:tcPr>
          <w:p w:rsidR="00682A88" w:rsidRPr="00CF3673" w:rsidRDefault="00682A88" w:rsidP="00682A88">
            <w:pPr>
              <w:jc w:val="center"/>
            </w:pPr>
            <w:r w:rsidRPr="00CF3673">
              <w:t>90.3</w:t>
            </w:r>
          </w:p>
        </w:tc>
        <w:tc>
          <w:tcPr>
            <w:tcW w:w="1710" w:type="dxa"/>
            <w:noWrap/>
            <w:hideMark/>
          </w:tcPr>
          <w:p w:rsidR="00682A88" w:rsidRPr="00CF3673" w:rsidRDefault="00682A88" w:rsidP="00682A88">
            <w:pPr>
              <w:jc w:val="center"/>
            </w:pPr>
            <w:r w:rsidRPr="00CF3673">
              <w:t>8.7</w:t>
            </w:r>
          </w:p>
        </w:tc>
        <w:tc>
          <w:tcPr>
            <w:tcW w:w="900" w:type="dxa"/>
            <w:noWrap/>
            <w:hideMark/>
          </w:tcPr>
          <w:p w:rsidR="00682A88" w:rsidRPr="00CF3673" w:rsidRDefault="00682A88" w:rsidP="00682A88">
            <w:pPr>
              <w:jc w:val="center"/>
            </w:pPr>
            <w:r w:rsidRPr="00CF3673">
              <w:t>1.0</w:t>
            </w:r>
          </w:p>
        </w:tc>
        <w:tc>
          <w:tcPr>
            <w:tcW w:w="1311" w:type="dxa"/>
            <w:noWrap/>
            <w:hideMark/>
          </w:tcPr>
          <w:p w:rsidR="00682A88" w:rsidRPr="00CF3673" w:rsidRDefault="00682A88" w:rsidP="00682A88">
            <w:pPr>
              <w:jc w:val="center"/>
            </w:pPr>
            <w:r w:rsidRPr="00CF3673">
              <w:t>85</w:t>
            </w:r>
          </w:p>
        </w:tc>
      </w:tr>
      <w:tr w:rsidR="00682A88" w:rsidRPr="00CF3673" w:rsidTr="00682A88">
        <w:trPr>
          <w:trHeight w:val="300"/>
          <w:jc w:val="center"/>
        </w:trPr>
        <w:tc>
          <w:tcPr>
            <w:tcW w:w="953"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lastRenderedPageBreak/>
              <w:t>Tete</w:t>
            </w:r>
          </w:p>
        </w:tc>
        <w:tc>
          <w:tcPr>
            <w:tcW w:w="1729" w:type="dxa"/>
            <w:noWrap/>
            <w:hideMark/>
          </w:tcPr>
          <w:p w:rsidR="00682A88" w:rsidRPr="00CF3673" w:rsidRDefault="00682A88" w:rsidP="00682A88">
            <w:pPr>
              <w:jc w:val="center"/>
            </w:pPr>
            <w:r w:rsidRPr="00CF3673">
              <w:t>58.3</w:t>
            </w:r>
          </w:p>
        </w:tc>
        <w:tc>
          <w:tcPr>
            <w:tcW w:w="1779" w:type="dxa"/>
            <w:noWrap/>
            <w:hideMark/>
          </w:tcPr>
          <w:p w:rsidR="00682A88" w:rsidRPr="00CF3673" w:rsidRDefault="00682A88" w:rsidP="00682A88">
            <w:pPr>
              <w:jc w:val="center"/>
            </w:pPr>
            <w:r w:rsidRPr="00CF3673">
              <w:t>92.1</w:t>
            </w:r>
          </w:p>
        </w:tc>
        <w:tc>
          <w:tcPr>
            <w:tcW w:w="1710" w:type="dxa"/>
            <w:noWrap/>
            <w:hideMark/>
          </w:tcPr>
          <w:p w:rsidR="00682A88" w:rsidRPr="00CF3673" w:rsidRDefault="00682A88" w:rsidP="00682A88">
            <w:pPr>
              <w:jc w:val="center"/>
            </w:pPr>
            <w:r w:rsidRPr="00CF3673">
              <w:t>7.9</w:t>
            </w:r>
          </w:p>
        </w:tc>
        <w:tc>
          <w:tcPr>
            <w:tcW w:w="900" w:type="dxa"/>
            <w:noWrap/>
            <w:hideMark/>
          </w:tcPr>
          <w:p w:rsidR="00682A88" w:rsidRPr="00CF3673" w:rsidRDefault="00682A88" w:rsidP="00682A88">
            <w:pPr>
              <w:jc w:val="center"/>
            </w:pPr>
            <w:r w:rsidRPr="00CF3673">
              <w:t>0.0</w:t>
            </w:r>
          </w:p>
        </w:tc>
        <w:tc>
          <w:tcPr>
            <w:tcW w:w="1311" w:type="dxa"/>
            <w:noWrap/>
            <w:hideMark/>
          </w:tcPr>
          <w:p w:rsidR="00682A88" w:rsidRPr="00CF3673" w:rsidRDefault="00682A88" w:rsidP="00682A88">
            <w:pPr>
              <w:jc w:val="center"/>
            </w:pPr>
            <w:r w:rsidRPr="00CF3673">
              <w:t>36</w:t>
            </w:r>
          </w:p>
        </w:tc>
      </w:tr>
      <w:tr w:rsidR="00682A88" w:rsidRPr="00CF3673" w:rsidTr="00682A88">
        <w:trPr>
          <w:trHeight w:val="300"/>
          <w:jc w:val="center"/>
        </w:trPr>
        <w:tc>
          <w:tcPr>
            <w:tcW w:w="953" w:type="dxa"/>
            <w:noWrap/>
            <w:hideMark/>
          </w:tcPr>
          <w:p w:rsidR="00682A88" w:rsidRPr="00CF3673" w:rsidRDefault="00682A88" w:rsidP="00682A88">
            <w:pPr>
              <w:rPr>
                <w:rFonts w:ascii="Calibri" w:eastAsia="Times New Roman" w:hAnsi="Calibri" w:cs="Times New Roman"/>
                <w:lang w:eastAsia="zh-CN"/>
              </w:rPr>
            </w:pPr>
            <w:proofErr w:type="spellStart"/>
            <w:r w:rsidRPr="00CF3673">
              <w:rPr>
                <w:rFonts w:ascii="Calibri" w:eastAsia="Times New Roman" w:hAnsi="Calibri" w:cs="Times New Roman"/>
                <w:lang w:eastAsia="zh-CN"/>
              </w:rPr>
              <w:t>Moatize</w:t>
            </w:r>
            <w:proofErr w:type="spellEnd"/>
          </w:p>
        </w:tc>
        <w:tc>
          <w:tcPr>
            <w:tcW w:w="1729" w:type="dxa"/>
            <w:noWrap/>
            <w:hideMark/>
          </w:tcPr>
          <w:p w:rsidR="00682A88" w:rsidRPr="00CF3673" w:rsidRDefault="00682A88" w:rsidP="00682A88">
            <w:pPr>
              <w:jc w:val="center"/>
            </w:pPr>
            <w:r w:rsidRPr="00CF3673">
              <w:t>31.3</w:t>
            </w:r>
          </w:p>
        </w:tc>
        <w:tc>
          <w:tcPr>
            <w:tcW w:w="1779" w:type="dxa"/>
            <w:noWrap/>
            <w:hideMark/>
          </w:tcPr>
          <w:p w:rsidR="00682A88" w:rsidRPr="00CF3673" w:rsidRDefault="00682A88" w:rsidP="00682A88">
            <w:pPr>
              <w:jc w:val="center"/>
            </w:pPr>
            <w:r w:rsidRPr="00CF3673">
              <w:t>100.0</w:t>
            </w:r>
          </w:p>
        </w:tc>
        <w:tc>
          <w:tcPr>
            <w:tcW w:w="1710" w:type="dxa"/>
            <w:noWrap/>
            <w:hideMark/>
          </w:tcPr>
          <w:p w:rsidR="00682A88" w:rsidRPr="00CF3673" w:rsidRDefault="00682A88" w:rsidP="00682A88">
            <w:pPr>
              <w:jc w:val="center"/>
            </w:pPr>
            <w:r w:rsidRPr="00CF3673">
              <w:t>0.0</w:t>
            </w:r>
          </w:p>
        </w:tc>
        <w:tc>
          <w:tcPr>
            <w:tcW w:w="900" w:type="dxa"/>
            <w:noWrap/>
            <w:hideMark/>
          </w:tcPr>
          <w:p w:rsidR="00682A88" w:rsidRPr="00CF3673" w:rsidRDefault="00682A88" w:rsidP="00682A88">
            <w:pPr>
              <w:jc w:val="center"/>
            </w:pPr>
            <w:r w:rsidRPr="00CF3673">
              <w:t>0.0</w:t>
            </w:r>
          </w:p>
        </w:tc>
        <w:tc>
          <w:tcPr>
            <w:tcW w:w="1311" w:type="dxa"/>
            <w:noWrap/>
            <w:hideMark/>
          </w:tcPr>
          <w:p w:rsidR="00682A88" w:rsidRPr="00CF3673" w:rsidRDefault="00682A88" w:rsidP="00682A88">
            <w:pPr>
              <w:jc w:val="center"/>
            </w:pPr>
            <w:r w:rsidRPr="00CF3673">
              <w:t>16</w:t>
            </w:r>
          </w:p>
        </w:tc>
      </w:tr>
      <w:tr w:rsidR="00682A88" w:rsidRPr="00CF3673" w:rsidTr="00682A88">
        <w:trPr>
          <w:trHeight w:val="300"/>
          <w:jc w:val="center"/>
        </w:trPr>
        <w:tc>
          <w:tcPr>
            <w:tcW w:w="953" w:type="dxa"/>
            <w:noWrap/>
            <w:hideMark/>
          </w:tcPr>
          <w:p w:rsidR="00682A88" w:rsidRPr="00CF3673" w:rsidRDefault="00682A88" w:rsidP="00682A88">
            <w:pPr>
              <w:rPr>
                <w:rFonts w:ascii="Calibri" w:eastAsia="Times New Roman" w:hAnsi="Calibri" w:cs="Times New Roman"/>
                <w:lang w:eastAsia="zh-CN"/>
              </w:rPr>
            </w:pPr>
            <w:proofErr w:type="spellStart"/>
            <w:r w:rsidRPr="00CF3673">
              <w:rPr>
                <w:rFonts w:ascii="Calibri" w:eastAsia="Times New Roman" w:hAnsi="Calibri" w:cs="Times New Roman"/>
                <w:lang w:eastAsia="zh-CN"/>
              </w:rPr>
              <w:t>Xai-Xai</w:t>
            </w:r>
            <w:proofErr w:type="spellEnd"/>
          </w:p>
        </w:tc>
        <w:tc>
          <w:tcPr>
            <w:tcW w:w="1729" w:type="dxa"/>
            <w:noWrap/>
            <w:hideMark/>
          </w:tcPr>
          <w:p w:rsidR="00682A88" w:rsidRPr="00CF3673" w:rsidRDefault="00682A88" w:rsidP="00682A88">
            <w:pPr>
              <w:jc w:val="center"/>
            </w:pPr>
            <w:r w:rsidRPr="00CF3673">
              <w:t>36.4</w:t>
            </w:r>
          </w:p>
        </w:tc>
        <w:tc>
          <w:tcPr>
            <w:tcW w:w="1779" w:type="dxa"/>
            <w:noWrap/>
            <w:hideMark/>
          </w:tcPr>
          <w:p w:rsidR="00682A88" w:rsidRPr="00CF3673" w:rsidRDefault="00682A88" w:rsidP="00682A88">
            <w:pPr>
              <w:jc w:val="center"/>
            </w:pPr>
            <w:r w:rsidRPr="00CF3673">
              <w:t>98.1</w:t>
            </w:r>
          </w:p>
        </w:tc>
        <w:tc>
          <w:tcPr>
            <w:tcW w:w="1710" w:type="dxa"/>
            <w:noWrap/>
            <w:hideMark/>
          </w:tcPr>
          <w:p w:rsidR="00682A88" w:rsidRPr="00CF3673" w:rsidRDefault="00682A88" w:rsidP="00682A88">
            <w:pPr>
              <w:jc w:val="center"/>
            </w:pPr>
            <w:r w:rsidRPr="00CF3673">
              <w:t>0.0</w:t>
            </w:r>
          </w:p>
        </w:tc>
        <w:tc>
          <w:tcPr>
            <w:tcW w:w="900" w:type="dxa"/>
            <w:noWrap/>
            <w:hideMark/>
          </w:tcPr>
          <w:p w:rsidR="00682A88" w:rsidRPr="00CF3673" w:rsidRDefault="00682A88" w:rsidP="00682A88">
            <w:pPr>
              <w:jc w:val="center"/>
            </w:pPr>
            <w:r w:rsidRPr="00CF3673">
              <w:t>1.9</w:t>
            </w:r>
          </w:p>
        </w:tc>
        <w:tc>
          <w:tcPr>
            <w:tcW w:w="1311" w:type="dxa"/>
            <w:noWrap/>
            <w:hideMark/>
          </w:tcPr>
          <w:p w:rsidR="00682A88" w:rsidRPr="00CF3673" w:rsidRDefault="00682A88" w:rsidP="00682A88">
            <w:pPr>
              <w:jc w:val="center"/>
            </w:pPr>
            <w:r w:rsidRPr="00CF3673">
              <w:t>44</w:t>
            </w:r>
          </w:p>
        </w:tc>
      </w:tr>
      <w:tr w:rsidR="00682A88" w:rsidRPr="00CF3673" w:rsidTr="00682A88">
        <w:trPr>
          <w:trHeight w:val="300"/>
          <w:jc w:val="center"/>
        </w:trPr>
        <w:tc>
          <w:tcPr>
            <w:tcW w:w="953" w:type="dxa"/>
            <w:tcBorders>
              <w:bottom w:val="double" w:sz="4" w:space="0" w:color="auto"/>
            </w:tcBorders>
            <w:noWrap/>
            <w:hideMark/>
          </w:tcPr>
          <w:p w:rsidR="00682A88" w:rsidRPr="00CF3673" w:rsidRDefault="006A4724" w:rsidP="00682A88">
            <w:pPr>
              <w:rPr>
                <w:rFonts w:ascii="Calibri" w:eastAsia="Times New Roman" w:hAnsi="Calibri" w:cs="Times New Roman"/>
                <w:lang w:eastAsia="zh-CN"/>
              </w:rPr>
            </w:pPr>
            <w:proofErr w:type="spellStart"/>
            <w:r w:rsidRPr="00CF3673">
              <w:rPr>
                <w:rFonts w:ascii="Calibri" w:eastAsia="Times New Roman" w:hAnsi="Calibri" w:cs="Times New Roman"/>
                <w:lang w:eastAsia="zh-CN"/>
              </w:rPr>
              <w:t>Chókwe</w:t>
            </w:r>
            <w:proofErr w:type="spellEnd"/>
          </w:p>
        </w:tc>
        <w:tc>
          <w:tcPr>
            <w:tcW w:w="1729" w:type="dxa"/>
            <w:tcBorders>
              <w:bottom w:val="double" w:sz="4" w:space="0" w:color="auto"/>
            </w:tcBorders>
            <w:noWrap/>
            <w:hideMark/>
          </w:tcPr>
          <w:p w:rsidR="00682A88" w:rsidRPr="00CF3673" w:rsidRDefault="00682A88" w:rsidP="00682A88">
            <w:pPr>
              <w:jc w:val="center"/>
            </w:pPr>
            <w:r w:rsidRPr="00CF3673">
              <w:t>37.9</w:t>
            </w:r>
          </w:p>
        </w:tc>
        <w:tc>
          <w:tcPr>
            <w:tcW w:w="1779" w:type="dxa"/>
            <w:tcBorders>
              <w:bottom w:val="double" w:sz="4" w:space="0" w:color="auto"/>
            </w:tcBorders>
            <w:noWrap/>
            <w:hideMark/>
          </w:tcPr>
          <w:p w:rsidR="00682A88" w:rsidRPr="00CF3673" w:rsidRDefault="00682A88" w:rsidP="00682A88">
            <w:pPr>
              <w:jc w:val="center"/>
            </w:pPr>
            <w:r w:rsidRPr="00CF3673">
              <w:t>100.0</w:t>
            </w:r>
          </w:p>
        </w:tc>
        <w:tc>
          <w:tcPr>
            <w:tcW w:w="1710" w:type="dxa"/>
            <w:tcBorders>
              <w:bottom w:val="double" w:sz="4" w:space="0" w:color="auto"/>
            </w:tcBorders>
            <w:noWrap/>
            <w:hideMark/>
          </w:tcPr>
          <w:p w:rsidR="00682A88" w:rsidRPr="00CF3673" w:rsidRDefault="00682A88" w:rsidP="00682A88">
            <w:pPr>
              <w:jc w:val="center"/>
            </w:pPr>
            <w:r w:rsidRPr="00CF3673">
              <w:t>0.0</w:t>
            </w:r>
          </w:p>
        </w:tc>
        <w:tc>
          <w:tcPr>
            <w:tcW w:w="900" w:type="dxa"/>
            <w:tcBorders>
              <w:bottom w:val="double" w:sz="4" w:space="0" w:color="auto"/>
            </w:tcBorders>
            <w:noWrap/>
            <w:hideMark/>
          </w:tcPr>
          <w:p w:rsidR="00682A88" w:rsidRPr="00CF3673" w:rsidRDefault="00682A88" w:rsidP="00682A88">
            <w:pPr>
              <w:jc w:val="center"/>
            </w:pPr>
            <w:r w:rsidRPr="00CF3673">
              <w:t>0.0</w:t>
            </w:r>
          </w:p>
        </w:tc>
        <w:tc>
          <w:tcPr>
            <w:tcW w:w="1311" w:type="dxa"/>
            <w:tcBorders>
              <w:bottom w:val="double" w:sz="4" w:space="0" w:color="auto"/>
            </w:tcBorders>
            <w:noWrap/>
            <w:hideMark/>
          </w:tcPr>
          <w:p w:rsidR="00682A88" w:rsidRPr="00CF3673" w:rsidRDefault="00682A88" w:rsidP="00682A88">
            <w:pPr>
              <w:jc w:val="center"/>
            </w:pPr>
            <w:r w:rsidRPr="00CF3673">
              <w:t>29</w:t>
            </w:r>
          </w:p>
        </w:tc>
      </w:tr>
      <w:tr w:rsidR="00682A88" w:rsidRPr="00CF3673" w:rsidTr="00682A88">
        <w:trPr>
          <w:trHeight w:val="300"/>
          <w:jc w:val="center"/>
        </w:trPr>
        <w:tc>
          <w:tcPr>
            <w:tcW w:w="8382" w:type="dxa"/>
            <w:gridSpan w:val="6"/>
            <w:tcBorders>
              <w:top w:val="double" w:sz="4" w:space="0" w:color="auto"/>
              <w:bottom w:val="nil"/>
            </w:tcBorders>
            <w:noWrap/>
          </w:tcPr>
          <w:p w:rsidR="00682A88" w:rsidRPr="00CF3673" w:rsidRDefault="00682A88" w:rsidP="00682A88">
            <w:pPr>
              <w:pStyle w:val="Tablenote"/>
              <w:rPr>
                <w:b/>
                <w:lang w:val="pt-PT"/>
              </w:rPr>
            </w:pPr>
            <w:r w:rsidRPr="00CF3673">
              <w:rPr>
                <w:b/>
                <w:lang w:val="pt-PT"/>
              </w:rPr>
              <w:t>Note:</w:t>
            </w:r>
            <w:r w:rsidRPr="00CF3673">
              <w:rPr>
                <w:lang w:val="pt-PT"/>
              </w:rPr>
              <w:t xml:space="preserve"> “Outras fontes” inclui: 1) o capital de amigos e parentes, 2) contribuições dos empregados, 3) </w:t>
            </w:r>
            <w:r w:rsidR="00C41650" w:rsidRPr="00CF3673">
              <w:rPr>
                <w:lang w:val="pt-PT"/>
              </w:rPr>
              <w:t>empréstimo,</w:t>
            </w:r>
            <w:r w:rsidRPr="00CF3673">
              <w:rPr>
                <w:lang w:val="pt-PT"/>
              </w:rPr>
              <w:t xml:space="preserve"> 4) pagamento antecipado de vendas, 5) leasing e  6) outros. Número de </w:t>
            </w:r>
            <w:r w:rsidR="006A4724" w:rsidRPr="00CF3673">
              <w:rPr>
                <w:lang w:val="pt-PT"/>
              </w:rPr>
              <w:t>observações</w:t>
            </w:r>
            <w:r w:rsidRPr="00CF3673">
              <w:rPr>
                <w:lang w:val="pt-PT"/>
              </w:rPr>
              <w:t xml:space="preserve"> refere-se à primeira coluna. Três </w:t>
            </w:r>
            <w:r w:rsidR="006A4724" w:rsidRPr="00CF3673">
              <w:rPr>
                <w:lang w:val="pt-PT"/>
              </w:rPr>
              <w:t>observações</w:t>
            </w:r>
            <w:r w:rsidRPr="00CF3673">
              <w:rPr>
                <w:lang w:val="pt-PT"/>
              </w:rPr>
              <w:t xml:space="preserve"> em falta.</w:t>
            </w:r>
          </w:p>
        </w:tc>
      </w:tr>
      <w:tr w:rsidR="00682A88" w:rsidRPr="00CF3673" w:rsidTr="00682A88">
        <w:trPr>
          <w:trHeight w:val="300"/>
          <w:jc w:val="center"/>
        </w:trPr>
        <w:tc>
          <w:tcPr>
            <w:tcW w:w="8382" w:type="dxa"/>
            <w:gridSpan w:val="6"/>
            <w:tcBorders>
              <w:top w:val="nil"/>
              <w:bottom w:val="nil"/>
            </w:tcBorders>
            <w:noWrap/>
          </w:tcPr>
          <w:p w:rsidR="00682A88" w:rsidRPr="00CF3673" w:rsidRDefault="00682A88" w:rsidP="00C41650">
            <w:pPr>
              <w:pStyle w:val="Tablenote"/>
              <w:rPr>
                <w:b/>
                <w:lang w:val="pt-PT"/>
              </w:rPr>
            </w:pPr>
            <w:r w:rsidRPr="00CF3673">
              <w:rPr>
                <w:b/>
                <w:lang w:val="pt-PT"/>
              </w:rPr>
              <w:t>Fonte:</w:t>
            </w:r>
            <w:r w:rsidRPr="00CF3673">
              <w:rPr>
                <w:lang w:val="pt-PT"/>
              </w:rPr>
              <w:t xml:space="preserve"> Cálculos</w:t>
            </w:r>
            <w:r w:rsidR="00C41650" w:rsidRPr="00CF3673">
              <w:rPr>
                <w:lang w:val="pt-PT"/>
              </w:rPr>
              <w:t xml:space="preserve"> dos autores</w:t>
            </w:r>
            <w:r w:rsidRPr="00CF3673">
              <w:rPr>
                <w:lang w:val="pt-PT"/>
              </w:rPr>
              <w:t xml:space="preserve">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Figura 5.2 apresenta a percentagem de empresas de ter feito investimentos em 2006 e 2011. Entre as categorias de tamanho, as empresas de </w:t>
      </w:r>
      <w:r w:rsidR="006A4724" w:rsidRPr="00CF3673">
        <w:t>manufactura</w:t>
      </w:r>
      <w:r w:rsidRPr="00CF3673">
        <w:t xml:space="preserve"> moçambicanos são menos propensos a ter feito investimentos em 2011 do que em 2006</w:t>
      </w:r>
      <w:r w:rsidRPr="00CF3673">
        <w:rPr>
          <w:rStyle w:val="FootnoteReference"/>
        </w:rPr>
        <w:footnoteReference w:id="32"/>
      </w:r>
      <w:r w:rsidRPr="00CF3673">
        <w:t xml:space="preserve">. Para a amostra como um todo, 67%  tinha feito investimentos em 2006, enquanto apenas 565 tinha feito investimentos em 2011. </w:t>
      </w:r>
    </w:p>
    <w:p w:rsidR="00682A88" w:rsidRPr="00CF3673" w:rsidRDefault="00682A88" w:rsidP="00682A88">
      <w:pPr>
        <w:spacing w:line="360" w:lineRule="auto"/>
        <w:jc w:val="both"/>
      </w:pPr>
      <w:r w:rsidRPr="00CF3673">
        <w:t>Por outro lado, a proporção de investimento financiado por outras fontes que não os recursos próprios subiram no mesmo período. Pequenas empresas usam "outras fontes" menos, mas ambas as micro e médias empresas têm aumentado o uso de financiamento externo. Isso pode reflectir menos investimentos que estão sendo feitos ou um melhor acesso ao financiamento externo. Para a amostra como um todo</w:t>
      </w:r>
      <w:r w:rsidRPr="00CF3673">
        <w:rPr>
          <w:rStyle w:val="FootnoteReference"/>
        </w:rPr>
        <w:footnoteReference w:id="33"/>
      </w:r>
      <w:r w:rsidRPr="00CF3673">
        <w:t xml:space="preserve">, o financiamento externo foi responsável por 16,7% do financiamento total em 2006 e 21,35 em 2011. </w:t>
      </w:r>
    </w:p>
    <w:p w:rsidR="00682A88" w:rsidRPr="00CF3673" w:rsidRDefault="00682A88" w:rsidP="00682A88">
      <w:pPr>
        <w:spacing w:line="360" w:lineRule="auto"/>
        <w:jc w:val="both"/>
        <w:rPr>
          <w:b/>
        </w:rPr>
      </w:pPr>
      <w:r w:rsidRPr="00CF3673">
        <w:rPr>
          <w:b/>
        </w:rPr>
        <w:t>Figura 5.2: Percentagem de empresas com investimentos feitos nos últimos três anos, 2006-2011, %.</w:t>
      </w:r>
    </w:p>
    <w:p w:rsidR="00682A88" w:rsidRPr="00CF3673" w:rsidRDefault="00682A88" w:rsidP="00682A88">
      <w:pPr>
        <w:spacing w:after="0" w:line="240" w:lineRule="auto"/>
        <w:jc w:val="center"/>
      </w:pPr>
      <w:r w:rsidRPr="00CF3673">
        <w:rPr>
          <w:noProof/>
          <w:lang w:val="en-US"/>
        </w:rPr>
        <w:drawing>
          <wp:inline distT="0" distB="0" distL="0" distR="0" wp14:anchorId="59CB2E04" wp14:editId="62B12817">
            <wp:extent cx="4221126" cy="2530549"/>
            <wp:effectExtent l="0" t="0" r="27305" b="22225"/>
            <wp:docPr id="3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bl>
      <w:tblPr>
        <w:tblStyle w:val="SrensTable"/>
        <w:tblpPr w:leftFromText="141" w:rightFromText="141" w:vertAnchor="text" w:horzAnchor="page" w:tblpX="2926" w:tblpY="19"/>
        <w:tblW w:w="6678" w:type="dxa"/>
        <w:tblLook w:val="04A0" w:firstRow="1" w:lastRow="0" w:firstColumn="1" w:lastColumn="0" w:noHBand="0" w:noVBand="1"/>
      </w:tblPr>
      <w:tblGrid>
        <w:gridCol w:w="6678"/>
      </w:tblGrid>
      <w:tr w:rsidR="00682A88" w:rsidRPr="00CF3673" w:rsidTr="00682A88">
        <w:trPr>
          <w:trHeight w:val="318"/>
        </w:trPr>
        <w:tc>
          <w:tcPr>
            <w:tcW w:w="6678" w:type="dxa"/>
          </w:tcPr>
          <w:p w:rsidR="00682A88" w:rsidRPr="00CF3673" w:rsidRDefault="00682A88" w:rsidP="00682A88">
            <w:pPr>
              <w:pStyle w:val="Tablenote"/>
              <w:rPr>
                <w:b/>
                <w:lang w:val="pt-PT"/>
              </w:rPr>
            </w:pPr>
            <w:r w:rsidRPr="00CF3673">
              <w:rPr>
                <w:b/>
                <w:lang w:val="pt-PT"/>
              </w:rPr>
              <w:t>Note:</w:t>
            </w:r>
            <w:r w:rsidRPr="00CF3673">
              <w:rPr>
                <w:lang w:val="pt-PT"/>
              </w:rPr>
              <w:t xml:space="preserve"> O painel não balanceado, ou seja, não seguindo as mesmas empresas ao longo do tempo. Usando um painel equilibrado vez não faz uma diferença qualitativa. Número de </w:t>
            </w:r>
            <w:r w:rsidR="006A4724" w:rsidRPr="00CF3673">
              <w:rPr>
                <w:lang w:val="pt-PT"/>
              </w:rPr>
              <w:lastRenderedPageBreak/>
              <w:t>observações</w:t>
            </w:r>
            <w:r w:rsidRPr="00CF3673">
              <w:rPr>
                <w:lang w:val="pt-PT"/>
              </w:rPr>
              <w:t xml:space="preserve"> em 2006: 139, em 2011: 758 (3 em falta). Duas empresas com mais de 299 trabalhadores excluídos.</w:t>
            </w:r>
          </w:p>
        </w:tc>
      </w:tr>
      <w:tr w:rsidR="00682A88" w:rsidRPr="00CF3673" w:rsidTr="00682A88">
        <w:trPr>
          <w:trHeight w:val="318"/>
        </w:trPr>
        <w:tc>
          <w:tcPr>
            <w:tcW w:w="6678" w:type="dxa"/>
          </w:tcPr>
          <w:p w:rsidR="00682A88" w:rsidRPr="00CF3673" w:rsidRDefault="00682A88" w:rsidP="00682A88">
            <w:pPr>
              <w:pStyle w:val="Tablenote"/>
              <w:rPr>
                <w:b/>
                <w:lang w:val="pt-PT"/>
              </w:rPr>
            </w:pPr>
            <w:r w:rsidRPr="00CF3673">
              <w:rPr>
                <w:b/>
                <w:lang w:val="pt-PT"/>
              </w:rPr>
              <w:lastRenderedPageBreak/>
              <w:t>Fonte:</w:t>
            </w:r>
            <w:r w:rsidRPr="00CF3673">
              <w:rPr>
                <w:lang w:val="pt-PT"/>
              </w:rPr>
              <w:t xml:space="preserve"> Cálculos próprios usando IIM 2012 e DNEAP (2006).</w:t>
            </w:r>
          </w:p>
        </w:tc>
      </w:tr>
    </w:tbl>
    <w:p w:rsidR="00682A88" w:rsidRPr="00CF3673" w:rsidRDefault="00682A88" w:rsidP="00682A88">
      <w:pPr>
        <w:spacing w:after="0" w:line="240" w:lineRule="auto"/>
        <w:jc w:val="center"/>
      </w:pPr>
    </w:p>
    <w:p w:rsidR="00682A88" w:rsidRPr="00CF3673" w:rsidRDefault="00682A88" w:rsidP="00682A88">
      <w:pPr>
        <w:spacing w:after="0"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Dois terços dos investimentos em equipamentos foram relatados como sendo novo , 26% como sendo usado e 7% como sendo uma mistura de novos e usados ​, 19% foram importados </w:t>
      </w:r>
      <w:r w:rsidR="006A4724" w:rsidRPr="00CF3673">
        <w:t>directamente</w:t>
      </w:r>
      <w:r w:rsidRPr="00CF3673">
        <w:t>, 70% feitas no exterior, mas comprados localmente e 11% foi feito localmente , um aumento substancial do que foi encontrado na última pesquisa ( DNEAP , 2006). As empresas que compram máquinas e equipamentos construídos localmente estão concentrados nos sectores de minerais não-metálicos da madeira, mobiliário e, por isso, o moçambicano produzido equipamento é, em essência básica da madeira -trabalho e dispositivos de tomada de tijolo.</w:t>
      </w:r>
    </w:p>
    <w:p w:rsidR="00682A88" w:rsidRPr="00CF3673" w:rsidRDefault="00682A88" w:rsidP="00682A88">
      <w:pPr>
        <w:spacing w:line="360" w:lineRule="auto"/>
        <w:jc w:val="both"/>
      </w:pPr>
      <w:r w:rsidRPr="00CF3673">
        <w:t xml:space="preserve">Figura 5.3 relaciona a percentagem de empresas que indicaram um determinado propósito para seus investimentos. Somando-se a capacidade é o </w:t>
      </w:r>
      <w:r w:rsidR="006A4724" w:rsidRPr="00CF3673">
        <w:t>objectivo</w:t>
      </w:r>
      <w:r w:rsidRPr="00CF3673">
        <w:t xml:space="preserve"> mais comum de investimento declaradas , mencionada por quase 80% das empresas que se investir ; substituir equipamentos antigos é também um propósito comum , mencionada por 29%. Melhorar a qualidade e aumentar a produtividade são cada mencionada como a finalidade para cerca de 50% dos investimentos. Apenas 16% dos investimentos vão para a introdução de novos produtos e apenas 10% a introdução de novas tecnologias . A figura sugere que os investimentos das empresas industriais moçambicanas são voltadas para a melhoria e ampliação de produção existente , em vez de introduzir novos produtos e tecnologias.</w:t>
      </w:r>
    </w:p>
    <w:p w:rsidR="00682A88" w:rsidRPr="00CF3673" w:rsidRDefault="00682A88" w:rsidP="00682A88">
      <w:pPr>
        <w:spacing w:line="360" w:lineRule="auto"/>
        <w:jc w:val="both"/>
      </w:pPr>
    </w:p>
    <w:p w:rsidR="00682A88" w:rsidRPr="00CF3673" w:rsidRDefault="00682A88" w:rsidP="00682A88">
      <w:pPr>
        <w:spacing w:line="360" w:lineRule="auto"/>
        <w:jc w:val="both"/>
        <w:rPr>
          <w:b/>
        </w:rPr>
      </w:pPr>
      <w:r w:rsidRPr="00CF3673">
        <w:rPr>
          <w:b/>
        </w:rPr>
        <w:t xml:space="preserve">Figura 5.3: </w:t>
      </w:r>
      <w:r w:rsidR="006A4724" w:rsidRPr="00CF3673">
        <w:rPr>
          <w:b/>
        </w:rPr>
        <w:t>Objectivo</w:t>
      </w:r>
      <w:r w:rsidRPr="00CF3673">
        <w:rPr>
          <w:b/>
        </w:rPr>
        <w:t xml:space="preserve"> do investimento , </w:t>
      </w:r>
      <w:r w:rsidR="006A4724" w:rsidRPr="00CF3673">
        <w:rPr>
          <w:b/>
        </w:rPr>
        <w:t>%</w:t>
      </w:r>
      <w:r w:rsidRPr="00CF3673">
        <w:rPr>
          <w:b/>
        </w:rPr>
        <w:t>. de investir empresas</w:t>
      </w:r>
    </w:p>
    <w:p w:rsidR="00682A88" w:rsidRPr="00CF3673" w:rsidRDefault="00682A88" w:rsidP="00682A88">
      <w:pPr>
        <w:spacing w:after="0" w:line="240" w:lineRule="auto"/>
        <w:jc w:val="center"/>
      </w:pPr>
      <w:r w:rsidRPr="00CF3673">
        <w:rPr>
          <w:noProof/>
          <w:lang w:val="en-US"/>
        </w:rPr>
        <w:drawing>
          <wp:inline distT="0" distB="0" distL="0" distR="0" wp14:anchorId="415BF5FD" wp14:editId="7FF8B982">
            <wp:extent cx="4572000" cy="2743200"/>
            <wp:effectExtent l="0" t="0" r="19050" b="19050"/>
            <wp:docPr id="32"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bl>
      <w:tblPr>
        <w:tblStyle w:val="SrensTable"/>
        <w:tblpPr w:leftFromText="141" w:rightFromText="141" w:vertAnchor="text" w:horzAnchor="page" w:tblpX="2710" w:tblpY="84"/>
        <w:tblW w:w="7200" w:type="dxa"/>
        <w:tblLook w:val="04A0" w:firstRow="1" w:lastRow="0" w:firstColumn="1" w:lastColumn="0" w:noHBand="0" w:noVBand="1"/>
      </w:tblPr>
      <w:tblGrid>
        <w:gridCol w:w="7200"/>
      </w:tblGrid>
      <w:tr w:rsidR="00682A88" w:rsidRPr="00CF3673" w:rsidTr="00682A88">
        <w:trPr>
          <w:trHeight w:val="318"/>
        </w:trPr>
        <w:tc>
          <w:tcPr>
            <w:tcW w:w="7200" w:type="dxa"/>
          </w:tcPr>
          <w:p w:rsidR="00682A88" w:rsidRPr="00CF3673" w:rsidRDefault="00682A88" w:rsidP="00682A88">
            <w:pPr>
              <w:pStyle w:val="Tablenote"/>
              <w:rPr>
                <w:b/>
                <w:lang w:val="pt-PT"/>
              </w:rPr>
            </w:pPr>
            <w:r w:rsidRPr="00CF3673">
              <w:rPr>
                <w:b/>
                <w:lang w:val="pt-PT"/>
              </w:rPr>
              <w:lastRenderedPageBreak/>
              <w:t>Nota:</w:t>
            </w:r>
            <w:r w:rsidRPr="00CF3673">
              <w:rPr>
                <w:lang w:val="pt-PT"/>
              </w:rPr>
              <w:t xml:space="preserve"> Os percentuais não somam 100 como algumas empresas indicaram mais de uma finalidade. Número de </w:t>
            </w:r>
            <w:r w:rsidR="006A4724" w:rsidRPr="00CF3673">
              <w:rPr>
                <w:lang w:val="pt-PT"/>
              </w:rPr>
              <w:t>observações</w:t>
            </w:r>
            <w:r w:rsidRPr="00CF3673">
              <w:rPr>
                <w:lang w:val="pt-PT"/>
              </w:rPr>
              <w:t>: 365 (apenas as empresas que fizeram investimentos estão incluídos).</w:t>
            </w:r>
          </w:p>
        </w:tc>
      </w:tr>
      <w:tr w:rsidR="00682A88" w:rsidRPr="00CF3673" w:rsidTr="00682A88">
        <w:trPr>
          <w:trHeight w:val="318"/>
        </w:trPr>
        <w:tc>
          <w:tcPr>
            <w:tcW w:w="7200" w:type="dxa"/>
          </w:tcPr>
          <w:p w:rsidR="00682A88" w:rsidRPr="00CF3673" w:rsidRDefault="00682A88" w:rsidP="00C41650">
            <w:pPr>
              <w:pStyle w:val="Tablenote"/>
              <w:rPr>
                <w:b/>
                <w:lang w:val="pt-PT"/>
              </w:rPr>
            </w:pPr>
            <w:r w:rsidRPr="00CF3673">
              <w:rPr>
                <w:b/>
                <w:lang w:val="pt-PT"/>
              </w:rPr>
              <w:t>Fonte:</w:t>
            </w:r>
            <w:r w:rsidRPr="00CF3673">
              <w:rPr>
                <w:lang w:val="pt-PT"/>
              </w:rPr>
              <w:t xml:space="preserve"> Cálculos</w:t>
            </w:r>
            <w:r w:rsidR="00C41650" w:rsidRPr="00CF3673">
              <w:rPr>
                <w:lang w:val="pt-PT"/>
              </w:rPr>
              <w:t xml:space="preserve"> dos autores</w:t>
            </w:r>
            <w:r w:rsidRPr="00CF3673">
              <w:rPr>
                <w:lang w:val="pt-PT"/>
              </w:rPr>
              <w:t xml:space="preserve"> usando IIM 2012.</w:t>
            </w:r>
          </w:p>
        </w:tc>
      </w:tr>
    </w:tbl>
    <w:p w:rsidR="00682A88" w:rsidRPr="00CF3673" w:rsidRDefault="00682A88" w:rsidP="00682A88">
      <w:pPr>
        <w:spacing w:after="0" w:line="240" w:lineRule="auto"/>
        <w:jc w:val="center"/>
      </w:pPr>
    </w:p>
    <w:p w:rsidR="00682A88" w:rsidRPr="00CF3673" w:rsidRDefault="00682A88" w:rsidP="00682A88">
      <w:pPr>
        <w:spacing w:after="0" w:line="240" w:lineRule="auto"/>
        <w:jc w:val="center"/>
      </w:pPr>
    </w:p>
    <w:p w:rsidR="00682A88" w:rsidRPr="00CF3673" w:rsidRDefault="00682A88" w:rsidP="00682A88">
      <w:pPr>
        <w:spacing w:after="0" w:line="240" w:lineRule="auto"/>
        <w:jc w:val="center"/>
      </w:pPr>
    </w:p>
    <w:p w:rsidR="00682A88" w:rsidRPr="00CF3673" w:rsidRDefault="00682A88" w:rsidP="00682A88">
      <w:pPr>
        <w:spacing w:after="0" w:line="240" w:lineRule="auto"/>
        <w:jc w:val="center"/>
      </w:pPr>
    </w:p>
    <w:p w:rsidR="00682A88" w:rsidRPr="00CF3673" w:rsidRDefault="00682A88" w:rsidP="00682A88">
      <w:pPr>
        <w:spacing w:after="0" w:line="240" w:lineRule="auto"/>
        <w:jc w:val="center"/>
      </w:pPr>
    </w:p>
    <w:p w:rsidR="00682A88" w:rsidRPr="00CF3673" w:rsidRDefault="00682A88" w:rsidP="00682A88">
      <w:pPr>
        <w:spacing w:line="360" w:lineRule="auto"/>
        <w:jc w:val="both"/>
      </w:pPr>
      <w:r w:rsidRPr="00CF3673">
        <w:t>Uma das descobertas em DNEAP (2006) era de que as empresas de fabricação de Moçambique , em geral, teve um pouco de máquinas antigas com mais da metade do estoque de máquinas sendo mais de 10 anos de idade. Além disso , a idade das máquinas parecia estar diminuindo de tamanho da empresa, a fim de que as empresas de médio e grande porte tinham equipamento um pouco mais jovem e micro empresas tinham equipamento muito antigo. Curiosamente , encontramos um padrão muito diferente dos dados dos IIM12 como pode ser visto a partir da Tabela 5.2 .</w:t>
      </w:r>
    </w:p>
    <w:p w:rsidR="00682A88" w:rsidRPr="00CF3673" w:rsidRDefault="00682A88" w:rsidP="00682A88">
      <w:pPr>
        <w:spacing w:line="360" w:lineRule="auto"/>
        <w:jc w:val="both"/>
      </w:pPr>
      <w:r w:rsidRPr="00CF3673">
        <w:t>Apenas cerca de 25% do parque total de maquinaria tem mais de 10 anos, e as micro empresas em geral têm equipamentos mais recentes do que as empresas maiores. Ao considerar o painel, no entanto, nós descobrimos que as empresas têm uma média de idade muito maior de máquinas do que a amostra como um todo , o que sugere uma "renovação" mais modesta do parque de máquinas . Evidências sugerem que a "renovação" poderia ser devido a um aumento da presença de máquinas asiáticas (especialmente indiana e chinesa ) de custo competitivo para entrar em linhas de produção de Moçambique nestes anos.</w:t>
      </w:r>
    </w:p>
    <w:p w:rsidR="00682A88" w:rsidRPr="00CF3673" w:rsidRDefault="00682A88" w:rsidP="00682A88">
      <w:pPr>
        <w:spacing w:line="360" w:lineRule="auto"/>
        <w:jc w:val="both"/>
        <w:rPr>
          <w:b/>
        </w:rPr>
      </w:pPr>
      <w:r w:rsidRPr="00CF3673">
        <w:rPr>
          <w:b/>
        </w:rPr>
        <w:t>Tabela 5.2 : Idade das máquinas principais por tipo de empresa , % de empresas</w:t>
      </w:r>
    </w:p>
    <w:tbl>
      <w:tblPr>
        <w:tblStyle w:val="StandardTable"/>
        <w:tblW w:w="0" w:type="auto"/>
        <w:jc w:val="center"/>
        <w:tblLook w:val="04A0" w:firstRow="1" w:lastRow="0" w:firstColumn="1" w:lastColumn="0" w:noHBand="0" w:noVBand="1"/>
      </w:tblPr>
      <w:tblGrid>
        <w:gridCol w:w="930"/>
        <w:gridCol w:w="910"/>
        <w:gridCol w:w="1012"/>
        <w:gridCol w:w="1113"/>
        <w:gridCol w:w="1535"/>
        <w:gridCol w:w="1064"/>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tcBorders>
              <w:bottom w:val="nil"/>
            </w:tcBorders>
            <w:noWrap/>
          </w:tcPr>
          <w:p w:rsidR="00682A88" w:rsidRPr="00CF3673" w:rsidRDefault="00682A88" w:rsidP="00682A88">
            <w:pPr>
              <w:rPr>
                <w:rFonts w:ascii="Calibri" w:eastAsia="Times New Roman" w:hAnsi="Calibri" w:cs="Times New Roman"/>
                <w:lang w:eastAsia="zh-CN"/>
              </w:rPr>
            </w:pPr>
          </w:p>
        </w:tc>
        <w:tc>
          <w:tcPr>
            <w:tcW w:w="0" w:type="auto"/>
            <w:gridSpan w:val="5"/>
            <w:noWrap/>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Idade da maquinaria principal</w:t>
            </w:r>
          </w:p>
        </w:tc>
      </w:tr>
      <w:tr w:rsidR="00682A88" w:rsidRPr="00CF3673" w:rsidTr="00682A88">
        <w:trPr>
          <w:trHeight w:val="300"/>
          <w:jc w:val="center"/>
        </w:trPr>
        <w:tc>
          <w:tcPr>
            <w:tcW w:w="0" w:type="auto"/>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p>
        </w:tc>
        <w:tc>
          <w:tcPr>
            <w:tcW w:w="0" w:type="auto"/>
            <w:tcBorders>
              <w:top w:val="single" w:sz="4" w:space="0" w:color="auto"/>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0-5 anos</w:t>
            </w:r>
          </w:p>
        </w:tc>
        <w:tc>
          <w:tcPr>
            <w:tcW w:w="0" w:type="auto"/>
            <w:tcBorders>
              <w:top w:val="single" w:sz="4" w:space="0" w:color="auto"/>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5-10 anos</w:t>
            </w:r>
          </w:p>
        </w:tc>
        <w:tc>
          <w:tcPr>
            <w:tcW w:w="0" w:type="auto"/>
            <w:tcBorders>
              <w:top w:val="single" w:sz="4" w:space="0" w:color="auto"/>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10-20 anos</w:t>
            </w:r>
          </w:p>
        </w:tc>
        <w:tc>
          <w:tcPr>
            <w:tcW w:w="0" w:type="auto"/>
            <w:tcBorders>
              <w:top w:val="single" w:sz="4" w:space="0" w:color="auto"/>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Mais de 20 anos</w:t>
            </w:r>
          </w:p>
        </w:tc>
        <w:tc>
          <w:tcPr>
            <w:tcW w:w="0" w:type="auto"/>
            <w:tcBorders>
              <w:top w:val="single" w:sz="4" w:space="0" w:color="auto"/>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Nº de obs.</w:t>
            </w:r>
          </w:p>
        </w:tc>
      </w:tr>
      <w:tr w:rsidR="00682A88" w:rsidRPr="00CF3673" w:rsidTr="00682A88">
        <w:trPr>
          <w:trHeight w:val="300"/>
          <w:jc w:val="center"/>
        </w:trPr>
        <w:tc>
          <w:tcPr>
            <w:tcW w:w="0" w:type="auto"/>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 xml:space="preserve">Todas </w:t>
            </w:r>
          </w:p>
        </w:tc>
        <w:tc>
          <w:tcPr>
            <w:tcW w:w="0" w:type="auto"/>
            <w:tcBorders>
              <w:top w:val="single" w:sz="4" w:space="0" w:color="auto"/>
            </w:tcBorders>
            <w:noWrap/>
            <w:hideMark/>
          </w:tcPr>
          <w:p w:rsidR="00682A88" w:rsidRPr="00CF3673" w:rsidRDefault="00682A88" w:rsidP="00682A88">
            <w:pPr>
              <w:jc w:val="center"/>
            </w:pPr>
            <w:r w:rsidRPr="00CF3673">
              <w:t>45.2</w:t>
            </w:r>
          </w:p>
        </w:tc>
        <w:tc>
          <w:tcPr>
            <w:tcW w:w="0" w:type="auto"/>
            <w:tcBorders>
              <w:top w:val="single" w:sz="4" w:space="0" w:color="auto"/>
            </w:tcBorders>
            <w:noWrap/>
            <w:hideMark/>
          </w:tcPr>
          <w:p w:rsidR="00682A88" w:rsidRPr="00CF3673" w:rsidRDefault="00682A88" w:rsidP="00682A88">
            <w:pPr>
              <w:jc w:val="center"/>
            </w:pPr>
            <w:r w:rsidRPr="00CF3673">
              <w:t>28.1</w:t>
            </w:r>
          </w:p>
        </w:tc>
        <w:tc>
          <w:tcPr>
            <w:tcW w:w="0" w:type="auto"/>
            <w:tcBorders>
              <w:top w:val="single" w:sz="4" w:space="0" w:color="auto"/>
            </w:tcBorders>
            <w:noWrap/>
            <w:hideMark/>
          </w:tcPr>
          <w:p w:rsidR="00682A88" w:rsidRPr="00CF3673" w:rsidRDefault="00682A88" w:rsidP="00682A88">
            <w:pPr>
              <w:jc w:val="center"/>
            </w:pPr>
            <w:r w:rsidRPr="00CF3673">
              <w:t>15.3</w:t>
            </w:r>
          </w:p>
        </w:tc>
        <w:tc>
          <w:tcPr>
            <w:tcW w:w="0" w:type="auto"/>
            <w:tcBorders>
              <w:top w:val="single" w:sz="4" w:space="0" w:color="auto"/>
            </w:tcBorders>
            <w:noWrap/>
            <w:hideMark/>
          </w:tcPr>
          <w:p w:rsidR="00682A88" w:rsidRPr="00CF3673" w:rsidRDefault="00682A88" w:rsidP="00682A88">
            <w:pPr>
              <w:jc w:val="center"/>
            </w:pPr>
            <w:r w:rsidRPr="00CF3673">
              <w:t>11.5</w:t>
            </w:r>
          </w:p>
        </w:tc>
        <w:tc>
          <w:tcPr>
            <w:tcW w:w="0" w:type="auto"/>
            <w:tcBorders>
              <w:top w:val="single" w:sz="4" w:space="0" w:color="auto"/>
            </w:tcBorders>
            <w:noWrap/>
            <w:hideMark/>
          </w:tcPr>
          <w:p w:rsidR="00682A88" w:rsidRPr="00CF3673" w:rsidRDefault="00682A88" w:rsidP="00682A88">
            <w:pPr>
              <w:jc w:val="center"/>
            </w:pPr>
            <w:r w:rsidRPr="00CF3673">
              <w:t>751</w:t>
            </w:r>
          </w:p>
        </w:tc>
      </w:tr>
      <w:tr w:rsidR="00682A88" w:rsidRPr="00CF3673" w:rsidTr="00682A88">
        <w:trPr>
          <w:trHeight w:val="300"/>
          <w:jc w:val="center"/>
        </w:trPr>
        <w:tc>
          <w:tcPr>
            <w:tcW w:w="0" w:type="auto"/>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0" w:type="auto"/>
            <w:noWrap/>
            <w:hideMark/>
          </w:tcPr>
          <w:p w:rsidR="00682A88" w:rsidRPr="00CF3673" w:rsidRDefault="00682A88" w:rsidP="00682A88">
            <w:pPr>
              <w:jc w:val="center"/>
            </w:pPr>
            <w:r w:rsidRPr="00CF3673">
              <w:t>47.7</w:t>
            </w:r>
          </w:p>
        </w:tc>
        <w:tc>
          <w:tcPr>
            <w:tcW w:w="0" w:type="auto"/>
            <w:noWrap/>
            <w:hideMark/>
          </w:tcPr>
          <w:p w:rsidR="00682A88" w:rsidRPr="00CF3673" w:rsidRDefault="00682A88" w:rsidP="00682A88">
            <w:pPr>
              <w:jc w:val="center"/>
            </w:pPr>
            <w:r w:rsidRPr="00CF3673">
              <w:t>28.5</w:t>
            </w:r>
          </w:p>
        </w:tc>
        <w:tc>
          <w:tcPr>
            <w:tcW w:w="0" w:type="auto"/>
            <w:noWrap/>
            <w:hideMark/>
          </w:tcPr>
          <w:p w:rsidR="00682A88" w:rsidRPr="00CF3673" w:rsidRDefault="00682A88" w:rsidP="00682A88">
            <w:pPr>
              <w:jc w:val="center"/>
            </w:pPr>
            <w:r w:rsidRPr="00CF3673">
              <w:t>14.0</w:t>
            </w:r>
          </w:p>
        </w:tc>
        <w:tc>
          <w:tcPr>
            <w:tcW w:w="0" w:type="auto"/>
            <w:noWrap/>
            <w:hideMark/>
          </w:tcPr>
          <w:p w:rsidR="00682A88" w:rsidRPr="00CF3673" w:rsidRDefault="00682A88" w:rsidP="00682A88">
            <w:pPr>
              <w:jc w:val="center"/>
            </w:pPr>
            <w:r w:rsidRPr="00CF3673">
              <w:t>9.9</w:t>
            </w:r>
          </w:p>
        </w:tc>
        <w:tc>
          <w:tcPr>
            <w:tcW w:w="0" w:type="auto"/>
            <w:noWrap/>
            <w:hideMark/>
          </w:tcPr>
          <w:p w:rsidR="00682A88" w:rsidRPr="00CF3673" w:rsidRDefault="00682A88" w:rsidP="00682A88">
            <w:pPr>
              <w:jc w:val="center"/>
            </w:pPr>
            <w:r w:rsidRPr="00CF3673">
              <w:t>512</w:t>
            </w:r>
          </w:p>
        </w:tc>
      </w:tr>
      <w:tr w:rsidR="00682A88" w:rsidRPr="00CF3673" w:rsidTr="00682A88">
        <w:trPr>
          <w:trHeight w:val="300"/>
          <w:jc w:val="center"/>
        </w:trPr>
        <w:tc>
          <w:tcPr>
            <w:tcW w:w="0" w:type="auto"/>
            <w:tcBorders>
              <w:bottom w:val="nil"/>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 xml:space="preserve">Pequena </w:t>
            </w:r>
          </w:p>
        </w:tc>
        <w:tc>
          <w:tcPr>
            <w:tcW w:w="0" w:type="auto"/>
            <w:tcBorders>
              <w:bottom w:val="nil"/>
            </w:tcBorders>
            <w:noWrap/>
            <w:hideMark/>
          </w:tcPr>
          <w:p w:rsidR="00682A88" w:rsidRPr="00CF3673" w:rsidRDefault="00682A88" w:rsidP="00682A88">
            <w:pPr>
              <w:jc w:val="center"/>
            </w:pPr>
            <w:r w:rsidRPr="00CF3673">
              <w:t>41.3</w:t>
            </w:r>
          </w:p>
        </w:tc>
        <w:tc>
          <w:tcPr>
            <w:tcW w:w="0" w:type="auto"/>
            <w:tcBorders>
              <w:bottom w:val="nil"/>
            </w:tcBorders>
            <w:noWrap/>
            <w:hideMark/>
          </w:tcPr>
          <w:p w:rsidR="00682A88" w:rsidRPr="00CF3673" w:rsidRDefault="00682A88" w:rsidP="00682A88">
            <w:pPr>
              <w:jc w:val="center"/>
            </w:pPr>
            <w:r w:rsidRPr="00CF3673">
              <w:t>28.5</w:t>
            </w:r>
          </w:p>
        </w:tc>
        <w:tc>
          <w:tcPr>
            <w:tcW w:w="0" w:type="auto"/>
            <w:tcBorders>
              <w:bottom w:val="nil"/>
            </w:tcBorders>
            <w:noWrap/>
            <w:hideMark/>
          </w:tcPr>
          <w:p w:rsidR="00682A88" w:rsidRPr="00CF3673" w:rsidRDefault="00682A88" w:rsidP="00682A88">
            <w:pPr>
              <w:jc w:val="center"/>
            </w:pPr>
            <w:r w:rsidRPr="00CF3673">
              <w:t>16.6</w:t>
            </w:r>
          </w:p>
        </w:tc>
        <w:tc>
          <w:tcPr>
            <w:tcW w:w="0" w:type="auto"/>
            <w:tcBorders>
              <w:bottom w:val="nil"/>
            </w:tcBorders>
            <w:noWrap/>
            <w:hideMark/>
          </w:tcPr>
          <w:p w:rsidR="00682A88" w:rsidRPr="00CF3673" w:rsidRDefault="00682A88" w:rsidP="00682A88">
            <w:pPr>
              <w:jc w:val="center"/>
            </w:pPr>
            <w:r w:rsidRPr="00CF3673">
              <w:t>13.7</w:t>
            </w:r>
          </w:p>
        </w:tc>
        <w:tc>
          <w:tcPr>
            <w:tcW w:w="0" w:type="auto"/>
            <w:tcBorders>
              <w:bottom w:val="nil"/>
            </w:tcBorders>
            <w:noWrap/>
            <w:hideMark/>
          </w:tcPr>
          <w:p w:rsidR="00682A88" w:rsidRPr="00CF3673" w:rsidRDefault="00682A88" w:rsidP="00682A88">
            <w:pPr>
              <w:jc w:val="center"/>
            </w:pPr>
            <w:r w:rsidRPr="00CF3673">
              <w:t>173</w:t>
            </w:r>
          </w:p>
        </w:tc>
      </w:tr>
      <w:tr w:rsidR="00682A88" w:rsidRPr="00CF3673" w:rsidTr="00682A88">
        <w:trPr>
          <w:trHeight w:val="300"/>
          <w:jc w:val="center"/>
        </w:trPr>
        <w:tc>
          <w:tcPr>
            <w:tcW w:w="0" w:type="auto"/>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 xml:space="preserve">Média </w:t>
            </w:r>
          </w:p>
        </w:tc>
        <w:tc>
          <w:tcPr>
            <w:tcW w:w="0" w:type="auto"/>
            <w:tcBorders>
              <w:top w:val="nil"/>
              <w:bottom w:val="single" w:sz="4" w:space="0" w:color="auto"/>
            </w:tcBorders>
            <w:noWrap/>
            <w:hideMark/>
          </w:tcPr>
          <w:p w:rsidR="00682A88" w:rsidRPr="00CF3673" w:rsidRDefault="00682A88" w:rsidP="00682A88">
            <w:pPr>
              <w:jc w:val="center"/>
            </w:pPr>
            <w:r w:rsidRPr="00CF3673">
              <w:t>36.8</w:t>
            </w:r>
          </w:p>
        </w:tc>
        <w:tc>
          <w:tcPr>
            <w:tcW w:w="0" w:type="auto"/>
            <w:tcBorders>
              <w:top w:val="nil"/>
              <w:bottom w:val="single" w:sz="4" w:space="0" w:color="auto"/>
            </w:tcBorders>
            <w:noWrap/>
            <w:hideMark/>
          </w:tcPr>
          <w:p w:rsidR="00682A88" w:rsidRPr="00CF3673" w:rsidRDefault="00682A88" w:rsidP="00682A88">
            <w:pPr>
              <w:jc w:val="center"/>
            </w:pPr>
            <w:r w:rsidRPr="00CF3673">
              <w:t>23.7</w:t>
            </w:r>
          </w:p>
        </w:tc>
        <w:tc>
          <w:tcPr>
            <w:tcW w:w="0" w:type="auto"/>
            <w:tcBorders>
              <w:top w:val="nil"/>
              <w:bottom w:val="single" w:sz="4" w:space="0" w:color="auto"/>
            </w:tcBorders>
            <w:noWrap/>
            <w:hideMark/>
          </w:tcPr>
          <w:p w:rsidR="00682A88" w:rsidRPr="00CF3673" w:rsidRDefault="00682A88" w:rsidP="00682A88">
            <w:pPr>
              <w:jc w:val="center"/>
            </w:pPr>
            <w:r w:rsidRPr="00CF3673">
              <w:t>21.8</w:t>
            </w:r>
          </w:p>
        </w:tc>
        <w:tc>
          <w:tcPr>
            <w:tcW w:w="0" w:type="auto"/>
            <w:tcBorders>
              <w:top w:val="nil"/>
              <w:bottom w:val="single" w:sz="4" w:space="0" w:color="auto"/>
            </w:tcBorders>
            <w:noWrap/>
            <w:hideMark/>
          </w:tcPr>
          <w:p w:rsidR="00682A88" w:rsidRPr="00CF3673" w:rsidRDefault="00682A88" w:rsidP="00682A88">
            <w:pPr>
              <w:jc w:val="center"/>
            </w:pPr>
            <w:r w:rsidRPr="00CF3673">
              <w:t>17.7</w:t>
            </w:r>
          </w:p>
        </w:tc>
        <w:tc>
          <w:tcPr>
            <w:tcW w:w="0" w:type="auto"/>
            <w:tcBorders>
              <w:top w:val="nil"/>
              <w:bottom w:val="single" w:sz="4" w:space="0" w:color="auto"/>
            </w:tcBorders>
            <w:noWrap/>
            <w:hideMark/>
          </w:tcPr>
          <w:p w:rsidR="00682A88" w:rsidRPr="00CF3673" w:rsidRDefault="00682A88" w:rsidP="00682A88">
            <w:pPr>
              <w:jc w:val="center"/>
            </w:pPr>
            <w:r w:rsidRPr="00CF3673">
              <w:t>66</w:t>
            </w:r>
          </w:p>
        </w:tc>
      </w:tr>
      <w:tr w:rsidR="00682A88" w:rsidRPr="00CF3673" w:rsidTr="00682A88">
        <w:trPr>
          <w:trHeight w:val="300"/>
          <w:jc w:val="center"/>
        </w:trPr>
        <w:tc>
          <w:tcPr>
            <w:tcW w:w="0" w:type="auto"/>
            <w:tcBorders>
              <w:top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0" w:type="auto"/>
            <w:tcBorders>
              <w:top w:val="single" w:sz="4" w:space="0" w:color="auto"/>
            </w:tcBorders>
            <w:noWrap/>
            <w:hideMark/>
          </w:tcPr>
          <w:p w:rsidR="00682A88" w:rsidRPr="00CF3673" w:rsidRDefault="00682A88" w:rsidP="00682A88">
            <w:pPr>
              <w:jc w:val="center"/>
            </w:pPr>
            <w:r w:rsidRPr="00CF3673">
              <w:t>50.5</w:t>
            </w:r>
          </w:p>
        </w:tc>
        <w:tc>
          <w:tcPr>
            <w:tcW w:w="0" w:type="auto"/>
            <w:tcBorders>
              <w:top w:val="single" w:sz="4" w:space="0" w:color="auto"/>
            </w:tcBorders>
            <w:noWrap/>
            <w:hideMark/>
          </w:tcPr>
          <w:p w:rsidR="00682A88" w:rsidRPr="00CF3673" w:rsidRDefault="00682A88" w:rsidP="00682A88">
            <w:pPr>
              <w:jc w:val="center"/>
            </w:pPr>
            <w:r w:rsidRPr="00CF3673">
              <w:t>30.4</w:t>
            </w:r>
          </w:p>
        </w:tc>
        <w:tc>
          <w:tcPr>
            <w:tcW w:w="0" w:type="auto"/>
            <w:tcBorders>
              <w:top w:val="single" w:sz="4" w:space="0" w:color="auto"/>
            </w:tcBorders>
            <w:noWrap/>
            <w:hideMark/>
          </w:tcPr>
          <w:p w:rsidR="00682A88" w:rsidRPr="00CF3673" w:rsidRDefault="00682A88" w:rsidP="00682A88">
            <w:pPr>
              <w:jc w:val="center"/>
            </w:pPr>
            <w:r w:rsidRPr="00CF3673">
              <w:t>11.9</w:t>
            </w:r>
          </w:p>
        </w:tc>
        <w:tc>
          <w:tcPr>
            <w:tcW w:w="0" w:type="auto"/>
            <w:tcBorders>
              <w:top w:val="single" w:sz="4" w:space="0" w:color="auto"/>
            </w:tcBorders>
            <w:noWrap/>
            <w:hideMark/>
          </w:tcPr>
          <w:p w:rsidR="00682A88" w:rsidRPr="00CF3673" w:rsidRDefault="00682A88" w:rsidP="00682A88">
            <w:pPr>
              <w:jc w:val="center"/>
            </w:pPr>
            <w:r w:rsidRPr="00CF3673">
              <w:t>7.6</w:t>
            </w:r>
          </w:p>
        </w:tc>
        <w:tc>
          <w:tcPr>
            <w:tcW w:w="0" w:type="auto"/>
            <w:tcBorders>
              <w:top w:val="single" w:sz="4" w:space="0" w:color="auto"/>
            </w:tcBorders>
            <w:noWrap/>
            <w:hideMark/>
          </w:tcPr>
          <w:p w:rsidR="00682A88" w:rsidRPr="00CF3673" w:rsidRDefault="00682A88" w:rsidP="00682A88">
            <w:pPr>
              <w:jc w:val="center"/>
            </w:pPr>
            <w:r w:rsidRPr="00CF3673">
              <w:t>164</w:t>
            </w:r>
          </w:p>
        </w:tc>
      </w:tr>
      <w:tr w:rsidR="00682A88" w:rsidRPr="00CF3673" w:rsidTr="00682A88">
        <w:trPr>
          <w:trHeight w:val="300"/>
          <w:jc w:val="center"/>
        </w:trPr>
        <w:tc>
          <w:tcPr>
            <w:tcW w:w="0" w:type="auto"/>
            <w:tcBorders>
              <w:bottom w:val="doub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Formal</w:t>
            </w:r>
          </w:p>
        </w:tc>
        <w:tc>
          <w:tcPr>
            <w:tcW w:w="0" w:type="auto"/>
            <w:tcBorders>
              <w:bottom w:val="double" w:sz="4" w:space="0" w:color="auto"/>
            </w:tcBorders>
            <w:noWrap/>
            <w:hideMark/>
          </w:tcPr>
          <w:p w:rsidR="00682A88" w:rsidRPr="00CF3673" w:rsidRDefault="00682A88" w:rsidP="00682A88">
            <w:pPr>
              <w:jc w:val="center"/>
            </w:pPr>
            <w:r w:rsidRPr="00CF3673">
              <w:t>43.9</w:t>
            </w:r>
          </w:p>
        </w:tc>
        <w:tc>
          <w:tcPr>
            <w:tcW w:w="0" w:type="auto"/>
            <w:tcBorders>
              <w:bottom w:val="double" w:sz="4" w:space="0" w:color="auto"/>
            </w:tcBorders>
            <w:noWrap/>
            <w:hideMark/>
          </w:tcPr>
          <w:p w:rsidR="00682A88" w:rsidRPr="00CF3673" w:rsidRDefault="00682A88" w:rsidP="00682A88">
            <w:pPr>
              <w:jc w:val="center"/>
            </w:pPr>
            <w:r w:rsidRPr="00CF3673">
              <w:t>27.2</w:t>
            </w:r>
          </w:p>
        </w:tc>
        <w:tc>
          <w:tcPr>
            <w:tcW w:w="0" w:type="auto"/>
            <w:tcBorders>
              <w:bottom w:val="double" w:sz="4" w:space="0" w:color="auto"/>
            </w:tcBorders>
            <w:noWrap/>
            <w:hideMark/>
          </w:tcPr>
          <w:p w:rsidR="00682A88" w:rsidRPr="00CF3673" w:rsidRDefault="00682A88" w:rsidP="00682A88">
            <w:pPr>
              <w:jc w:val="center"/>
            </w:pPr>
            <w:r w:rsidRPr="00CF3673">
              <w:t>16.3</w:t>
            </w:r>
          </w:p>
        </w:tc>
        <w:tc>
          <w:tcPr>
            <w:tcW w:w="0" w:type="auto"/>
            <w:tcBorders>
              <w:bottom w:val="double" w:sz="4" w:space="0" w:color="auto"/>
            </w:tcBorders>
            <w:noWrap/>
            <w:hideMark/>
          </w:tcPr>
          <w:p w:rsidR="00682A88" w:rsidRPr="00CF3673" w:rsidRDefault="00682A88" w:rsidP="00682A88">
            <w:pPr>
              <w:jc w:val="center"/>
            </w:pPr>
            <w:r w:rsidRPr="00CF3673">
              <w:t>12.6</w:t>
            </w:r>
          </w:p>
        </w:tc>
        <w:tc>
          <w:tcPr>
            <w:tcW w:w="0" w:type="auto"/>
            <w:tcBorders>
              <w:bottom w:val="double" w:sz="4" w:space="0" w:color="auto"/>
            </w:tcBorders>
            <w:noWrap/>
            <w:hideMark/>
          </w:tcPr>
          <w:p w:rsidR="00682A88" w:rsidRPr="00CF3673" w:rsidRDefault="00682A88" w:rsidP="00682A88">
            <w:pPr>
              <w:jc w:val="center"/>
            </w:pPr>
            <w:r w:rsidRPr="00CF3673">
              <w:t>585</w:t>
            </w:r>
          </w:p>
        </w:tc>
      </w:tr>
      <w:tr w:rsidR="00682A88" w:rsidRPr="00CF3673" w:rsidTr="00682A88">
        <w:trPr>
          <w:trHeight w:val="300"/>
          <w:jc w:val="center"/>
        </w:trPr>
        <w:tc>
          <w:tcPr>
            <w:tcW w:w="0" w:type="auto"/>
            <w:gridSpan w:val="6"/>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Oito </w:t>
            </w:r>
            <w:r w:rsidR="006A4724" w:rsidRPr="00CF3673">
              <w:rPr>
                <w:lang w:val="pt-PT"/>
              </w:rPr>
              <w:t>observações</w:t>
            </w:r>
            <w:r w:rsidRPr="00CF3673">
              <w:rPr>
                <w:lang w:val="pt-PT"/>
              </w:rPr>
              <w:t xml:space="preserve"> em falta.</w:t>
            </w:r>
          </w:p>
        </w:tc>
      </w:tr>
      <w:tr w:rsidR="00682A88" w:rsidRPr="00CF3673" w:rsidTr="00682A88">
        <w:trPr>
          <w:trHeight w:val="300"/>
          <w:jc w:val="center"/>
        </w:trPr>
        <w:tc>
          <w:tcPr>
            <w:tcW w:w="0" w:type="auto"/>
            <w:gridSpan w:val="6"/>
            <w:tcBorders>
              <w:top w:val="nil"/>
              <w:bottom w:val="nil"/>
            </w:tcBorders>
            <w:noWrap/>
          </w:tcPr>
          <w:p w:rsidR="00682A88" w:rsidRPr="00CF3673" w:rsidRDefault="00682A88" w:rsidP="00682A88">
            <w:pPr>
              <w:pStyle w:val="Tablenote"/>
              <w:rPr>
                <w:b/>
                <w:lang w:val="pt-PT"/>
              </w:rPr>
            </w:pPr>
            <w:r w:rsidRPr="00CF3673">
              <w:rPr>
                <w:b/>
                <w:lang w:val="pt-PT"/>
              </w:rPr>
              <w:t>Fonte:</w:t>
            </w:r>
            <w:r w:rsidRPr="00CF3673">
              <w:rPr>
                <w:lang w:val="pt-PT"/>
              </w:rPr>
              <w:t xml:space="preserve"> Cálculos próprios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pPr>
    </w:p>
    <w:p w:rsidR="00682A88" w:rsidRPr="00CF3673" w:rsidRDefault="00682A88" w:rsidP="00682A88">
      <w:pPr>
        <w:spacing w:line="360" w:lineRule="auto"/>
        <w:jc w:val="both"/>
        <w:rPr>
          <w:b/>
          <w:sz w:val="28"/>
        </w:rPr>
      </w:pPr>
      <w:r w:rsidRPr="00CF3673">
        <w:rPr>
          <w:b/>
          <w:sz w:val="28"/>
        </w:rPr>
        <w:lastRenderedPageBreak/>
        <w:t>6 . Características do proprietário / gerente</w:t>
      </w:r>
    </w:p>
    <w:p w:rsidR="00682A88" w:rsidRPr="00CF3673" w:rsidRDefault="00682A88" w:rsidP="00682A88">
      <w:pPr>
        <w:spacing w:line="360" w:lineRule="auto"/>
        <w:jc w:val="both"/>
      </w:pPr>
      <w:r w:rsidRPr="00CF3673">
        <w:t>O género, etnia, educação e conexões políticas dos proprietários de empresas podem afectar profundamente não só o leque de opções para a empresa, mas também o seu desempenho. Neste capítulo vamos considerar algumas características dos proprietários e gerentes das empresas amostradas.</w:t>
      </w:r>
    </w:p>
    <w:p w:rsidR="00682A88" w:rsidRPr="00CF3673" w:rsidRDefault="00682A88" w:rsidP="00682A88">
      <w:pPr>
        <w:spacing w:line="360" w:lineRule="auto"/>
        <w:jc w:val="both"/>
      </w:pPr>
      <w:r w:rsidRPr="00CF3673">
        <w:t>Tabela 6.1 lista a percentagem de empresas com proprietários e donos de várias etnias do sexo feminino. Cerca de 9% das empresas da amostra têm um proprietário feminino , consideravelmente mais do que os 3,4% encontrada em DNEAP (2006) . As pequenas empresas são mais propensas do que as empresas  micro e médias ter um proprietário feminino e apenas cerca de 5% das empresas estrangeiras têm um proprietário feminino.</w:t>
      </w:r>
    </w:p>
    <w:p w:rsidR="00682A88" w:rsidRPr="00CF3673" w:rsidRDefault="00682A88" w:rsidP="00682A88">
      <w:pPr>
        <w:spacing w:line="360" w:lineRule="auto"/>
        <w:jc w:val="both"/>
        <w:rPr>
          <w:b/>
        </w:rPr>
      </w:pPr>
      <w:r w:rsidRPr="00CF3673">
        <w:rPr>
          <w:b/>
        </w:rPr>
        <w:t>Tabela 6.1 : Género e etnia do proprietário por tipo de empresa , % de empresas</w:t>
      </w:r>
    </w:p>
    <w:tbl>
      <w:tblPr>
        <w:tblStyle w:val="StandardTable"/>
        <w:tblW w:w="0" w:type="auto"/>
        <w:jc w:val="center"/>
        <w:tblInd w:w="-1128" w:type="dxa"/>
        <w:tblLayout w:type="fixed"/>
        <w:tblLook w:val="04E0" w:firstRow="1" w:lastRow="1" w:firstColumn="1" w:lastColumn="0" w:noHBand="0" w:noVBand="1"/>
      </w:tblPr>
      <w:tblGrid>
        <w:gridCol w:w="1167"/>
        <w:gridCol w:w="990"/>
        <w:gridCol w:w="810"/>
        <w:gridCol w:w="990"/>
        <w:gridCol w:w="1170"/>
        <w:gridCol w:w="990"/>
        <w:gridCol w:w="910"/>
        <w:gridCol w:w="1440"/>
        <w:gridCol w:w="1246"/>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1167" w:type="dxa"/>
            <w:noWrap/>
            <w:hideMark/>
          </w:tcPr>
          <w:p w:rsidR="00682A88" w:rsidRPr="00CF3673" w:rsidRDefault="00682A88" w:rsidP="00682A88">
            <w:pPr>
              <w:rPr>
                <w:rFonts w:ascii="Calibri" w:eastAsia="Times New Roman" w:hAnsi="Calibri" w:cs="Calibri"/>
                <w:color w:val="000000"/>
                <w:lang w:eastAsia="zh-CN"/>
              </w:rPr>
            </w:pPr>
          </w:p>
        </w:tc>
        <w:tc>
          <w:tcPr>
            <w:tcW w:w="99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Todas</w:t>
            </w:r>
          </w:p>
        </w:tc>
        <w:tc>
          <w:tcPr>
            <w:tcW w:w="81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99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Pequena </w:t>
            </w:r>
          </w:p>
        </w:tc>
        <w:tc>
          <w:tcPr>
            <w:tcW w:w="117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Média</w:t>
            </w:r>
          </w:p>
        </w:tc>
        <w:tc>
          <w:tcPr>
            <w:tcW w:w="99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Informal</w:t>
            </w:r>
          </w:p>
        </w:tc>
        <w:tc>
          <w:tcPr>
            <w:tcW w:w="91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Times New Roman"/>
                <w:lang w:eastAsia="zh-CN"/>
              </w:rPr>
              <w:t>Formal</w:t>
            </w:r>
          </w:p>
        </w:tc>
        <w:tc>
          <w:tcPr>
            <w:tcW w:w="144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Moçambicana</w:t>
            </w:r>
          </w:p>
        </w:tc>
        <w:tc>
          <w:tcPr>
            <w:tcW w:w="1246"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Estrangeira</w:t>
            </w:r>
          </w:p>
        </w:tc>
      </w:tr>
      <w:tr w:rsidR="00682A88" w:rsidRPr="00CF3673" w:rsidTr="00682A88">
        <w:trPr>
          <w:trHeight w:val="300"/>
          <w:jc w:val="center"/>
        </w:trPr>
        <w:tc>
          <w:tcPr>
            <w:tcW w:w="1167" w:type="dxa"/>
            <w:tcBorders>
              <w:top w:val="single" w:sz="4" w:space="0" w:color="auto"/>
              <w:bottom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Feminino</w:t>
            </w:r>
          </w:p>
        </w:tc>
        <w:tc>
          <w:tcPr>
            <w:tcW w:w="990" w:type="dxa"/>
            <w:tcBorders>
              <w:top w:val="single" w:sz="4" w:space="0" w:color="auto"/>
              <w:bottom w:val="single" w:sz="4" w:space="0" w:color="auto"/>
            </w:tcBorders>
            <w:noWrap/>
            <w:hideMark/>
          </w:tcPr>
          <w:p w:rsidR="00682A88" w:rsidRPr="00CF3673" w:rsidRDefault="00682A88" w:rsidP="00682A88">
            <w:pPr>
              <w:jc w:val="center"/>
            </w:pPr>
            <w:r w:rsidRPr="00CF3673">
              <w:t>9.0</w:t>
            </w:r>
          </w:p>
        </w:tc>
        <w:tc>
          <w:tcPr>
            <w:tcW w:w="810" w:type="dxa"/>
            <w:tcBorders>
              <w:top w:val="single" w:sz="4" w:space="0" w:color="auto"/>
              <w:bottom w:val="single" w:sz="4" w:space="0" w:color="auto"/>
            </w:tcBorders>
            <w:noWrap/>
            <w:hideMark/>
          </w:tcPr>
          <w:p w:rsidR="00682A88" w:rsidRPr="00CF3673" w:rsidRDefault="00682A88" w:rsidP="00682A88">
            <w:pPr>
              <w:jc w:val="center"/>
            </w:pPr>
            <w:r w:rsidRPr="00CF3673">
              <w:t>8.0</w:t>
            </w:r>
          </w:p>
        </w:tc>
        <w:tc>
          <w:tcPr>
            <w:tcW w:w="990" w:type="dxa"/>
            <w:tcBorders>
              <w:top w:val="single" w:sz="4" w:space="0" w:color="auto"/>
              <w:bottom w:val="single" w:sz="4" w:space="0" w:color="auto"/>
            </w:tcBorders>
            <w:noWrap/>
            <w:hideMark/>
          </w:tcPr>
          <w:p w:rsidR="00682A88" w:rsidRPr="00CF3673" w:rsidRDefault="00682A88" w:rsidP="00682A88">
            <w:pPr>
              <w:jc w:val="center"/>
            </w:pPr>
            <w:r w:rsidRPr="00CF3673">
              <w:t>12.0</w:t>
            </w:r>
          </w:p>
        </w:tc>
        <w:tc>
          <w:tcPr>
            <w:tcW w:w="1170" w:type="dxa"/>
            <w:tcBorders>
              <w:top w:val="single" w:sz="4" w:space="0" w:color="auto"/>
              <w:bottom w:val="single" w:sz="4" w:space="0" w:color="auto"/>
            </w:tcBorders>
            <w:noWrap/>
            <w:hideMark/>
          </w:tcPr>
          <w:p w:rsidR="00682A88" w:rsidRPr="00CF3673" w:rsidRDefault="00682A88" w:rsidP="00682A88">
            <w:pPr>
              <w:jc w:val="center"/>
            </w:pPr>
            <w:r w:rsidRPr="00CF3673">
              <w:t>8.2</w:t>
            </w:r>
          </w:p>
        </w:tc>
        <w:tc>
          <w:tcPr>
            <w:tcW w:w="990" w:type="dxa"/>
            <w:tcBorders>
              <w:top w:val="single" w:sz="4" w:space="0" w:color="auto"/>
              <w:bottom w:val="single" w:sz="4" w:space="0" w:color="auto"/>
            </w:tcBorders>
            <w:noWrap/>
            <w:hideMark/>
          </w:tcPr>
          <w:p w:rsidR="00682A88" w:rsidRPr="00CF3673" w:rsidRDefault="00682A88" w:rsidP="00682A88">
            <w:pPr>
              <w:jc w:val="center"/>
            </w:pPr>
            <w:r w:rsidRPr="00CF3673">
              <w:t>7.4</w:t>
            </w:r>
          </w:p>
        </w:tc>
        <w:tc>
          <w:tcPr>
            <w:tcW w:w="910" w:type="dxa"/>
            <w:tcBorders>
              <w:top w:val="single" w:sz="4" w:space="0" w:color="auto"/>
              <w:bottom w:val="single" w:sz="4" w:space="0" w:color="auto"/>
            </w:tcBorders>
            <w:noWrap/>
            <w:hideMark/>
          </w:tcPr>
          <w:p w:rsidR="00682A88" w:rsidRPr="00CF3673" w:rsidRDefault="00682A88" w:rsidP="00682A88">
            <w:pPr>
              <w:jc w:val="center"/>
            </w:pPr>
            <w:r w:rsidRPr="00CF3673">
              <w:t>9.3</w:t>
            </w:r>
          </w:p>
        </w:tc>
        <w:tc>
          <w:tcPr>
            <w:tcW w:w="1440" w:type="dxa"/>
            <w:tcBorders>
              <w:top w:val="single" w:sz="4" w:space="0" w:color="auto"/>
              <w:bottom w:val="single" w:sz="4" w:space="0" w:color="auto"/>
            </w:tcBorders>
            <w:noWrap/>
            <w:hideMark/>
          </w:tcPr>
          <w:p w:rsidR="00682A88" w:rsidRPr="00CF3673" w:rsidRDefault="00682A88" w:rsidP="00682A88">
            <w:pPr>
              <w:jc w:val="center"/>
            </w:pPr>
            <w:r w:rsidRPr="00CF3673">
              <w:t>9.5</w:t>
            </w:r>
          </w:p>
        </w:tc>
        <w:tc>
          <w:tcPr>
            <w:tcW w:w="1246" w:type="dxa"/>
            <w:tcBorders>
              <w:top w:val="single" w:sz="4" w:space="0" w:color="auto"/>
              <w:bottom w:val="single" w:sz="4" w:space="0" w:color="auto"/>
            </w:tcBorders>
            <w:noWrap/>
            <w:hideMark/>
          </w:tcPr>
          <w:p w:rsidR="00682A88" w:rsidRPr="00CF3673" w:rsidRDefault="00682A88" w:rsidP="00682A88">
            <w:pPr>
              <w:jc w:val="center"/>
            </w:pPr>
            <w:r w:rsidRPr="00CF3673">
              <w:t>4.9</w:t>
            </w:r>
          </w:p>
        </w:tc>
      </w:tr>
      <w:tr w:rsidR="00682A88" w:rsidRPr="00CF3673" w:rsidTr="00682A88">
        <w:trPr>
          <w:trHeight w:val="300"/>
          <w:jc w:val="center"/>
        </w:trPr>
        <w:tc>
          <w:tcPr>
            <w:tcW w:w="1167" w:type="dxa"/>
            <w:tcBorders>
              <w:top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Africana</w:t>
            </w:r>
          </w:p>
        </w:tc>
        <w:tc>
          <w:tcPr>
            <w:tcW w:w="990" w:type="dxa"/>
            <w:tcBorders>
              <w:top w:val="single" w:sz="4" w:space="0" w:color="auto"/>
            </w:tcBorders>
            <w:noWrap/>
            <w:hideMark/>
          </w:tcPr>
          <w:p w:rsidR="00682A88" w:rsidRPr="00CF3673" w:rsidRDefault="00682A88" w:rsidP="00682A88">
            <w:pPr>
              <w:jc w:val="center"/>
            </w:pPr>
            <w:r w:rsidRPr="00CF3673">
              <w:t>87.5</w:t>
            </w:r>
          </w:p>
        </w:tc>
        <w:tc>
          <w:tcPr>
            <w:tcW w:w="810" w:type="dxa"/>
            <w:tcBorders>
              <w:top w:val="single" w:sz="4" w:space="0" w:color="auto"/>
            </w:tcBorders>
            <w:noWrap/>
            <w:hideMark/>
          </w:tcPr>
          <w:p w:rsidR="00682A88" w:rsidRPr="00CF3673" w:rsidRDefault="00682A88" w:rsidP="00682A88">
            <w:pPr>
              <w:jc w:val="center"/>
            </w:pPr>
            <w:r w:rsidRPr="00CF3673">
              <w:t>97.3</w:t>
            </w:r>
          </w:p>
        </w:tc>
        <w:tc>
          <w:tcPr>
            <w:tcW w:w="990" w:type="dxa"/>
            <w:tcBorders>
              <w:top w:val="single" w:sz="4" w:space="0" w:color="auto"/>
            </w:tcBorders>
            <w:noWrap/>
            <w:hideMark/>
          </w:tcPr>
          <w:p w:rsidR="00682A88" w:rsidRPr="00CF3673" w:rsidRDefault="00682A88" w:rsidP="00682A88">
            <w:pPr>
              <w:jc w:val="center"/>
            </w:pPr>
            <w:r w:rsidRPr="00CF3673">
              <w:t>73.7</w:t>
            </w:r>
          </w:p>
        </w:tc>
        <w:tc>
          <w:tcPr>
            <w:tcW w:w="1170" w:type="dxa"/>
            <w:tcBorders>
              <w:top w:val="single" w:sz="4" w:space="0" w:color="auto"/>
            </w:tcBorders>
            <w:noWrap/>
            <w:hideMark/>
          </w:tcPr>
          <w:p w:rsidR="00682A88" w:rsidRPr="00CF3673" w:rsidRDefault="00682A88" w:rsidP="00682A88">
            <w:pPr>
              <w:jc w:val="center"/>
            </w:pPr>
            <w:r w:rsidRPr="00CF3673">
              <w:t>45.9</w:t>
            </w:r>
          </w:p>
        </w:tc>
        <w:tc>
          <w:tcPr>
            <w:tcW w:w="990" w:type="dxa"/>
            <w:tcBorders>
              <w:top w:val="single" w:sz="4" w:space="0" w:color="auto"/>
            </w:tcBorders>
            <w:noWrap/>
            <w:hideMark/>
          </w:tcPr>
          <w:p w:rsidR="00682A88" w:rsidRPr="00CF3673" w:rsidRDefault="00682A88" w:rsidP="00682A88">
            <w:pPr>
              <w:jc w:val="center"/>
            </w:pPr>
            <w:r w:rsidRPr="00CF3673">
              <w:t>99.4</w:t>
            </w:r>
          </w:p>
        </w:tc>
        <w:tc>
          <w:tcPr>
            <w:tcW w:w="910" w:type="dxa"/>
            <w:tcBorders>
              <w:top w:val="single" w:sz="4" w:space="0" w:color="auto"/>
            </w:tcBorders>
            <w:noWrap/>
            <w:hideMark/>
          </w:tcPr>
          <w:p w:rsidR="00682A88" w:rsidRPr="00CF3673" w:rsidRDefault="00682A88" w:rsidP="00682A88">
            <w:pPr>
              <w:jc w:val="center"/>
            </w:pPr>
            <w:r w:rsidRPr="00CF3673">
              <w:t>84.2</w:t>
            </w:r>
          </w:p>
        </w:tc>
        <w:tc>
          <w:tcPr>
            <w:tcW w:w="1440" w:type="dxa"/>
            <w:tcBorders>
              <w:top w:val="single" w:sz="4" w:space="0" w:color="auto"/>
            </w:tcBorders>
            <w:noWrap/>
            <w:hideMark/>
          </w:tcPr>
          <w:p w:rsidR="00682A88" w:rsidRPr="00CF3673" w:rsidRDefault="00682A88" w:rsidP="00682A88">
            <w:pPr>
              <w:jc w:val="center"/>
            </w:pPr>
            <w:r w:rsidRPr="00CF3673">
              <w:t>95.0</w:t>
            </w:r>
          </w:p>
        </w:tc>
        <w:tc>
          <w:tcPr>
            <w:tcW w:w="1246" w:type="dxa"/>
            <w:tcBorders>
              <w:top w:val="single" w:sz="4" w:space="0" w:color="auto"/>
            </w:tcBorders>
            <w:noWrap/>
            <w:hideMark/>
          </w:tcPr>
          <w:p w:rsidR="00682A88" w:rsidRPr="00CF3673" w:rsidRDefault="00682A88" w:rsidP="00682A88">
            <w:pPr>
              <w:jc w:val="center"/>
            </w:pPr>
            <w:r w:rsidRPr="00CF3673">
              <w:t>26.8</w:t>
            </w:r>
          </w:p>
        </w:tc>
      </w:tr>
      <w:tr w:rsidR="00682A88" w:rsidRPr="00CF3673" w:rsidTr="00682A88">
        <w:trPr>
          <w:trHeight w:val="300"/>
          <w:jc w:val="center"/>
        </w:trPr>
        <w:tc>
          <w:tcPr>
            <w:tcW w:w="1167"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Europeia</w:t>
            </w:r>
          </w:p>
        </w:tc>
        <w:tc>
          <w:tcPr>
            <w:tcW w:w="990" w:type="dxa"/>
            <w:noWrap/>
            <w:hideMark/>
          </w:tcPr>
          <w:p w:rsidR="00682A88" w:rsidRPr="00CF3673" w:rsidRDefault="00682A88" w:rsidP="00682A88">
            <w:pPr>
              <w:jc w:val="center"/>
            </w:pPr>
            <w:r w:rsidRPr="00CF3673">
              <w:t>6.6</w:t>
            </w:r>
          </w:p>
        </w:tc>
        <w:tc>
          <w:tcPr>
            <w:tcW w:w="810" w:type="dxa"/>
            <w:noWrap/>
            <w:hideMark/>
          </w:tcPr>
          <w:p w:rsidR="00682A88" w:rsidRPr="00CF3673" w:rsidRDefault="00682A88" w:rsidP="00682A88">
            <w:pPr>
              <w:jc w:val="center"/>
            </w:pPr>
            <w:r w:rsidRPr="00CF3673">
              <w:t>1.4</w:t>
            </w:r>
          </w:p>
        </w:tc>
        <w:tc>
          <w:tcPr>
            <w:tcW w:w="990" w:type="dxa"/>
            <w:noWrap/>
            <w:hideMark/>
          </w:tcPr>
          <w:p w:rsidR="00682A88" w:rsidRPr="00CF3673" w:rsidRDefault="00682A88" w:rsidP="00682A88">
            <w:pPr>
              <w:jc w:val="center"/>
            </w:pPr>
            <w:r w:rsidRPr="00CF3673">
              <w:t>16.0</w:t>
            </w:r>
          </w:p>
        </w:tc>
        <w:tc>
          <w:tcPr>
            <w:tcW w:w="1170" w:type="dxa"/>
            <w:noWrap/>
            <w:hideMark/>
          </w:tcPr>
          <w:p w:rsidR="00682A88" w:rsidRPr="00CF3673" w:rsidRDefault="00682A88" w:rsidP="00682A88">
            <w:pPr>
              <w:jc w:val="center"/>
            </w:pPr>
            <w:r w:rsidRPr="00CF3673">
              <w:t>23.0</w:t>
            </w:r>
          </w:p>
        </w:tc>
        <w:tc>
          <w:tcPr>
            <w:tcW w:w="990" w:type="dxa"/>
            <w:noWrap/>
            <w:hideMark/>
          </w:tcPr>
          <w:p w:rsidR="00682A88" w:rsidRPr="00CF3673" w:rsidRDefault="00682A88" w:rsidP="00682A88">
            <w:pPr>
              <w:jc w:val="center"/>
            </w:pPr>
            <w:r w:rsidRPr="00CF3673">
              <w:t>0.6</w:t>
            </w:r>
          </w:p>
        </w:tc>
        <w:tc>
          <w:tcPr>
            <w:tcW w:w="910" w:type="dxa"/>
            <w:noWrap/>
            <w:hideMark/>
          </w:tcPr>
          <w:p w:rsidR="00682A88" w:rsidRPr="00CF3673" w:rsidRDefault="00682A88" w:rsidP="00682A88">
            <w:pPr>
              <w:jc w:val="center"/>
            </w:pPr>
            <w:r w:rsidRPr="00CF3673">
              <w:t>8.2</w:t>
            </w:r>
          </w:p>
        </w:tc>
        <w:tc>
          <w:tcPr>
            <w:tcW w:w="1440" w:type="dxa"/>
            <w:noWrap/>
            <w:hideMark/>
          </w:tcPr>
          <w:p w:rsidR="00682A88" w:rsidRPr="00CF3673" w:rsidRDefault="00682A88" w:rsidP="00682A88">
            <w:pPr>
              <w:jc w:val="center"/>
            </w:pPr>
            <w:r w:rsidRPr="00CF3673">
              <w:t>2.0</w:t>
            </w:r>
          </w:p>
        </w:tc>
        <w:tc>
          <w:tcPr>
            <w:tcW w:w="1246" w:type="dxa"/>
            <w:noWrap/>
            <w:hideMark/>
          </w:tcPr>
          <w:p w:rsidR="00682A88" w:rsidRPr="00CF3673" w:rsidRDefault="00682A88" w:rsidP="00682A88">
            <w:pPr>
              <w:jc w:val="center"/>
            </w:pPr>
            <w:r w:rsidRPr="00CF3673">
              <w:t>43.9</w:t>
            </w:r>
          </w:p>
        </w:tc>
      </w:tr>
      <w:tr w:rsidR="00682A88" w:rsidRPr="00CF3673" w:rsidTr="00682A88">
        <w:trPr>
          <w:trHeight w:val="300"/>
          <w:jc w:val="center"/>
        </w:trPr>
        <w:tc>
          <w:tcPr>
            <w:tcW w:w="1167"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Indiana</w:t>
            </w:r>
          </w:p>
        </w:tc>
        <w:tc>
          <w:tcPr>
            <w:tcW w:w="990" w:type="dxa"/>
            <w:noWrap/>
            <w:hideMark/>
          </w:tcPr>
          <w:p w:rsidR="00682A88" w:rsidRPr="00CF3673" w:rsidRDefault="00682A88" w:rsidP="00682A88">
            <w:pPr>
              <w:jc w:val="center"/>
            </w:pPr>
            <w:r w:rsidRPr="00CF3673">
              <w:t>3.4</w:t>
            </w:r>
          </w:p>
        </w:tc>
        <w:tc>
          <w:tcPr>
            <w:tcW w:w="810" w:type="dxa"/>
            <w:noWrap/>
            <w:hideMark/>
          </w:tcPr>
          <w:p w:rsidR="00682A88" w:rsidRPr="00CF3673" w:rsidRDefault="00682A88" w:rsidP="00682A88">
            <w:pPr>
              <w:jc w:val="center"/>
            </w:pPr>
            <w:r w:rsidRPr="00CF3673">
              <w:t>1.0</w:t>
            </w:r>
          </w:p>
        </w:tc>
        <w:tc>
          <w:tcPr>
            <w:tcW w:w="990" w:type="dxa"/>
            <w:noWrap/>
            <w:hideMark/>
          </w:tcPr>
          <w:p w:rsidR="00682A88" w:rsidRPr="00CF3673" w:rsidRDefault="00682A88" w:rsidP="00682A88">
            <w:pPr>
              <w:jc w:val="center"/>
            </w:pPr>
            <w:r w:rsidRPr="00CF3673">
              <w:t>6.9</w:t>
            </w:r>
          </w:p>
        </w:tc>
        <w:tc>
          <w:tcPr>
            <w:tcW w:w="1170" w:type="dxa"/>
            <w:noWrap/>
            <w:hideMark/>
          </w:tcPr>
          <w:p w:rsidR="00682A88" w:rsidRPr="00CF3673" w:rsidRDefault="00682A88" w:rsidP="00682A88">
            <w:pPr>
              <w:jc w:val="center"/>
            </w:pPr>
            <w:r w:rsidRPr="00CF3673">
              <w:t>13.1</w:t>
            </w:r>
          </w:p>
        </w:tc>
        <w:tc>
          <w:tcPr>
            <w:tcW w:w="990" w:type="dxa"/>
            <w:noWrap/>
            <w:hideMark/>
          </w:tcPr>
          <w:p w:rsidR="00682A88" w:rsidRPr="00CF3673" w:rsidRDefault="00682A88" w:rsidP="00682A88">
            <w:pPr>
              <w:jc w:val="center"/>
            </w:pPr>
            <w:r w:rsidRPr="00CF3673">
              <w:t>0.0</w:t>
            </w:r>
          </w:p>
        </w:tc>
        <w:tc>
          <w:tcPr>
            <w:tcW w:w="910" w:type="dxa"/>
            <w:noWrap/>
            <w:hideMark/>
          </w:tcPr>
          <w:p w:rsidR="00682A88" w:rsidRPr="00CF3673" w:rsidRDefault="00682A88" w:rsidP="00682A88">
            <w:pPr>
              <w:jc w:val="center"/>
            </w:pPr>
            <w:r w:rsidRPr="00CF3673">
              <w:t>4.3</w:t>
            </w:r>
          </w:p>
        </w:tc>
        <w:tc>
          <w:tcPr>
            <w:tcW w:w="1440" w:type="dxa"/>
            <w:noWrap/>
            <w:hideMark/>
          </w:tcPr>
          <w:p w:rsidR="00682A88" w:rsidRPr="00CF3673" w:rsidRDefault="00682A88" w:rsidP="00682A88">
            <w:pPr>
              <w:jc w:val="center"/>
            </w:pPr>
            <w:r w:rsidRPr="00CF3673">
              <w:t>2.0</w:t>
            </w:r>
          </w:p>
        </w:tc>
        <w:tc>
          <w:tcPr>
            <w:tcW w:w="1246" w:type="dxa"/>
            <w:noWrap/>
            <w:hideMark/>
          </w:tcPr>
          <w:p w:rsidR="00682A88" w:rsidRPr="00CF3673" w:rsidRDefault="00682A88" w:rsidP="00682A88">
            <w:pPr>
              <w:jc w:val="center"/>
            </w:pPr>
            <w:r w:rsidRPr="00CF3673">
              <w:t>14.6</w:t>
            </w:r>
          </w:p>
        </w:tc>
      </w:tr>
      <w:tr w:rsidR="00682A88" w:rsidRPr="00CF3673" w:rsidTr="00682A88">
        <w:trPr>
          <w:trHeight w:val="300"/>
          <w:jc w:val="center"/>
        </w:trPr>
        <w:tc>
          <w:tcPr>
            <w:tcW w:w="1167" w:type="dxa"/>
            <w:tcBorders>
              <w:bottom w:val="nil"/>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Asiática</w:t>
            </w:r>
          </w:p>
        </w:tc>
        <w:tc>
          <w:tcPr>
            <w:tcW w:w="990" w:type="dxa"/>
            <w:tcBorders>
              <w:bottom w:val="nil"/>
            </w:tcBorders>
            <w:noWrap/>
            <w:hideMark/>
          </w:tcPr>
          <w:p w:rsidR="00682A88" w:rsidRPr="00CF3673" w:rsidRDefault="00682A88" w:rsidP="00682A88">
            <w:pPr>
              <w:jc w:val="center"/>
            </w:pPr>
            <w:r w:rsidRPr="00CF3673">
              <w:t>2.0</w:t>
            </w:r>
          </w:p>
        </w:tc>
        <w:tc>
          <w:tcPr>
            <w:tcW w:w="810" w:type="dxa"/>
            <w:tcBorders>
              <w:bottom w:val="nil"/>
            </w:tcBorders>
            <w:noWrap/>
            <w:hideMark/>
          </w:tcPr>
          <w:p w:rsidR="00682A88" w:rsidRPr="00CF3673" w:rsidRDefault="00682A88" w:rsidP="00682A88">
            <w:pPr>
              <w:jc w:val="center"/>
            </w:pPr>
            <w:r w:rsidRPr="00CF3673">
              <w:t>0.2</w:t>
            </w:r>
          </w:p>
        </w:tc>
        <w:tc>
          <w:tcPr>
            <w:tcW w:w="990" w:type="dxa"/>
            <w:tcBorders>
              <w:bottom w:val="nil"/>
            </w:tcBorders>
            <w:noWrap/>
            <w:hideMark/>
          </w:tcPr>
          <w:p w:rsidR="00682A88" w:rsidRPr="00CF3673" w:rsidRDefault="00682A88" w:rsidP="00682A88">
            <w:pPr>
              <w:jc w:val="center"/>
            </w:pPr>
            <w:r w:rsidRPr="00CF3673">
              <w:t>3.4</w:t>
            </w:r>
          </w:p>
        </w:tc>
        <w:tc>
          <w:tcPr>
            <w:tcW w:w="1170" w:type="dxa"/>
            <w:tcBorders>
              <w:bottom w:val="nil"/>
            </w:tcBorders>
            <w:noWrap/>
            <w:hideMark/>
          </w:tcPr>
          <w:p w:rsidR="00682A88" w:rsidRPr="00CF3673" w:rsidRDefault="00682A88" w:rsidP="00682A88">
            <w:pPr>
              <w:jc w:val="center"/>
            </w:pPr>
            <w:r w:rsidRPr="00CF3673">
              <w:t>13.1</w:t>
            </w:r>
          </w:p>
        </w:tc>
        <w:tc>
          <w:tcPr>
            <w:tcW w:w="990" w:type="dxa"/>
            <w:tcBorders>
              <w:bottom w:val="nil"/>
            </w:tcBorders>
            <w:noWrap/>
            <w:hideMark/>
          </w:tcPr>
          <w:p w:rsidR="00682A88" w:rsidRPr="00CF3673" w:rsidRDefault="00682A88" w:rsidP="00682A88">
            <w:pPr>
              <w:jc w:val="center"/>
            </w:pPr>
            <w:r w:rsidRPr="00CF3673">
              <w:t>0.0</w:t>
            </w:r>
          </w:p>
        </w:tc>
        <w:tc>
          <w:tcPr>
            <w:tcW w:w="910" w:type="dxa"/>
            <w:tcBorders>
              <w:bottom w:val="nil"/>
            </w:tcBorders>
            <w:noWrap/>
            <w:hideMark/>
          </w:tcPr>
          <w:p w:rsidR="00682A88" w:rsidRPr="00CF3673" w:rsidRDefault="00682A88" w:rsidP="00682A88">
            <w:pPr>
              <w:jc w:val="center"/>
            </w:pPr>
            <w:r w:rsidRPr="00CF3673">
              <w:t>2.6</w:t>
            </w:r>
          </w:p>
        </w:tc>
        <w:tc>
          <w:tcPr>
            <w:tcW w:w="1440" w:type="dxa"/>
            <w:tcBorders>
              <w:bottom w:val="nil"/>
            </w:tcBorders>
            <w:noWrap/>
            <w:hideMark/>
          </w:tcPr>
          <w:p w:rsidR="00682A88" w:rsidRPr="00CF3673" w:rsidRDefault="00682A88" w:rsidP="00682A88">
            <w:pPr>
              <w:jc w:val="center"/>
            </w:pPr>
            <w:r w:rsidRPr="00CF3673">
              <w:t>0.8</w:t>
            </w:r>
          </w:p>
        </w:tc>
        <w:tc>
          <w:tcPr>
            <w:tcW w:w="1246" w:type="dxa"/>
            <w:tcBorders>
              <w:bottom w:val="nil"/>
            </w:tcBorders>
            <w:noWrap/>
            <w:hideMark/>
          </w:tcPr>
          <w:p w:rsidR="00682A88" w:rsidRPr="00CF3673" w:rsidRDefault="00682A88" w:rsidP="00682A88">
            <w:pPr>
              <w:jc w:val="center"/>
            </w:pPr>
            <w:r w:rsidRPr="00CF3673">
              <w:t>12.2</w:t>
            </w:r>
          </w:p>
        </w:tc>
      </w:tr>
      <w:tr w:rsidR="00682A88" w:rsidRPr="00CF3673" w:rsidTr="00682A88">
        <w:trPr>
          <w:trHeight w:val="300"/>
          <w:jc w:val="center"/>
        </w:trPr>
        <w:tc>
          <w:tcPr>
            <w:tcW w:w="1167" w:type="dxa"/>
            <w:tcBorders>
              <w:top w:val="nil"/>
              <w:bottom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Outras</w:t>
            </w:r>
          </w:p>
        </w:tc>
        <w:tc>
          <w:tcPr>
            <w:tcW w:w="990" w:type="dxa"/>
            <w:tcBorders>
              <w:top w:val="nil"/>
              <w:bottom w:val="single" w:sz="4" w:space="0" w:color="auto"/>
            </w:tcBorders>
            <w:noWrap/>
            <w:hideMark/>
          </w:tcPr>
          <w:p w:rsidR="00682A88" w:rsidRPr="00CF3673" w:rsidRDefault="00682A88" w:rsidP="00682A88">
            <w:pPr>
              <w:jc w:val="center"/>
            </w:pPr>
            <w:r w:rsidRPr="00CF3673">
              <w:t>0.5</w:t>
            </w:r>
          </w:p>
        </w:tc>
        <w:tc>
          <w:tcPr>
            <w:tcW w:w="810" w:type="dxa"/>
            <w:tcBorders>
              <w:top w:val="nil"/>
              <w:bottom w:val="single" w:sz="4" w:space="0" w:color="auto"/>
            </w:tcBorders>
            <w:noWrap/>
            <w:hideMark/>
          </w:tcPr>
          <w:p w:rsidR="00682A88" w:rsidRPr="00CF3673" w:rsidRDefault="00682A88" w:rsidP="00682A88">
            <w:pPr>
              <w:jc w:val="center"/>
            </w:pPr>
            <w:r w:rsidRPr="00CF3673">
              <w:t>0.2</w:t>
            </w:r>
          </w:p>
        </w:tc>
        <w:tc>
          <w:tcPr>
            <w:tcW w:w="990" w:type="dxa"/>
            <w:tcBorders>
              <w:top w:val="nil"/>
              <w:bottom w:val="single" w:sz="4" w:space="0" w:color="auto"/>
            </w:tcBorders>
            <w:noWrap/>
            <w:hideMark/>
          </w:tcPr>
          <w:p w:rsidR="00682A88" w:rsidRPr="00CF3673" w:rsidRDefault="00682A88" w:rsidP="00682A88">
            <w:pPr>
              <w:jc w:val="center"/>
            </w:pPr>
            <w:r w:rsidRPr="00CF3673">
              <w:t>0.0</w:t>
            </w:r>
          </w:p>
        </w:tc>
        <w:tc>
          <w:tcPr>
            <w:tcW w:w="1170" w:type="dxa"/>
            <w:tcBorders>
              <w:top w:val="nil"/>
              <w:bottom w:val="single" w:sz="4" w:space="0" w:color="auto"/>
            </w:tcBorders>
            <w:noWrap/>
            <w:hideMark/>
          </w:tcPr>
          <w:p w:rsidR="00682A88" w:rsidRPr="00CF3673" w:rsidRDefault="00682A88" w:rsidP="00682A88">
            <w:pPr>
              <w:jc w:val="center"/>
            </w:pPr>
            <w:r w:rsidRPr="00CF3673">
              <w:t>4.9</w:t>
            </w:r>
          </w:p>
        </w:tc>
        <w:tc>
          <w:tcPr>
            <w:tcW w:w="990" w:type="dxa"/>
            <w:tcBorders>
              <w:top w:val="nil"/>
              <w:bottom w:val="single" w:sz="4" w:space="0" w:color="auto"/>
            </w:tcBorders>
            <w:noWrap/>
            <w:hideMark/>
          </w:tcPr>
          <w:p w:rsidR="00682A88" w:rsidRPr="00CF3673" w:rsidRDefault="00682A88" w:rsidP="00682A88">
            <w:pPr>
              <w:jc w:val="center"/>
            </w:pPr>
            <w:r w:rsidRPr="00CF3673">
              <w:t>0.0</w:t>
            </w:r>
          </w:p>
        </w:tc>
        <w:tc>
          <w:tcPr>
            <w:tcW w:w="910" w:type="dxa"/>
            <w:tcBorders>
              <w:top w:val="nil"/>
              <w:bottom w:val="single" w:sz="4" w:space="0" w:color="auto"/>
            </w:tcBorders>
            <w:noWrap/>
            <w:hideMark/>
          </w:tcPr>
          <w:p w:rsidR="00682A88" w:rsidRPr="00CF3673" w:rsidRDefault="00682A88" w:rsidP="00682A88">
            <w:pPr>
              <w:jc w:val="center"/>
            </w:pPr>
            <w:r w:rsidRPr="00CF3673">
              <w:t>0.7</w:t>
            </w:r>
          </w:p>
        </w:tc>
        <w:tc>
          <w:tcPr>
            <w:tcW w:w="1440" w:type="dxa"/>
            <w:tcBorders>
              <w:top w:val="nil"/>
              <w:bottom w:val="single" w:sz="4" w:space="0" w:color="auto"/>
            </w:tcBorders>
            <w:noWrap/>
            <w:hideMark/>
          </w:tcPr>
          <w:p w:rsidR="00682A88" w:rsidRPr="00CF3673" w:rsidRDefault="00682A88" w:rsidP="00682A88">
            <w:pPr>
              <w:jc w:val="center"/>
            </w:pPr>
            <w:r w:rsidRPr="00CF3673">
              <w:t>0.3</w:t>
            </w:r>
          </w:p>
        </w:tc>
        <w:tc>
          <w:tcPr>
            <w:tcW w:w="1246" w:type="dxa"/>
            <w:tcBorders>
              <w:top w:val="nil"/>
              <w:bottom w:val="single" w:sz="4" w:space="0" w:color="auto"/>
            </w:tcBorders>
            <w:noWrap/>
            <w:hideMark/>
          </w:tcPr>
          <w:p w:rsidR="00682A88" w:rsidRPr="00CF3673" w:rsidRDefault="00682A88" w:rsidP="00682A88">
            <w:pPr>
              <w:jc w:val="center"/>
            </w:pPr>
            <w:r w:rsidRPr="00CF3673">
              <w:t>2.4</w:t>
            </w:r>
          </w:p>
        </w:tc>
      </w:tr>
      <w:tr w:rsidR="00682A88" w:rsidRPr="00CF3673" w:rsidTr="00682A88">
        <w:trPr>
          <w:trHeight w:val="300"/>
          <w:jc w:val="center"/>
        </w:trPr>
        <w:tc>
          <w:tcPr>
            <w:tcW w:w="1167" w:type="dxa"/>
            <w:tcBorders>
              <w:top w:val="single" w:sz="4" w:space="0" w:color="auto"/>
              <w:bottom w:val="doub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Times New Roman"/>
                <w:lang w:eastAsia="zh-CN"/>
              </w:rPr>
              <w:t>Nº de obs.</w:t>
            </w:r>
          </w:p>
        </w:tc>
        <w:tc>
          <w:tcPr>
            <w:tcW w:w="990" w:type="dxa"/>
            <w:tcBorders>
              <w:top w:val="single" w:sz="4" w:space="0" w:color="auto"/>
              <w:bottom w:val="double" w:sz="4" w:space="0" w:color="auto"/>
            </w:tcBorders>
            <w:noWrap/>
            <w:hideMark/>
          </w:tcPr>
          <w:p w:rsidR="00682A88" w:rsidRPr="00CF3673" w:rsidRDefault="00682A88" w:rsidP="00682A88">
            <w:pPr>
              <w:jc w:val="center"/>
            </w:pPr>
            <w:r w:rsidRPr="00CF3673">
              <w:t>746</w:t>
            </w:r>
          </w:p>
        </w:tc>
        <w:tc>
          <w:tcPr>
            <w:tcW w:w="810" w:type="dxa"/>
            <w:tcBorders>
              <w:top w:val="single" w:sz="4" w:space="0" w:color="auto"/>
              <w:bottom w:val="double" w:sz="4" w:space="0" w:color="auto"/>
            </w:tcBorders>
            <w:noWrap/>
            <w:hideMark/>
          </w:tcPr>
          <w:p w:rsidR="00682A88" w:rsidRPr="00CF3673" w:rsidRDefault="00682A88" w:rsidP="00682A88">
            <w:pPr>
              <w:jc w:val="center"/>
            </w:pPr>
            <w:r w:rsidRPr="00CF3673">
              <w:t>510</w:t>
            </w:r>
          </w:p>
        </w:tc>
        <w:tc>
          <w:tcPr>
            <w:tcW w:w="990" w:type="dxa"/>
            <w:tcBorders>
              <w:top w:val="single" w:sz="4" w:space="0" w:color="auto"/>
              <w:bottom w:val="double" w:sz="4" w:space="0" w:color="auto"/>
            </w:tcBorders>
            <w:noWrap/>
            <w:hideMark/>
          </w:tcPr>
          <w:p w:rsidR="00682A88" w:rsidRPr="00CF3673" w:rsidRDefault="00682A88" w:rsidP="00682A88">
            <w:pPr>
              <w:jc w:val="center"/>
            </w:pPr>
            <w:r w:rsidRPr="00CF3673">
              <w:t>175</w:t>
            </w:r>
          </w:p>
        </w:tc>
        <w:tc>
          <w:tcPr>
            <w:tcW w:w="1170" w:type="dxa"/>
            <w:tcBorders>
              <w:top w:val="single" w:sz="4" w:space="0" w:color="auto"/>
              <w:bottom w:val="double" w:sz="4" w:space="0" w:color="auto"/>
            </w:tcBorders>
            <w:noWrap/>
            <w:hideMark/>
          </w:tcPr>
          <w:p w:rsidR="00682A88" w:rsidRPr="00CF3673" w:rsidRDefault="00682A88" w:rsidP="00682A88">
            <w:pPr>
              <w:jc w:val="center"/>
            </w:pPr>
            <w:r w:rsidRPr="00CF3673">
              <w:t>61</w:t>
            </w:r>
          </w:p>
        </w:tc>
        <w:tc>
          <w:tcPr>
            <w:tcW w:w="990" w:type="dxa"/>
            <w:tcBorders>
              <w:top w:val="single" w:sz="4" w:space="0" w:color="auto"/>
              <w:bottom w:val="double" w:sz="4" w:space="0" w:color="auto"/>
            </w:tcBorders>
            <w:noWrap/>
            <w:hideMark/>
          </w:tcPr>
          <w:p w:rsidR="00682A88" w:rsidRPr="00CF3673" w:rsidRDefault="00682A88" w:rsidP="00682A88">
            <w:pPr>
              <w:jc w:val="center"/>
            </w:pPr>
            <w:r w:rsidRPr="00CF3673">
              <w:t>162</w:t>
            </w:r>
          </w:p>
        </w:tc>
        <w:tc>
          <w:tcPr>
            <w:tcW w:w="910" w:type="dxa"/>
            <w:tcBorders>
              <w:top w:val="single" w:sz="4" w:space="0" w:color="auto"/>
              <w:bottom w:val="double" w:sz="4" w:space="0" w:color="auto"/>
            </w:tcBorders>
            <w:noWrap/>
            <w:hideMark/>
          </w:tcPr>
          <w:p w:rsidR="00682A88" w:rsidRPr="00CF3673" w:rsidRDefault="00682A88" w:rsidP="00682A88">
            <w:pPr>
              <w:jc w:val="center"/>
            </w:pPr>
            <w:r w:rsidRPr="00CF3673">
              <w:t>582</w:t>
            </w:r>
          </w:p>
        </w:tc>
        <w:tc>
          <w:tcPr>
            <w:tcW w:w="1440" w:type="dxa"/>
            <w:tcBorders>
              <w:top w:val="single" w:sz="4" w:space="0" w:color="auto"/>
              <w:bottom w:val="double" w:sz="4" w:space="0" w:color="auto"/>
            </w:tcBorders>
            <w:noWrap/>
            <w:hideMark/>
          </w:tcPr>
          <w:p w:rsidR="00682A88" w:rsidRPr="00CF3673" w:rsidRDefault="00682A88" w:rsidP="00682A88">
            <w:pPr>
              <w:jc w:val="center"/>
            </w:pPr>
            <w:r w:rsidRPr="00CF3673">
              <w:t>664</w:t>
            </w:r>
          </w:p>
        </w:tc>
        <w:tc>
          <w:tcPr>
            <w:tcW w:w="1246" w:type="dxa"/>
            <w:tcBorders>
              <w:top w:val="single" w:sz="4" w:space="0" w:color="auto"/>
              <w:bottom w:val="double" w:sz="4" w:space="0" w:color="auto"/>
            </w:tcBorders>
            <w:noWrap/>
            <w:hideMark/>
          </w:tcPr>
          <w:p w:rsidR="00682A88" w:rsidRPr="00CF3673" w:rsidRDefault="00682A88" w:rsidP="00682A88">
            <w:pPr>
              <w:jc w:val="center"/>
            </w:pPr>
            <w:r w:rsidRPr="00CF3673">
              <w:t>82</w:t>
            </w:r>
          </w:p>
        </w:tc>
      </w:tr>
      <w:tr w:rsidR="00682A88" w:rsidRPr="00CF3673" w:rsidTr="00682A88">
        <w:trPr>
          <w:trHeight w:val="300"/>
          <w:jc w:val="center"/>
        </w:trPr>
        <w:tc>
          <w:tcPr>
            <w:tcW w:w="9713" w:type="dxa"/>
            <w:gridSpan w:val="9"/>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Quinze </w:t>
            </w:r>
            <w:r w:rsidR="006A4724" w:rsidRPr="00CF3673">
              <w:rPr>
                <w:lang w:val="pt-PT"/>
              </w:rPr>
              <w:t>observações</w:t>
            </w:r>
            <w:r w:rsidRPr="00CF3673">
              <w:rPr>
                <w:lang w:val="pt-PT"/>
              </w:rPr>
              <w:t xml:space="preserve"> em falta.</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jc w:val="center"/>
        </w:trPr>
        <w:tc>
          <w:tcPr>
            <w:tcW w:w="9713" w:type="dxa"/>
            <w:gridSpan w:val="9"/>
            <w:tcBorders>
              <w:top w:val="nil"/>
              <w:bottom w:val="nil"/>
            </w:tcBorders>
            <w:noWrap/>
          </w:tcPr>
          <w:p w:rsidR="00682A88" w:rsidRPr="00CF3673" w:rsidRDefault="00682A88" w:rsidP="00682A88">
            <w:pPr>
              <w:pStyle w:val="Tablenote"/>
              <w:rPr>
                <w:b/>
                <w:lang w:val="pt-PT"/>
              </w:rPr>
            </w:pPr>
            <w:r w:rsidRPr="00CF3673">
              <w:rPr>
                <w:b/>
                <w:lang w:val="pt-PT"/>
              </w:rPr>
              <w:t>Fonte:</w:t>
            </w:r>
            <w:r w:rsidRPr="00CF3673">
              <w:rPr>
                <w:lang w:val="pt-PT"/>
              </w:rPr>
              <w:t xml:space="preserve"> Cálculos próprios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Cerca de 7% das empresas da amostra têm um dono de etnia </w:t>
      </w:r>
      <w:r w:rsidR="006A4724" w:rsidRPr="00CF3673">
        <w:t>europeia</w:t>
      </w:r>
      <w:r w:rsidRPr="00CF3673">
        <w:t xml:space="preserve"> , 3% afirma ter um dono de etnia indiana e 2% ter um dono de etnia "outro asiático ". As grandes empresas são mais propensos a ter um dono de etnia não- Africana, menos de metade dos proprietários de negócios de empresas de médio porte são de etnia Africana. As empresas informais são quase exclusivamente de propriedade de pessoas de etnia Africana. Sem surpresa, a grande maioria das empresas de capital estrangeiro tem um dono de etnia não- Africana. Empresários de outras etnias ( que podem ser estrangeiros e minorias) são mais propensos a ser gerentes de negócios maiores, provavelmente porque estes representam oportunidades de negócios mais rentáveis.</w:t>
      </w:r>
    </w:p>
    <w:p w:rsidR="00682A88" w:rsidRPr="00CF3673" w:rsidRDefault="00C41650" w:rsidP="00682A88">
      <w:pPr>
        <w:spacing w:line="360" w:lineRule="auto"/>
        <w:jc w:val="both"/>
      </w:pPr>
      <w:r w:rsidRPr="00CF3673">
        <w:t xml:space="preserve">A tabela 6.2 considera o nível de educação dos gestores, que muitas vezes não considerado como </w:t>
      </w:r>
      <w:r w:rsidR="006A4724" w:rsidRPr="00CF3673">
        <w:t>elemento</w:t>
      </w:r>
      <w:r w:rsidRPr="00CF3673">
        <w:t xml:space="preserve"> fundamental na </w:t>
      </w:r>
      <w:r w:rsidR="006A4724" w:rsidRPr="00CF3673">
        <w:t>habilidade</w:t>
      </w:r>
      <w:r w:rsidRPr="00CF3673">
        <w:t xml:space="preserve"> de Gestão.</w:t>
      </w:r>
      <w:r w:rsidR="00682A88" w:rsidRPr="00CF3673">
        <w:t xml:space="preserve"> As grandes empresas são muito mais propensas a ser geridas por uma pessoa com formação universitária - mais da metade das empresas de médio porte têm gestores com </w:t>
      </w:r>
      <w:r w:rsidR="00682A88" w:rsidRPr="00CF3673">
        <w:lastRenderedPageBreak/>
        <w:t>formação universitária. Na mesma linha , as empresas formais e estrangeiras são , em média, geridos por gestores muito melhor educadas do que as empresas informais e moçambicana de propriedade . Comparando os números com os resultados da última pesquisa DNEAP ( DNEAP06 ) , os níveis de educação são um pouco para os gestores de micro , pequenas e médias empresas.</w:t>
      </w:r>
    </w:p>
    <w:p w:rsidR="00682A88" w:rsidRPr="00CF3673" w:rsidRDefault="00682A88" w:rsidP="00682A88">
      <w:pPr>
        <w:spacing w:line="360" w:lineRule="auto"/>
        <w:jc w:val="both"/>
        <w:rPr>
          <w:b/>
        </w:rPr>
      </w:pPr>
      <w:r w:rsidRPr="00CF3673">
        <w:rPr>
          <w:b/>
        </w:rPr>
        <w:t>Tabela 6.2: Nível de educação do gerente por tipo de empresa , %. de empresas</w:t>
      </w:r>
    </w:p>
    <w:tbl>
      <w:tblPr>
        <w:tblStyle w:val="StandardTable"/>
        <w:tblW w:w="0" w:type="auto"/>
        <w:jc w:val="center"/>
        <w:tblInd w:w="-681" w:type="dxa"/>
        <w:tblLayout w:type="fixed"/>
        <w:tblLook w:val="04E0" w:firstRow="1" w:lastRow="1" w:firstColumn="1" w:lastColumn="0" w:noHBand="0" w:noVBand="1"/>
      </w:tblPr>
      <w:tblGrid>
        <w:gridCol w:w="1720"/>
        <w:gridCol w:w="720"/>
        <w:gridCol w:w="900"/>
        <w:gridCol w:w="990"/>
        <w:gridCol w:w="830"/>
        <w:gridCol w:w="910"/>
        <w:gridCol w:w="785"/>
        <w:gridCol w:w="1435"/>
        <w:gridCol w:w="1269"/>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1720" w:type="dxa"/>
            <w:noWrap/>
            <w:hideMark/>
          </w:tcPr>
          <w:p w:rsidR="00682A88" w:rsidRPr="00CF3673" w:rsidRDefault="00682A88" w:rsidP="00682A88">
            <w:pPr>
              <w:rPr>
                <w:rFonts w:ascii="Calibri" w:eastAsia="Times New Roman" w:hAnsi="Calibri" w:cs="Calibri"/>
                <w:color w:val="000000"/>
                <w:lang w:eastAsia="zh-CN"/>
              </w:rPr>
            </w:pPr>
          </w:p>
        </w:tc>
        <w:tc>
          <w:tcPr>
            <w:tcW w:w="72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Todas </w:t>
            </w:r>
          </w:p>
        </w:tc>
        <w:tc>
          <w:tcPr>
            <w:tcW w:w="90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99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Pequena</w:t>
            </w:r>
          </w:p>
        </w:tc>
        <w:tc>
          <w:tcPr>
            <w:tcW w:w="83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Média</w:t>
            </w:r>
          </w:p>
        </w:tc>
        <w:tc>
          <w:tcPr>
            <w:tcW w:w="91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Informal</w:t>
            </w:r>
          </w:p>
        </w:tc>
        <w:tc>
          <w:tcPr>
            <w:tcW w:w="785"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Times New Roman"/>
                <w:lang w:eastAsia="zh-CN"/>
              </w:rPr>
              <w:t>Formal</w:t>
            </w:r>
          </w:p>
        </w:tc>
        <w:tc>
          <w:tcPr>
            <w:tcW w:w="1435"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Moçambicana</w:t>
            </w:r>
          </w:p>
        </w:tc>
        <w:tc>
          <w:tcPr>
            <w:tcW w:w="1269"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Estrangeira</w:t>
            </w:r>
          </w:p>
        </w:tc>
      </w:tr>
      <w:tr w:rsidR="00682A88" w:rsidRPr="00CF3673" w:rsidTr="00682A88">
        <w:trPr>
          <w:trHeight w:val="300"/>
          <w:jc w:val="center"/>
        </w:trPr>
        <w:tc>
          <w:tcPr>
            <w:tcW w:w="1720" w:type="dxa"/>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Ensino Universitário</w:t>
            </w:r>
          </w:p>
        </w:tc>
        <w:tc>
          <w:tcPr>
            <w:tcW w:w="720" w:type="dxa"/>
            <w:noWrap/>
            <w:hideMark/>
          </w:tcPr>
          <w:p w:rsidR="00682A88" w:rsidRPr="00CF3673" w:rsidRDefault="00682A88" w:rsidP="00682A88">
            <w:pPr>
              <w:jc w:val="center"/>
            </w:pPr>
            <w:r w:rsidRPr="00CF3673">
              <w:t>15.7</w:t>
            </w:r>
          </w:p>
        </w:tc>
        <w:tc>
          <w:tcPr>
            <w:tcW w:w="900" w:type="dxa"/>
            <w:noWrap/>
            <w:hideMark/>
          </w:tcPr>
          <w:p w:rsidR="00682A88" w:rsidRPr="00CF3673" w:rsidRDefault="00682A88" w:rsidP="00682A88">
            <w:pPr>
              <w:jc w:val="center"/>
            </w:pPr>
            <w:r w:rsidRPr="00CF3673">
              <w:t>5.7</w:t>
            </w:r>
          </w:p>
        </w:tc>
        <w:tc>
          <w:tcPr>
            <w:tcW w:w="990" w:type="dxa"/>
            <w:noWrap/>
            <w:hideMark/>
          </w:tcPr>
          <w:p w:rsidR="00682A88" w:rsidRPr="00CF3673" w:rsidRDefault="00682A88" w:rsidP="00682A88">
            <w:pPr>
              <w:jc w:val="center"/>
            </w:pPr>
            <w:r w:rsidRPr="00CF3673">
              <w:t>31.3</w:t>
            </w:r>
          </w:p>
        </w:tc>
        <w:tc>
          <w:tcPr>
            <w:tcW w:w="830" w:type="dxa"/>
            <w:noWrap/>
            <w:hideMark/>
          </w:tcPr>
          <w:p w:rsidR="00682A88" w:rsidRPr="00CF3673" w:rsidRDefault="00682A88" w:rsidP="00682A88">
            <w:pPr>
              <w:jc w:val="center"/>
            </w:pPr>
            <w:r w:rsidRPr="00CF3673">
              <w:t>54.1</w:t>
            </w:r>
          </w:p>
        </w:tc>
        <w:tc>
          <w:tcPr>
            <w:tcW w:w="910" w:type="dxa"/>
            <w:noWrap/>
            <w:hideMark/>
          </w:tcPr>
          <w:p w:rsidR="00682A88" w:rsidRPr="00CF3673" w:rsidRDefault="00682A88" w:rsidP="00682A88">
            <w:pPr>
              <w:jc w:val="center"/>
            </w:pPr>
            <w:r w:rsidRPr="00CF3673">
              <w:t>1.9</w:t>
            </w:r>
          </w:p>
        </w:tc>
        <w:tc>
          <w:tcPr>
            <w:tcW w:w="785" w:type="dxa"/>
            <w:noWrap/>
            <w:hideMark/>
          </w:tcPr>
          <w:p w:rsidR="00682A88" w:rsidRPr="00CF3673" w:rsidRDefault="00682A88" w:rsidP="00682A88">
            <w:pPr>
              <w:jc w:val="center"/>
            </w:pPr>
            <w:r w:rsidRPr="00CF3673">
              <w:t>19.2</w:t>
            </w:r>
          </w:p>
        </w:tc>
        <w:tc>
          <w:tcPr>
            <w:tcW w:w="1435" w:type="dxa"/>
            <w:noWrap/>
            <w:hideMark/>
          </w:tcPr>
          <w:p w:rsidR="00682A88" w:rsidRPr="00CF3673" w:rsidRDefault="00682A88" w:rsidP="00682A88">
            <w:pPr>
              <w:jc w:val="center"/>
            </w:pPr>
            <w:r w:rsidRPr="00CF3673">
              <w:t>11.6</w:t>
            </w:r>
          </w:p>
        </w:tc>
        <w:tc>
          <w:tcPr>
            <w:tcW w:w="1269" w:type="dxa"/>
            <w:noWrap/>
            <w:hideMark/>
          </w:tcPr>
          <w:p w:rsidR="00682A88" w:rsidRPr="00CF3673" w:rsidRDefault="00682A88" w:rsidP="00682A88">
            <w:pPr>
              <w:jc w:val="center"/>
            </w:pPr>
            <w:r w:rsidRPr="00CF3673">
              <w:t>48.7</w:t>
            </w:r>
          </w:p>
        </w:tc>
      </w:tr>
      <w:tr w:rsidR="00682A88" w:rsidRPr="00CF3673" w:rsidTr="00682A88">
        <w:trPr>
          <w:trHeight w:val="300"/>
          <w:jc w:val="center"/>
        </w:trPr>
        <w:tc>
          <w:tcPr>
            <w:tcW w:w="1720" w:type="dxa"/>
            <w:noWrap/>
            <w:hideMark/>
          </w:tcPr>
          <w:p w:rsidR="00682A88" w:rsidRPr="00CF3673" w:rsidRDefault="00682A88" w:rsidP="00682A88">
            <w:pPr>
              <w:rPr>
                <w:rFonts w:ascii="Calibri" w:eastAsia="Times New Roman" w:hAnsi="Calibri" w:cs="Times New Roman"/>
                <w:lang w:eastAsia="zh-CN"/>
              </w:rPr>
            </w:pPr>
            <w:r w:rsidRPr="00CF3673">
              <w:rPr>
                <w:szCs w:val="20"/>
              </w:rPr>
              <w:t>Ensino Médio</w:t>
            </w:r>
          </w:p>
        </w:tc>
        <w:tc>
          <w:tcPr>
            <w:tcW w:w="720" w:type="dxa"/>
            <w:noWrap/>
            <w:hideMark/>
          </w:tcPr>
          <w:p w:rsidR="00682A88" w:rsidRPr="00CF3673" w:rsidRDefault="00682A88" w:rsidP="00682A88">
            <w:pPr>
              <w:jc w:val="center"/>
            </w:pPr>
            <w:r w:rsidRPr="00CF3673">
              <w:t>27.7</w:t>
            </w:r>
          </w:p>
        </w:tc>
        <w:tc>
          <w:tcPr>
            <w:tcW w:w="900" w:type="dxa"/>
            <w:noWrap/>
            <w:hideMark/>
          </w:tcPr>
          <w:p w:rsidR="00682A88" w:rsidRPr="00CF3673" w:rsidRDefault="00682A88" w:rsidP="00682A88">
            <w:pPr>
              <w:jc w:val="center"/>
            </w:pPr>
            <w:r w:rsidRPr="00CF3673">
              <w:t>23.6</w:t>
            </w:r>
          </w:p>
        </w:tc>
        <w:tc>
          <w:tcPr>
            <w:tcW w:w="990" w:type="dxa"/>
            <w:noWrap/>
            <w:hideMark/>
          </w:tcPr>
          <w:p w:rsidR="00682A88" w:rsidRPr="00CF3673" w:rsidRDefault="00682A88" w:rsidP="00682A88">
            <w:pPr>
              <w:jc w:val="center"/>
            </w:pPr>
            <w:r w:rsidRPr="00CF3673">
              <w:t>36.7</w:t>
            </w:r>
          </w:p>
        </w:tc>
        <w:tc>
          <w:tcPr>
            <w:tcW w:w="830" w:type="dxa"/>
            <w:noWrap/>
            <w:hideMark/>
          </w:tcPr>
          <w:p w:rsidR="00682A88" w:rsidRPr="00CF3673" w:rsidRDefault="00682A88" w:rsidP="00682A88">
            <w:pPr>
              <w:jc w:val="center"/>
            </w:pPr>
            <w:r w:rsidRPr="00CF3673">
              <w:t>36.1</w:t>
            </w:r>
          </w:p>
        </w:tc>
        <w:tc>
          <w:tcPr>
            <w:tcW w:w="910" w:type="dxa"/>
            <w:noWrap/>
            <w:hideMark/>
          </w:tcPr>
          <w:p w:rsidR="00682A88" w:rsidRPr="00CF3673" w:rsidRDefault="00682A88" w:rsidP="00682A88">
            <w:pPr>
              <w:jc w:val="center"/>
            </w:pPr>
            <w:r w:rsidRPr="00CF3673">
              <w:t>19.7</w:t>
            </w:r>
          </w:p>
        </w:tc>
        <w:tc>
          <w:tcPr>
            <w:tcW w:w="785" w:type="dxa"/>
            <w:noWrap/>
            <w:hideMark/>
          </w:tcPr>
          <w:p w:rsidR="00682A88" w:rsidRPr="00CF3673" w:rsidRDefault="00682A88" w:rsidP="00682A88">
            <w:pPr>
              <w:jc w:val="center"/>
            </w:pPr>
            <w:r w:rsidRPr="00CF3673">
              <w:t>30.0</w:t>
            </w:r>
          </w:p>
        </w:tc>
        <w:tc>
          <w:tcPr>
            <w:tcW w:w="1435" w:type="dxa"/>
            <w:noWrap/>
            <w:hideMark/>
          </w:tcPr>
          <w:p w:rsidR="00682A88" w:rsidRPr="00CF3673" w:rsidRDefault="00682A88" w:rsidP="00682A88">
            <w:pPr>
              <w:jc w:val="center"/>
            </w:pPr>
            <w:r w:rsidRPr="00CF3673">
              <w:t>26.7</w:t>
            </w:r>
          </w:p>
        </w:tc>
        <w:tc>
          <w:tcPr>
            <w:tcW w:w="1269" w:type="dxa"/>
            <w:noWrap/>
            <w:hideMark/>
          </w:tcPr>
          <w:p w:rsidR="00682A88" w:rsidRPr="00CF3673" w:rsidRDefault="00682A88" w:rsidP="00682A88">
            <w:pPr>
              <w:jc w:val="center"/>
            </w:pPr>
            <w:r w:rsidRPr="00CF3673">
              <w:t>36.8</w:t>
            </w:r>
          </w:p>
        </w:tc>
      </w:tr>
      <w:tr w:rsidR="00682A88" w:rsidRPr="00CF3673" w:rsidTr="00682A88">
        <w:trPr>
          <w:trHeight w:val="300"/>
          <w:jc w:val="center"/>
        </w:trPr>
        <w:tc>
          <w:tcPr>
            <w:tcW w:w="1720" w:type="dxa"/>
            <w:noWrap/>
            <w:hideMark/>
          </w:tcPr>
          <w:p w:rsidR="00682A88" w:rsidRPr="00CF3673" w:rsidRDefault="00682A88" w:rsidP="00682A88">
            <w:pPr>
              <w:rPr>
                <w:rFonts w:ascii="Calibri" w:eastAsia="Times New Roman" w:hAnsi="Calibri" w:cs="Times New Roman"/>
                <w:lang w:eastAsia="zh-CN"/>
              </w:rPr>
            </w:pPr>
            <w:r w:rsidRPr="00CF3673">
              <w:rPr>
                <w:szCs w:val="20"/>
              </w:rPr>
              <w:t xml:space="preserve">Secundário </w:t>
            </w:r>
          </w:p>
        </w:tc>
        <w:tc>
          <w:tcPr>
            <w:tcW w:w="720" w:type="dxa"/>
            <w:noWrap/>
            <w:hideMark/>
          </w:tcPr>
          <w:p w:rsidR="00682A88" w:rsidRPr="00CF3673" w:rsidRDefault="00682A88" w:rsidP="00682A88">
            <w:pPr>
              <w:jc w:val="center"/>
            </w:pPr>
            <w:r w:rsidRPr="00CF3673">
              <w:t>21.7</w:t>
            </w:r>
          </w:p>
        </w:tc>
        <w:tc>
          <w:tcPr>
            <w:tcW w:w="900" w:type="dxa"/>
            <w:noWrap/>
            <w:hideMark/>
          </w:tcPr>
          <w:p w:rsidR="00682A88" w:rsidRPr="00CF3673" w:rsidRDefault="00682A88" w:rsidP="00682A88">
            <w:pPr>
              <w:jc w:val="center"/>
            </w:pPr>
            <w:r w:rsidRPr="00CF3673">
              <w:t>27.1</w:t>
            </w:r>
          </w:p>
        </w:tc>
        <w:tc>
          <w:tcPr>
            <w:tcW w:w="990" w:type="dxa"/>
            <w:noWrap/>
            <w:hideMark/>
          </w:tcPr>
          <w:p w:rsidR="00682A88" w:rsidRPr="00CF3673" w:rsidRDefault="00682A88" w:rsidP="00682A88">
            <w:pPr>
              <w:jc w:val="center"/>
            </w:pPr>
            <w:r w:rsidRPr="00CF3673">
              <w:t>12.0</w:t>
            </w:r>
          </w:p>
        </w:tc>
        <w:tc>
          <w:tcPr>
            <w:tcW w:w="830" w:type="dxa"/>
            <w:noWrap/>
            <w:hideMark/>
          </w:tcPr>
          <w:p w:rsidR="00682A88" w:rsidRPr="00CF3673" w:rsidRDefault="00682A88" w:rsidP="00682A88">
            <w:pPr>
              <w:jc w:val="center"/>
            </w:pPr>
            <w:r w:rsidRPr="00CF3673">
              <w:t>4.9</w:t>
            </w:r>
          </w:p>
        </w:tc>
        <w:tc>
          <w:tcPr>
            <w:tcW w:w="910" w:type="dxa"/>
            <w:noWrap/>
            <w:hideMark/>
          </w:tcPr>
          <w:p w:rsidR="00682A88" w:rsidRPr="00CF3673" w:rsidRDefault="00682A88" w:rsidP="00682A88">
            <w:pPr>
              <w:jc w:val="center"/>
            </w:pPr>
            <w:r w:rsidRPr="00CF3673">
              <w:t>28.7</w:t>
            </w:r>
          </w:p>
        </w:tc>
        <w:tc>
          <w:tcPr>
            <w:tcW w:w="785" w:type="dxa"/>
            <w:noWrap/>
            <w:hideMark/>
          </w:tcPr>
          <w:p w:rsidR="00682A88" w:rsidRPr="00CF3673" w:rsidRDefault="00682A88" w:rsidP="00682A88">
            <w:pPr>
              <w:jc w:val="center"/>
            </w:pPr>
            <w:r w:rsidRPr="00CF3673">
              <w:t>19.9</w:t>
            </w:r>
          </w:p>
        </w:tc>
        <w:tc>
          <w:tcPr>
            <w:tcW w:w="1435" w:type="dxa"/>
            <w:noWrap/>
            <w:hideMark/>
          </w:tcPr>
          <w:p w:rsidR="00682A88" w:rsidRPr="00CF3673" w:rsidRDefault="00682A88" w:rsidP="00682A88">
            <w:pPr>
              <w:jc w:val="center"/>
            </w:pPr>
            <w:r w:rsidRPr="00CF3673">
              <w:t>23.3</w:t>
            </w:r>
          </w:p>
        </w:tc>
        <w:tc>
          <w:tcPr>
            <w:tcW w:w="1269" w:type="dxa"/>
            <w:noWrap/>
            <w:hideMark/>
          </w:tcPr>
          <w:p w:rsidR="00682A88" w:rsidRPr="00CF3673" w:rsidRDefault="00682A88" w:rsidP="00682A88">
            <w:pPr>
              <w:jc w:val="center"/>
            </w:pPr>
            <w:r w:rsidRPr="00CF3673">
              <w:t>7.9</w:t>
            </w:r>
          </w:p>
        </w:tc>
      </w:tr>
      <w:tr w:rsidR="00682A88" w:rsidRPr="00CF3673" w:rsidTr="00682A88">
        <w:trPr>
          <w:trHeight w:val="300"/>
          <w:jc w:val="center"/>
        </w:trPr>
        <w:tc>
          <w:tcPr>
            <w:tcW w:w="1720" w:type="dxa"/>
            <w:tcBorders>
              <w:bottom w:val="nil"/>
            </w:tcBorders>
            <w:noWrap/>
            <w:hideMark/>
          </w:tcPr>
          <w:p w:rsidR="00682A88" w:rsidRPr="00CF3673" w:rsidRDefault="00682A88" w:rsidP="00682A88">
            <w:pPr>
              <w:rPr>
                <w:rFonts w:ascii="Calibri" w:eastAsia="Times New Roman" w:hAnsi="Calibri" w:cs="Times New Roman"/>
                <w:lang w:eastAsia="zh-CN"/>
              </w:rPr>
            </w:pPr>
            <w:r w:rsidRPr="00CF3673">
              <w:rPr>
                <w:szCs w:val="20"/>
              </w:rPr>
              <w:t>Primário</w:t>
            </w:r>
          </w:p>
        </w:tc>
        <w:tc>
          <w:tcPr>
            <w:tcW w:w="720" w:type="dxa"/>
            <w:tcBorders>
              <w:bottom w:val="nil"/>
            </w:tcBorders>
            <w:noWrap/>
            <w:hideMark/>
          </w:tcPr>
          <w:p w:rsidR="00682A88" w:rsidRPr="00CF3673" w:rsidRDefault="00682A88" w:rsidP="00682A88">
            <w:pPr>
              <w:jc w:val="center"/>
            </w:pPr>
            <w:r w:rsidRPr="00CF3673">
              <w:t>18.1</w:t>
            </w:r>
          </w:p>
        </w:tc>
        <w:tc>
          <w:tcPr>
            <w:tcW w:w="900" w:type="dxa"/>
            <w:tcBorders>
              <w:bottom w:val="nil"/>
            </w:tcBorders>
            <w:noWrap/>
            <w:hideMark/>
          </w:tcPr>
          <w:p w:rsidR="00682A88" w:rsidRPr="00CF3673" w:rsidRDefault="00682A88" w:rsidP="00682A88">
            <w:pPr>
              <w:jc w:val="center"/>
            </w:pPr>
            <w:r w:rsidRPr="00CF3673">
              <w:t>23.6</w:t>
            </w:r>
          </w:p>
        </w:tc>
        <w:tc>
          <w:tcPr>
            <w:tcW w:w="990" w:type="dxa"/>
            <w:tcBorders>
              <w:bottom w:val="nil"/>
            </w:tcBorders>
            <w:noWrap/>
            <w:hideMark/>
          </w:tcPr>
          <w:p w:rsidR="00682A88" w:rsidRPr="00CF3673" w:rsidRDefault="00682A88" w:rsidP="00682A88">
            <w:pPr>
              <w:jc w:val="center"/>
            </w:pPr>
            <w:r w:rsidRPr="00CF3673">
              <w:t>7.8</w:t>
            </w:r>
          </w:p>
        </w:tc>
        <w:tc>
          <w:tcPr>
            <w:tcW w:w="830" w:type="dxa"/>
            <w:tcBorders>
              <w:bottom w:val="nil"/>
            </w:tcBorders>
            <w:noWrap/>
            <w:hideMark/>
          </w:tcPr>
          <w:p w:rsidR="00682A88" w:rsidRPr="00CF3673" w:rsidRDefault="00682A88" w:rsidP="00682A88">
            <w:pPr>
              <w:jc w:val="center"/>
            </w:pPr>
            <w:r w:rsidRPr="00CF3673">
              <w:t>1.6</w:t>
            </w:r>
          </w:p>
        </w:tc>
        <w:tc>
          <w:tcPr>
            <w:tcW w:w="910" w:type="dxa"/>
            <w:tcBorders>
              <w:bottom w:val="nil"/>
            </w:tcBorders>
            <w:noWrap/>
            <w:hideMark/>
          </w:tcPr>
          <w:p w:rsidR="00682A88" w:rsidRPr="00CF3673" w:rsidRDefault="00682A88" w:rsidP="00682A88">
            <w:pPr>
              <w:jc w:val="center"/>
            </w:pPr>
            <w:r w:rsidRPr="00CF3673">
              <w:t>27.4</w:t>
            </w:r>
          </w:p>
        </w:tc>
        <w:tc>
          <w:tcPr>
            <w:tcW w:w="785" w:type="dxa"/>
            <w:tcBorders>
              <w:bottom w:val="nil"/>
            </w:tcBorders>
            <w:noWrap/>
            <w:hideMark/>
          </w:tcPr>
          <w:p w:rsidR="00682A88" w:rsidRPr="00CF3673" w:rsidRDefault="00682A88" w:rsidP="00682A88">
            <w:pPr>
              <w:jc w:val="center"/>
            </w:pPr>
            <w:r w:rsidRPr="00CF3673">
              <w:t>15.6</w:t>
            </w:r>
          </w:p>
        </w:tc>
        <w:tc>
          <w:tcPr>
            <w:tcW w:w="1435" w:type="dxa"/>
            <w:tcBorders>
              <w:bottom w:val="nil"/>
            </w:tcBorders>
            <w:noWrap/>
            <w:hideMark/>
          </w:tcPr>
          <w:p w:rsidR="00682A88" w:rsidRPr="00CF3673" w:rsidRDefault="00682A88" w:rsidP="00682A88">
            <w:pPr>
              <w:jc w:val="center"/>
            </w:pPr>
            <w:r w:rsidRPr="00CF3673">
              <w:t>19.9</w:t>
            </w:r>
          </w:p>
        </w:tc>
        <w:tc>
          <w:tcPr>
            <w:tcW w:w="1269" w:type="dxa"/>
            <w:tcBorders>
              <w:bottom w:val="nil"/>
            </w:tcBorders>
            <w:noWrap/>
            <w:hideMark/>
          </w:tcPr>
          <w:p w:rsidR="00682A88" w:rsidRPr="00CF3673" w:rsidRDefault="00682A88" w:rsidP="00682A88">
            <w:pPr>
              <w:jc w:val="center"/>
            </w:pPr>
            <w:r w:rsidRPr="00CF3673">
              <w:t>3.9</w:t>
            </w:r>
          </w:p>
        </w:tc>
      </w:tr>
      <w:tr w:rsidR="00682A88" w:rsidRPr="00CF3673" w:rsidTr="00682A88">
        <w:trPr>
          <w:trHeight w:val="300"/>
          <w:jc w:val="center"/>
        </w:trPr>
        <w:tc>
          <w:tcPr>
            <w:tcW w:w="1720" w:type="dxa"/>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szCs w:val="20"/>
              </w:rPr>
              <w:t>Menos de primária</w:t>
            </w:r>
          </w:p>
        </w:tc>
        <w:tc>
          <w:tcPr>
            <w:tcW w:w="720" w:type="dxa"/>
            <w:tcBorders>
              <w:top w:val="nil"/>
              <w:bottom w:val="single" w:sz="4" w:space="0" w:color="auto"/>
            </w:tcBorders>
            <w:noWrap/>
            <w:hideMark/>
          </w:tcPr>
          <w:p w:rsidR="00682A88" w:rsidRPr="00CF3673" w:rsidRDefault="00682A88" w:rsidP="00682A88">
            <w:pPr>
              <w:jc w:val="center"/>
            </w:pPr>
            <w:r w:rsidRPr="00CF3673">
              <w:t>16.8</w:t>
            </w:r>
          </w:p>
        </w:tc>
        <w:tc>
          <w:tcPr>
            <w:tcW w:w="900" w:type="dxa"/>
            <w:tcBorders>
              <w:top w:val="nil"/>
              <w:bottom w:val="single" w:sz="4" w:space="0" w:color="auto"/>
            </w:tcBorders>
            <w:noWrap/>
            <w:hideMark/>
          </w:tcPr>
          <w:p w:rsidR="00682A88" w:rsidRPr="00CF3673" w:rsidRDefault="00682A88" w:rsidP="00682A88">
            <w:pPr>
              <w:jc w:val="center"/>
            </w:pPr>
            <w:r w:rsidRPr="00CF3673">
              <w:t>20.0</w:t>
            </w:r>
          </w:p>
        </w:tc>
        <w:tc>
          <w:tcPr>
            <w:tcW w:w="990" w:type="dxa"/>
            <w:tcBorders>
              <w:top w:val="nil"/>
              <w:bottom w:val="single" w:sz="4" w:space="0" w:color="auto"/>
            </w:tcBorders>
            <w:noWrap/>
            <w:hideMark/>
          </w:tcPr>
          <w:p w:rsidR="00682A88" w:rsidRPr="00CF3673" w:rsidRDefault="00682A88" w:rsidP="00682A88">
            <w:pPr>
              <w:jc w:val="center"/>
            </w:pPr>
            <w:r w:rsidRPr="00CF3673">
              <w:t>12.0</w:t>
            </w:r>
          </w:p>
        </w:tc>
        <w:tc>
          <w:tcPr>
            <w:tcW w:w="830" w:type="dxa"/>
            <w:tcBorders>
              <w:top w:val="nil"/>
              <w:bottom w:val="single" w:sz="4" w:space="0" w:color="auto"/>
            </w:tcBorders>
            <w:noWrap/>
            <w:hideMark/>
          </w:tcPr>
          <w:p w:rsidR="00682A88" w:rsidRPr="00CF3673" w:rsidRDefault="00682A88" w:rsidP="00682A88">
            <w:pPr>
              <w:jc w:val="center"/>
            </w:pPr>
            <w:r w:rsidRPr="00CF3673">
              <w:t>3.3</w:t>
            </w:r>
          </w:p>
        </w:tc>
        <w:tc>
          <w:tcPr>
            <w:tcW w:w="910" w:type="dxa"/>
            <w:tcBorders>
              <w:top w:val="nil"/>
              <w:bottom w:val="single" w:sz="4" w:space="0" w:color="auto"/>
            </w:tcBorders>
            <w:noWrap/>
            <w:hideMark/>
          </w:tcPr>
          <w:p w:rsidR="00682A88" w:rsidRPr="00CF3673" w:rsidRDefault="00682A88" w:rsidP="00682A88">
            <w:pPr>
              <w:jc w:val="center"/>
            </w:pPr>
            <w:r w:rsidRPr="00CF3673">
              <w:t>22.3</w:t>
            </w:r>
          </w:p>
        </w:tc>
        <w:tc>
          <w:tcPr>
            <w:tcW w:w="785" w:type="dxa"/>
            <w:tcBorders>
              <w:top w:val="nil"/>
              <w:bottom w:val="single" w:sz="4" w:space="0" w:color="auto"/>
            </w:tcBorders>
            <w:noWrap/>
            <w:hideMark/>
          </w:tcPr>
          <w:p w:rsidR="00682A88" w:rsidRPr="00CF3673" w:rsidRDefault="00682A88" w:rsidP="00682A88">
            <w:pPr>
              <w:jc w:val="center"/>
            </w:pPr>
            <w:r w:rsidRPr="00CF3673">
              <w:t>15.3</w:t>
            </w:r>
          </w:p>
        </w:tc>
        <w:tc>
          <w:tcPr>
            <w:tcW w:w="1435" w:type="dxa"/>
            <w:tcBorders>
              <w:top w:val="nil"/>
              <w:bottom w:val="single" w:sz="4" w:space="0" w:color="auto"/>
            </w:tcBorders>
            <w:noWrap/>
            <w:hideMark/>
          </w:tcPr>
          <w:p w:rsidR="00682A88" w:rsidRPr="00CF3673" w:rsidRDefault="00682A88" w:rsidP="00682A88">
            <w:pPr>
              <w:jc w:val="center"/>
            </w:pPr>
            <w:r w:rsidRPr="00CF3673">
              <w:t>18.5</w:t>
            </w:r>
          </w:p>
        </w:tc>
        <w:tc>
          <w:tcPr>
            <w:tcW w:w="1269" w:type="dxa"/>
            <w:tcBorders>
              <w:top w:val="nil"/>
              <w:bottom w:val="single" w:sz="4" w:space="0" w:color="auto"/>
            </w:tcBorders>
            <w:noWrap/>
            <w:hideMark/>
          </w:tcPr>
          <w:p w:rsidR="00682A88" w:rsidRPr="00CF3673" w:rsidRDefault="00682A88" w:rsidP="00682A88">
            <w:pPr>
              <w:jc w:val="center"/>
            </w:pPr>
            <w:r w:rsidRPr="00CF3673">
              <w:t>2.6</w:t>
            </w:r>
          </w:p>
        </w:tc>
      </w:tr>
      <w:tr w:rsidR="00682A88" w:rsidRPr="00CF3673" w:rsidTr="00682A88">
        <w:trPr>
          <w:trHeight w:val="300"/>
          <w:jc w:val="center"/>
        </w:trPr>
        <w:tc>
          <w:tcPr>
            <w:tcW w:w="1720" w:type="dxa"/>
            <w:tcBorders>
              <w:top w:val="single" w:sz="4" w:space="0" w:color="auto"/>
              <w:bottom w:val="doub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Times New Roman"/>
                <w:lang w:eastAsia="zh-CN"/>
              </w:rPr>
              <w:t>Nº de obs.</w:t>
            </w:r>
          </w:p>
        </w:tc>
        <w:tc>
          <w:tcPr>
            <w:tcW w:w="720" w:type="dxa"/>
            <w:tcBorders>
              <w:top w:val="single" w:sz="4" w:space="0" w:color="auto"/>
              <w:bottom w:val="double" w:sz="4" w:space="0" w:color="auto"/>
            </w:tcBorders>
            <w:noWrap/>
            <w:hideMark/>
          </w:tcPr>
          <w:p w:rsidR="00682A88" w:rsidRPr="00CF3673" w:rsidRDefault="00682A88" w:rsidP="00682A88">
            <w:pPr>
              <w:jc w:val="center"/>
            </w:pPr>
            <w:r w:rsidRPr="00CF3673">
              <w:t>722</w:t>
            </w:r>
          </w:p>
        </w:tc>
        <w:tc>
          <w:tcPr>
            <w:tcW w:w="900" w:type="dxa"/>
            <w:tcBorders>
              <w:top w:val="single" w:sz="4" w:space="0" w:color="auto"/>
              <w:bottom w:val="double" w:sz="4" w:space="0" w:color="auto"/>
            </w:tcBorders>
            <w:noWrap/>
            <w:hideMark/>
          </w:tcPr>
          <w:p w:rsidR="00682A88" w:rsidRPr="00CF3673" w:rsidRDefault="00682A88" w:rsidP="00682A88">
            <w:pPr>
              <w:jc w:val="center"/>
            </w:pPr>
            <w:r w:rsidRPr="00CF3673">
              <w:t>495</w:t>
            </w:r>
          </w:p>
        </w:tc>
        <w:tc>
          <w:tcPr>
            <w:tcW w:w="990" w:type="dxa"/>
            <w:tcBorders>
              <w:top w:val="single" w:sz="4" w:space="0" w:color="auto"/>
              <w:bottom w:val="double" w:sz="4" w:space="0" w:color="auto"/>
            </w:tcBorders>
            <w:noWrap/>
            <w:hideMark/>
          </w:tcPr>
          <w:p w:rsidR="00682A88" w:rsidRPr="00CF3673" w:rsidRDefault="00682A88" w:rsidP="00682A88">
            <w:pPr>
              <w:jc w:val="center"/>
            </w:pPr>
            <w:r w:rsidRPr="00CF3673">
              <w:t>166</w:t>
            </w:r>
          </w:p>
        </w:tc>
        <w:tc>
          <w:tcPr>
            <w:tcW w:w="830" w:type="dxa"/>
            <w:tcBorders>
              <w:top w:val="single" w:sz="4" w:space="0" w:color="auto"/>
              <w:bottom w:val="double" w:sz="4" w:space="0" w:color="auto"/>
            </w:tcBorders>
            <w:noWrap/>
            <w:hideMark/>
          </w:tcPr>
          <w:p w:rsidR="00682A88" w:rsidRPr="00CF3673" w:rsidRDefault="00682A88" w:rsidP="00682A88">
            <w:pPr>
              <w:jc w:val="center"/>
            </w:pPr>
            <w:r w:rsidRPr="00CF3673">
              <w:t>61</w:t>
            </w:r>
          </w:p>
        </w:tc>
        <w:tc>
          <w:tcPr>
            <w:tcW w:w="910" w:type="dxa"/>
            <w:tcBorders>
              <w:top w:val="single" w:sz="4" w:space="0" w:color="auto"/>
              <w:bottom w:val="double" w:sz="4" w:space="0" w:color="auto"/>
            </w:tcBorders>
            <w:noWrap/>
            <w:hideMark/>
          </w:tcPr>
          <w:p w:rsidR="00682A88" w:rsidRPr="00CF3673" w:rsidRDefault="00682A88" w:rsidP="00682A88">
            <w:pPr>
              <w:jc w:val="center"/>
            </w:pPr>
            <w:r w:rsidRPr="00CF3673">
              <w:t>157</w:t>
            </w:r>
          </w:p>
        </w:tc>
        <w:tc>
          <w:tcPr>
            <w:tcW w:w="785" w:type="dxa"/>
            <w:tcBorders>
              <w:top w:val="single" w:sz="4" w:space="0" w:color="auto"/>
              <w:bottom w:val="double" w:sz="4" w:space="0" w:color="auto"/>
            </w:tcBorders>
            <w:noWrap/>
            <w:hideMark/>
          </w:tcPr>
          <w:p w:rsidR="00682A88" w:rsidRPr="00CF3673" w:rsidRDefault="00682A88" w:rsidP="00682A88">
            <w:pPr>
              <w:jc w:val="center"/>
            </w:pPr>
            <w:r w:rsidRPr="00CF3673">
              <w:t>563</w:t>
            </w:r>
          </w:p>
        </w:tc>
        <w:tc>
          <w:tcPr>
            <w:tcW w:w="1435" w:type="dxa"/>
            <w:tcBorders>
              <w:top w:val="single" w:sz="4" w:space="0" w:color="auto"/>
              <w:bottom w:val="double" w:sz="4" w:space="0" w:color="auto"/>
            </w:tcBorders>
            <w:noWrap/>
            <w:hideMark/>
          </w:tcPr>
          <w:p w:rsidR="00682A88" w:rsidRPr="00CF3673" w:rsidRDefault="00682A88" w:rsidP="00682A88">
            <w:pPr>
              <w:jc w:val="center"/>
            </w:pPr>
            <w:r w:rsidRPr="00CF3673">
              <w:t>644</w:t>
            </w:r>
          </w:p>
        </w:tc>
        <w:tc>
          <w:tcPr>
            <w:tcW w:w="1269" w:type="dxa"/>
            <w:tcBorders>
              <w:top w:val="single" w:sz="4" w:space="0" w:color="auto"/>
              <w:bottom w:val="double" w:sz="4" w:space="0" w:color="auto"/>
            </w:tcBorders>
            <w:noWrap/>
            <w:hideMark/>
          </w:tcPr>
          <w:p w:rsidR="00682A88" w:rsidRPr="00CF3673" w:rsidRDefault="00682A88" w:rsidP="00682A88">
            <w:pPr>
              <w:jc w:val="center"/>
            </w:pPr>
            <w:r w:rsidRPr="00CF3673">
              <w:t>76</w:t>
            </w:r>
          </w:p>
        </w:tc>
      </w:tr>
      <w:tr w:rsidR="00682A88" w:rsidRPr="00CF3673" w:rsidTr="00682A88">
        <w:trPr>
          <w:trHeight w:val="300"/>
          <w:jc w:val="center"/>
        </w:trPr>
        <w:tc>
          <w:tcPr>
            <w:tcW w:w="9559" w:type="dxa"/>
            <w:gridSpan w:val="9"/>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Em 96 casos onde a educação do gerente geral não estava disponível , educação proprietário é usado em seu lugar. Em 39 casos, não estava disponível , o que resultou em 39 </w:t>
            </w:r>
            <w:r w:rsidR="006A4724" w:rsidRPr="00CF3673">
              <w:rPr>
                <w:lang w:val="pt-PT"/>
              </w:rPr>
              <w:t>observações</w:t>
            </w:r>
            <w:r w:rsidRPr="00CF3673">
              <w:rPr>
                <w:lang w:val="pt-PT"/>
              </w:rPr>
              <w:t xml:space="preserve"> em falta.</w:t>
            </w:r>
          </w:p>
        </w:tc>
      </w:tr>
      <w:tr w:rsidR="00682A88" w:rsidRPr="00CF3673" w:rsidTr="00682A88">
        <w:trPr>
          <w:cnfStyle w:val="010000000000" w:firstRow="0" w:lastRow="1" w:firstColumn="0" w:lastColumn="0" w:oddVBand="0" w:evenVBand="0" w:oddHBand="0" w:evenHBand="0" w:firstRowFirstColumn="0" w:firstRowLastColumn="0" w:lastRowFirstColumn="0" w:lastRowLastColumn="0"/>
          <w:trHeight w:val="300"/>
          <w:jc w:val="center"/>
        </w:trPr>
        <w:tc>
          <w:tcPr>
            <w:tcW w:w="9559" w:type="dxa"/>
            <w:gridSpan w:val="9"/>
            <w:tcBorders>
              <w:top w:val="nil"/>
              <w:bottom w:val="nil"/>
            </w:tcBorders>
            <w:noWrap/>
          </w:tcPr>
          <w:p w:rsidR="00682A88" w:rsidRPr="00CF3673" w:rsidRDefault="00682A88" w:rsidP="00682A88">
            <w:pPr>
              <w:pStyle w:val="Tablenote"/>
              <w:rPr>
                <w:b/>
                <w:lang w:val="pt-PT"/>
              </w:rPr>
            </w:pPr>
            <w:r w:rsidRPr="00CF3673">
              <w:rPr>
                <w:b/>
                <w:lang w:val="pt-PT"/>
              </w:rPr>
              <w:t>Fonte:</w:t>
            </w:r>
            <w:r w:rsidRPr="00CF3673">
              <w:rPr>
                <w:lang w:val="pt-PT"/>
              </w:rPr>
              <w:t xml:space="preserve"> Cálculos próprios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Outra</w:t>
      </w:r>
      <w:r w:rsidR="00C41650" w:rsidRPr="00CF3673">
        <w:t xml:space="preserve"> </w:t>
      </w:r>
      <w:r w:rsidR="006A4724" w:rsidRPr="00CF3673">
        <w:t>variável</w:t>
      </w:r>
      <w:r w:rsidRPr="00CF3673">
        <w:t xml:space="preserve"> para capacidade gerente é educação e experiência no exterior , que é tratada na Tabela 6.3. Cerca de 9% dos gestores da amostra têm educação do exterior e cerca de 11% têm experiência de gestão do exterior. Cerca de 40% dos gestores com a educação do exterior têm nível universitário e outros 40% têm nível de educação do ensino médio. Sem surpresa, é sobretudo entre os maiores e as empresas estrangeiras que uma maior proporção de gestores com experiência no exterior. Mais de um terço das empresas de médio porte têm gestores com experiência no exterior e quase metade tem gerentes com formação no exterior - o que significa que uma grande parte das pequenas e médias empresas têm algum tipo de ligação com outros países.</w:t>
      </w:r>
    </w:p>
    <w:p w:rsidR="00682A88" w:rsidRPr="00CF3673" w:rsidRDefault="00682A88" w:rsidP="00682A88">
      <w:pPr>
        <w:spacing w:line="360" w:lineRule="auto"/>
        <w:jc w:val="both"/>
        <w:rPr>
          <w:b/>
        </w:rPr>
      </w:pPr>
      <w:r w:rsidRPr="00CF3673">
        <w:rPr>
          <w:b/>
        </w:rPr>
        <w:t>Tabela 6.3 : Percentagem de empresas com gestores com formação e experiência no exterior.</w:t>
      </w:r>
    </w:p>
    <w:tbl>
      <w:tblPr>
        <w:tblStyle w:val="StandardTable"/>
        <w:tblW w:w="0" w:type="auto"/>
        <w:jc w:val="center"/>
        <w:tblInd w:w="-1560" w:type="dxa"/>
        <w:tblLayout w:type="fixed"/>
        <w:tblLook w:val="04A0" w:firstRow="1" w:lastRow="0" w:firstColumn="1" w:lastColumn="0" w:noHBand="0" w:noVBand="1"/>
      </w:tblPr>
      <w:tblGrid>
        <w:gridCol w:w="3040"/>
        <w:gridCol w:w="1973"/>
        <w:gridCol w:w="2262"/>
        <w:gridCol w:w="1144"/>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1"/>
          <w:jc w:val="center"/>
        </w:trPr>
        <w:tc>
          <w:tcPr>
            <w:tcW w:w="3040" w:type="dxa"/>
            <w:noWrap/>
            <w:hideMark/>
          </w:tcPr>
          <w:p w:rsidR="00682A88" w:rsidRPr="00CF3673" w:rsidRDefault="00682A88" w:rsidP="00682A88">
            <w:pPr>
              <w:rPr>
                <w:rFonts w:ascii="Calibri" w:eastAsia="Times New Roman" w:hAnsi="Calibri" w:cs="Calibri"/>
                <w:color w:val="000000"/>
                <w:lang w:eastAsia="zh-CN"/>
              </w:rPr>
            </w:pPr>
          </w:p>
        </w:tc>
        <w:tc>
          <w:tcPr>
            <w:tcW w:w="1973"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Educação no exterior</w:t>
            </w:r>
          </w:p>
        </w:tc>
        <w:tc>
          <w:tcPr>
            <w:tcW w:w="2262"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Experiência no exterior</w:t>
            </w:r>
          </w:p>
        </w:tc>
        <w:tc>
          <w:tcPr>
            <w:tcW w:w="1144" w:type="dxa"/>
            <w:noWrap/>
            <w:hideMark/>
          </w:tcPr>
          <w:p w:rsidR="00682A88" w:rsidRPr="00CF3673" w:rsidRDefault="006A4724"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Onde</w:t>
            </w:r>
            <w:r w:rsidR="00682A88" w:rsidRPr="00CF3673">
              <w:rPr>
                <w:rFonts w:ascii="Calibri" w:eastAsia="Times New Roman" w:hAnsi="Calibri" w:cs="Calibri"/>
                <w:color w:val="000000"/>
                <w:lang w:eastAsia="zh-CN"/>
              </w:rPr>
              <w:t xml:space="preserve"> obs.</w:t>
            </w:r>
          </w:p>
        </w:tc>
      </w:tr>
      <w:tr w:rsidR="00682A88" w:rsidRPr="00CF3673" w:rsidTr="00682A88">
        <w:trPr>
          <w:trHeight w:val="301"/>
          <w:jc w:val="center"/>
        </w:trPr>
        <w:tc>
          <w:tcPr>
            <w:tcW w:w="3040"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Todas </w:t>
            </w:r>
          </w:p>
        </w:tc>
        <w:tc>
          <w:tcPr>
            <w:tcW w:w="1973" w:type="dxa"/>
            <w:noWrap/>
            <w:hideMark/>
          </w:tcPr>
          <w:p w:rsidR="00682A88" w:rsidRPr="00CF3673" w:rsidRDefault="00682A88" w:rsidP="00682A88">
            <w:pPr>
              <w:jc w:val="center"/>
            </w:pPr>
            <w:r w:rsidRPr="00CF3673">
              <w:t>8.9</w:t>
            </w:r>
          </w:p>
        </w:tc>
        <w:tc>
          <w:tcPr>
            <w:tcW w:w="2262" w:type="dxa"/>
            <w:noWrap/>
            <w:hideMark/>
          </w:tcPr>
          <w:p w:rsidR="00682A88" w:rsidRPr="00CF3673" w:rsidRDefault="00682A88" w:rsidP="00682A88">
            <w:pPr>
              <w:jc w:val="center"/>
            </w:pPr>
            <w:r w:rsidRPr="00CF3673">
              <w:t>10.3</w:t>
            </w:r>
          </w:p>
        </w:tc>
        <w:tc>
          <w:tcPr>
            <w:tcW w:w="1144" w:type="dxa"/>
            <w:noWrap/>
            <w:hideMark/>
          </w:tcPr>
          <w:p w:rsidR="00682A88" w:rsidRPr="00CF3673" w:rsidRDefault="00682A88" w:rsidP="00682A88">
            <w:pPr>
              <w:jc w:val="center"/>
            </w:pPr>
            <w:r w:rsidRPr="00CF3673">
              <w:t>574</w:t>
            </w:r>
          </w:p>
        </w:tc>
      </w:tr>
      <w:tr w:rsidR="00682A88" w:rsidRPr="00CF3673" w:rsidTr="00682A88">
        <w:trPr>
          <w:trHeight w:val="301"/>
          <w:jc w:val="center"/>
        </w:trPr>
        <w:tc>
          <w:tcPr>
            <w:tcW w:w="3040"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1973" w:type="dxa"/>
            <w:noWrap/>
            <w:hideMark/>
          </w:tcPr>
          <w:p w:rsidR="00682A88" w:rsidRPr="00CF3673" w:rsidRDefault="00682A88" w:rsidP="00682A88">
            <w:pPr>
              <w:jc w:val="center"/>
            </w:pPr>
            <w:r w:rsidRPr="00CF3673">
              <w:t>3.9</w:t>
            </w:r>
          </w:p>
        </w:tc>
        <w:tc>
          <w:tcPr>
            <w:tcW w:w="2262" w:type="dxa"/>
            <w:noWrap/>
            <w:hideMark/>
          </w:tcPr>
          <w:p w:rsidR="00682A88" w:rsidRPr="00CF3673" w:rsidRDefault="00682A88" w:rsidP="00682A88">
            <w:pPr>
              <w:jc w:val="center"/>
            </w:pPr>
            <w:r w:rsidRPr="00CF3673">
              <w:t>7.4</w:t>
            </w:r>
          </w:p>
        </w:tc>
        <w:tc>
          <w:tcPr>
            <w:tcW w:w="1144" w:type="dxa"/>
            <w:noWrap/>
            <w:hideMark/>
          </w:tcPr>
          <w:p w:rsidR="00682A88" w:rsidRPr="00CF3673" w:rsidRDefault="00682A88" w:rsidP="00682A88">
            <w:pPr>
              <w:jc w:val="center"/>
            </w:pPr>
            <w:r w:rsidRPr="00CF3673">
              <w:t>435</w:t>
            </w:r>
          </w:p>
        </w:tc>
      </w:tr>
      <w:tr w:rsidR="00682A88" w:rsidRPr="00CF3673" w:rsidTr="00682A88">
        <w:trPr>
          <w:trHeight w:val="301"/>
          <w:jc w:val="center"/>
        </w:trPr>
        <w:tc>
          <w:tcPr>
            <w:tcW w:w="3040" w:type="dxa"/>
            <w:tcBorders>
              <w:bottom w:val="nil"/>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Pequena</w:t>
            </w:r>
          </w:p>
        </w:tc>
        <w:tc>
          <w:tcPr>
            <w:tcW w:w="1973" w:type="dxa"/>
            <w:tcBorders>
              <w:bottom w:val="nil"/>
            </w:tcBorders>
            <w:noWrap/>
            <w:hideMark/>
          </w:tcPr>
          <w:p w:rsidR="00682A88" w:rsidRPr="00CF3673" w:rsidRDefault="00682A88" w:rsidP="00682A88">
            <w:pPr>
              <w:jc w:val="center"/>
            </w:pPr>
            <w:r w:rsidRPr="00CF3673">
              <w:t>18.5</w:t>
            </w:r>
          </w:p>
        </w:tc>
        <w:tc>
          <w:tcPr>
            <w:tcW w:w="2262" w:type="dxa"/>
            <w:tcBorders>
              <w:bottom w:val="nil"/>
            </w:tcBorders>
            <w:noWrap/>
            <w:hideMark/>
          </w:tcPr>
          <w:p w:rsidR="00682A88" w:rsidRPr="00CF3673" w:rsidRDefault="00682A88" w:rsidP="00682A88">
            <w:pPr>
              <w:jc w:val="center"/>
            </w:pPr>
            <w:r w:rsidRPr="00CF3673">
              <w:t>14.8</w:t>
            </w:r>
          </w:p>
        </w:tc>
        <w:tc>
          <w:tcPr>
            <w:tcW w:w="1144" w:type="dxa"/>
            <w:tcBorders>
              <w:bottom w:val="nil"/>
            </w:tcBorders>
            <w:noWrap/>
            <w:hideMark/>
          </w:tcPr>
          <w:p w:rsidR="00682A88" w:rsidRPr="00CF3673" w:rsidRDefault="00682A88" w:rsidP="00682A88">
            <w:pPr>
              <w:jc w:val="center"/>
            </w:pPr>
            <w:r w:rsidRPr="00CF3673">
              <w:t>108</w:t>
            </w:r>
          </w:p>
        </w:tc>
      </w:tr>
      <w:tr w:rsidR="00682A88" w:rsidRPr="00CF3673" w:rsidTr="00682A88">
        <w:trPr>
          <w:trHeight w:val="301"/>
          <w:jc w:val="center"/>
        </w:trPr>
        <w:tc>
          <w:tcPr>
            <w:tcW w:w="3040" w:type="dxa"/>
            <w:tcBorders>
              <w:top w:val="nil"/>
              <w:bottom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Média</w:t>
            </w:r>
          </w:p>
        </w:tc>
        <w:tc>
          <w:tcPr>
            <w:tcW w:w="1973" w:type="dxa"/>
            <w:tcBorders>
              <w:top w:val="nil"/>
              <w:bottom w:val="single" w:sz="4" w:space="0" w:color="auto"/>
            </w:tcBorders>
            <w:noWrap/>
            <w:hideMark/>
          </w:tcPr>
          <w:p w:rsidR="00682A88" w:rsidRPr="00CF3673" w:rsidRDefault="00682A88" w:rsidP="00682A88">
            <w:pPr>
              <w:jc w:val="center"/>
            </w:pPr>
            <w:r w:rsidRPr="00CF3673">
              <w:t>45.2</w:t>
            </w:r>
          </w:p>
        </w:tc>
        <w:tc>
          <w:tcPr>
            <w:tcW w:w="2262" w:type="dxa"/>
            <w:tcBorders>
              <w:top w:val="nil"/>
              <w:bottom w:val="single" w:sz="4" w:space="0" w:color="auto"/>
            </w:tcBorders>
            <w:noWrap/>
            <w:hideMark/>
          </w:tcPr>
          <w:p w:rsidR="00682A88" w:rsidRPr="00CF3673" w:rsidRDefault="00682A88" w:rsidP="00682A88">
            <w:pPr>
              <w:jc w:val="center"/>
            </w:pPr>
            <w:r w:rsidRPr="00CF3673">
              <w:t>35.5</w:t>
            </w:r>
          </w:p>
        </w:tc>
        <w:tc>
          <w:tcPr>
            <w:tcW w:w="1144" w:type="dxa"/>
            <w:tcBorders>
              <w:top w:val="nil"/>
              <w:bottom w:val="single" w:sz="4" w:space="0" w:color="auto"/>
            </w:tcBorders>
            <w:noWrap/>
            <w:hideMark/>
          </w:tcPr>
          <w:p w:rsidR="00682A88" w:rsidRPr="00CF3673" w:rsidRDefault="00682A88" w:rsidP="00682A88">
            <w:pPr>
              <w:jc w:val="center"/>
            </w:pPr>
            <w:r w:rsidRPr="00CF3673">
              <w:t>31</w:t>
            </w:r>
          </w:p>
        </w:tc>
      </w:tr>
      <w:tr w:rsidR="00682A88" w:rsidRPr="00CF3673" w:rsidTr="00682A88">
        <w:trPr>
          <w:trHeight w:val="301"/>
          <w:jc w:val="center"/>
        </w:trPr>
        <w:tc>
          <w:tcPr>
            <w:tcW w:w="3040" w:type="dxa"/>
            <w:tcBorders>
              <w:top w:val="single" w:sz="4" w:space="0" w:color="auto"/>
              <w:bottom w:val="nil"/>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Informal</w:t>
            </w:r>
          </w:p>
        </w:tc>
        <w:tc>
          <w:tcPr>
            <w:tcW w:w="1973" w:type="dxa"/>
            <w:tcBorders>
              <w:top w:val="single" w:sz="4" w:space="0" w:color="auto"/>
              <w:bottom w:val="nil"/>
            </w:tcBorders>
            <w:noWrap/>
            <w:hideMark/>
          </w:tcPr>
          <w:p w:rsidR="00682A88" w:rsidRPr="00CF3673" w:rsidRDefault="00682A88" w:rsidP="00682A88">
            <w:pPr>
              <w:jc w:val="center"/>
            </w:pPr>
            <w:r w:rsidRPr="00CF3673">
              <w:t>1.5</w:t>
            </w:r>
          </w:p>
        </w:tc>
        <w:tc>
          <w:tcPr>
            <w:tcW w:w="2262" w:type="dxa"/>
            <w:tcBorders>
              <w:top w:val="single" w:sz="4" w:space="0" w:color="auto"/>
              <w:bottom w:val="nil"/>
            </w:tcBorders>
            <w:noWrap/>
            <w:hideMark/>
          </w:tcPr>
          <w:p w:rsidR="00682A88" w:rsidRPr="00CF3673" w:rsidRDefault="00682A88" w:rsidP="00682A88">
            <w:pPr>
              <w:jc w:val="center"/>
            </w:pPr>
            <w:r w:rsidRPr="00CF3673">
              <w:t>5.9</w:t>
            </w:r>
          </w:p>
        </w:tc>
        <w:tc>
          <w:tcPr>
            <w:tcW w:w="1144" w:type="dxa"/>
            <w:tcBorders>
              <w:top w:val="single" w:sz="4" w:space="0" w:color="auto"/>
              <w:bottom w:val="nil"/>
            </w:tcBorders>
            <w:noWrap/>
            <w:hideMark/>
          </w:tcPr>
          <w:p w:rsidR="00682A88" w:rsidRPr="00CF3673" w:rsidRDefault="00682A88" w:rsidP="00682A88">
            <w:pPr>
              <w:jc w:val="center"/>
            </w:pPr>
            <w:r w:rsidRPr="00CF3673">
              <w:t>135</w:t>
            </w:r>
          </w:p>
        </w:tc>
      </w:tr>
      <w:tr w:rsidR="00682A88" w:rsidRPr="00CF3673" w:rsidTr="00682A88">
        <w:trPr>
          <w:trHeight w:val="301"/>
          <w:jc w:val="center"/>
        </w:trPr>
        <w:tc>
          <w:tcPr>
            <w:tcW w:w="3040" w:type="dxa"/>
            <w:tcBorders>
              <w:top w:val="nil"/>
              <w:bottom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Times New Roman"/>
                <w:lang w:eastAsia="zh-CN"/>
              </w:rPr>
              <w:t>Formal</w:t>
            </w:r>
          </w:p>
        </w:tc>
        <w:tc>
          <w:tcPr>
            <w:tcW w:w="1973" w:type="dxa"/>
            <w:tcBorders>
              <w:top w:val="nil"/>
              <w:bottom w:val="single" w:sz="4" w:space="0" w:color="auto"/>
            </w:tcBorders>
            <w:noWrap/>
            <w:hideMark/>
          </w:tcPr>
          <w:p w:rsidR="00682A88" w:rsidRPr="00CF3673" w:rsidRDefault="00682A88" w:rsidP="00682A88">
            <w:pPr>
              <w:jc w:val="center"/>
            </w:pPr>
            <w:r w:rsidRPr="00CF3673">
              <w:t>11.2</w:t>
            </w:r>
          </w:p>
        </w:tc>
        <w:tc>
          <w:tcPr>
            <w:tcW w:w="2262" w:type="dxa"/>
            <w:tcBorders>
              <w:top w:val="nil"/>
              <w:bottom w:val="single" w:sz="4" w:space="0" w:color="auto"/>
            </w:tcBorders>
            <w:noWrap/>
            <w:hideMark/>
          </w:tcPr>
          <w:p w:rsidR="00682A88" w:rsidRPr="00CF3673" w:rsidRDefault="00682A88" w:rsidP="00682A88">
            <w:pPr>
              <w:jc w:val="center"/>
            </w:pPr>
            <w:r w:rsidRPr="00CF3673">
              <w:t>11.6</w:t>
            </w:r>
          </w:p>
        </w:tc>
        <w:tc>
          <w:tcPr>
            <w:tcW w:w="1144" w:type="dxa"/>
            <w:tcBorders>
              <w:top w:val="nil"/>
              <w:bottom w:val="single" w:sz="4" w:space="0" w:color="auto"/>
            </w:tcBorders>
            <w:noWrap/>
            <w:hideMark/>
          </w:tcPr>
          <w:p w:rsidR="00682A88" w:rsidRPr="00CF3673" w:rsidRDefault="00682A88" w:rsidP="00682A88">
            <w:pPr>
              <w:jc w:val="center"/>
            </w:pPr>
            <w:r w:rsidRPr="00CF3673">
              <w:t>438</w:t>
            </w:r>
          </w:p>
        </w:tc>
      </w:tr>
      <w:tr w:rsidR="00682A88" w:rsidRPr="00CF3673" w:rsidTr="00682A88">
        <w:trPr>
          <w:trHeight w:val="301"/>
          <w:jc w:val="center"/>
        </w:trPr>
        <w:tc>
          <w:tcPr>
            <w:tcW w:w="3040" w:type="dxa"/>
            <w:tcBorders>
              <w:top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moçambicana</w:t>
            </w:r>
          </w:p>
        </w:tc>
        <w:tc>
          <w:tcPr>
            <w:tcW w:w="1973" w:type="dxa"/>
            <w:tcBorders>
              <w:top w:val="single" w:sz="4" w:space="0" w:color="auto"/>
            </w:tcBorders>
            <w:noWrap/>
            <w:hideMark/>
          </w:tcPr>
          <w:p w:rsidR="00682A88" w:rsidRPr="00CF3673" w:rsidRDefault="00682A88" w:rsidP="00682A88">
            <w:pPr>
              <w:jc w:val="center"/>
            </w:pPr>
            <w:r w:rsidRPr="00CF3673">
              <w:t>2.8</w:t>
            </w:r>
          </w:p>
        </w:tc>
        <w:tc>
          <w:tcPr>
            <w:tcW w:w="2262" w:type="dxa"/>
            <w:tcBorders>
              <w:top w:val="single" w:sz="4" w:space="0" w:color="auto"/>
            </w:tcBorders>
            <w:noWrap/>
            <w:hideMark/>
          </w:tcPr>
          <w:p w:rsidR="00682A88" w:rsidRPr="00CF3673" w:rsidRDefault="00682A88" w:rsidP="00682A88">
            <w:pPr>
              <w:jc w:val="center"/>
            </w:pPr>
            <w:r w:rsidRPr="00CF3673">
              <w:t>6.6</w:t>
            </w:r>
          </w:p>
        </w:tc>
        <w:tc>
          <w:tcPr>
            <w:tcW w:w="1144" w:type="dxa"/>
            <w:tcBorders>
              <w:top w:val="single" w:sz="4" w:space="0" w:color="auto"/>
            </w:tcBorders>
            <w:noWrap/>
            <w:hideMark/>
          </w:tcPr>
          <w:p w:rsidR="00682A88" w:rsidRPr="00CF3673" w:rsidRDefault="00682A88" w:rsidP="00682A88">
            <w:pPr>
              <w:jc w:val="center"/>
            </w:pPr>
            <w:r w:rsidRPr="00CF3673">
              <w:t>529</w:t>
            </w:r>
          </w:p>
        </w:tc>
      </w:tr>
      <w:tr w:rsidR="00682A88" w:rsidRPr="00CF3673" w:rsidTr="00682A88">
        <w:trPr>
          <w:trHeight w:val="301"/>
          <w:jc w:val="center"/>
        </w:trPr>
        <w:tc>
          <w:tcPr>
            <w:tcW w:w="3040" w:type="dxa"/>
            <w:tcBorders>
              <w:bottom w:val="doub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Estrangeira</w:t>
            </w:r>
          </w:p>
        </w:tc>
        <w:tc>
          <w:tcPr>
            <w:tcW w:w="1973" w:type="dxa"/>
            <w:tcBorders>
              <w:bottom w:val="double" w:sz="4" w:space="0" w:color="auto"/>
            </w:tcBorders>
            <w:noWrap/>
            <w:hideMark/>
          </w:tcPr>
          <w:p w:rsidR="00682A88" w:rsidRPr="00CF3673" w:rsidRDefault="00682A88" w:rsidP="00682A88">
            <w:pPr>
              <w:jc w:val="center"/>
            </w:pPr>
            <w:r w:rsidRPr="00CF3673">
              <w:t>81.8</w:t>
            </w:r>
          </w:p>
        </w:tc>
        <w:tc>
          <w:tcPr>
            <w:tcW w:w="2262" w:type="dxa"/>
            <w:tcBorders>
              <w:bottom w:val="double" w:sz="4" w:space="0" w:color="auto"/>
            </w:tcBorders>
            <w:noWrap/>
            <w:hideMark/>
          </w:tcPr>
          <w:p w:rsidR="00682A88" w:rsidRPr="00CF3673" w:rsidRDefault="00682A88" w:rsidP="00682A88">
            <w:pPr>
              <w:jc w:val="center"/>
            </w:pPr>
            <w:r w:rsidRPr="00CF3673">
              <w:t>52.3</w:t>
            </w:r>
          </w:p>
        </w:tc>
        <w:tc>
          <w:tcPr>
            <w:tcW w:w="1144" w:type="dxa"/>
            <w:tcBorders>
              <w:bottom w:val="double" w:sz="4" w:space="0" w:color="auto"/>
            </w:tcBorders>
            <w:noWrap/>
            <w:hideMark/>
          </w:tcPr>
          <w:p w:rsidR="00682A88" w:rsidRPr="00CF3673" w:rsidRDefault="00682A88" w:rsidP="00682A88">
            <w:pPr>
              <w:jc w:val="center"/>
            </w:pPr>
            <w:r w:rsidRPr="00CF3673">
              <w:t>44</w:t>
            </w:r>
          </w:p>
        </w:tc>
      </w:tr>
      <w:tr w:rsidR="00682A88" w:rsidRPr="00CF3673" w:rsidTr="00682A88">
        <w:trPr>
          <w:trHeight w:val="301"/>
          <w:jc w:val="center"/>
        </w:trPr>
        <w:tc>
          <w:tcPr>
            <w:tcW w:w="8419" w:type="dxa"/>
            <w:gridSpan w:val="4"/>
            <w:tcBorders>
              <w:top w:val="double" w:sz="4" w:space="0" w:color="auto"/>
              <w:bottom w:val="nil"/>
            </w:tcBorders>
            <w:noWrap/>
          </w:tcPr>
          <w:p w:rsidR="00682A88" w:rsidRPr="00CF3673" w:rsidRDefault="00682A88" w:rsidP="00682A88">
            <w:pPr>
              <w:pStyle w:val="Tablenote"/>
              <w:rPr>
                <w:b/>
                <w:lang w:val="pt-PT"/>
              </w:rPr>
            </w:pPr>
            <w:r w:rsidRPr="00CF3673">
              <w:rPr>
                <w:b/>
                <w:lang w:val="pt-PT"/>
              </w:rPr>
              <w:lastRenderedPageBreak/>
              <w:t>Nota:</w:t>
            </w:r>
            <w:r w:rsidRPr="00CF3673">
              <w:rPr>
                <w:lang w:val="pt-PT"/>
              </w:rPr>
              <w:t xml:space="preserve"> O número de </w:t>
            </w:r>
            <w:r w:rsidR="006A4724" w:rsidRPr="00CF3673">
              <w:rPr>
                <w:lang w:val="pt-PT"/>
              </w:rPr>
              <w:t>observações</w:t>
            </w:r>
            <w:r w:rsidRPr="00CF3673">
              <w:rPr>
                <w:lang w:val="pt-PT"/>
              </w:rPr>
              <w:t xml:space="preserve"> é baixo (187 </w:t>
            </w:r>
            <w:r w:rsidR="006A4724" w:rsidRPr="00CF3673">
              <w:rPr>
                <w:lang w:val="pt-PT"/>
              </w:rPr>
              <w:t>observações</w:t>
            </w:r>
            <w:r w:rsidRPr="00CF3673">
              <w:rPr>
                <w:lang w:val="pt-PT"/>
              </w:rPr>
              <w:t xml:space="preserve"> em falta), pois esta informação só está disponível quando o gerente foi a pessoa responder ao questionário.</w:t>
            </w:r>
          </w:p>
        </w:tc>
      </w:tr>
      <w:tr w:rsidR="00682A88" w:rsidRPr="00CF3673" w:rsidTr="00682A88">
        <w:trPr>
          <w:trHeight w:val="301"/>
          <w:jc w:val="center"/>
        </w:trPr>
        <w:tc>
          <w:tcPr>
            <w:tcW w:w="8419" w:type="dxa"/>
            <w:gridSpan w:val="4"/>
            <w:tcBorders>
              <w:top w:val="nil"/>
              <w:bottom w:val="nil"/>
            </w:tcBorders>
            <w:noWrap/>
          </w:tcPr>
          <w:p w:rsidR="00682A88" w:rsidRPr="00CF3673" w:rsidRDefault="00682A88" w:rsidP="00C41650">
            <w:pPr>
              <w:pStyle w:val="Tablenote"/>
              <w:rPr>
                <w:b/>
                <w:lang w:val="pt-PT"/>
              </w:rPr>
            </w:pPr>
            <w:r w:rsidRPr="00CF3673">
              <w:rPr>
                <w:b/>
                <w:lang w:val="pt-PT"/>
              </w:rPr>
              <w:t>Fonte:</w:t>
            </w:r>
            <w:r w:rsidRPr="00CF3673">
              <w:rPr>
                <w:lang w:val="pt-PT"/>
              </w:rPr>
              <w:t xml:space="preserve"> Cálculos </w:t>
            </w:r>
            <w:r w:rsidR="00C41650" w:rsidRPr="00CF3673">
              <w:rPr>
                <w:lang w:val="pt-PT"/>
              </w:rPr>
              <w:t>dos autores</w:t>
            </w:r>
            <w:r w:rsidRPr="00CF3673">
              <w:rPr>
                <w:lang w:val="pt-PT"/>
              </w:rPr>
              <w:t xml:space="preserve">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Após 20 anos de tempo de paz regra Frelimo em Moçambique , as elites políticas e </w:t>
      </w:r>
      <w:r w:rsidR="006A4724" w:rsidRPr="00CF3673">
        <w:t>económicas</w:t>
      </w:r>
      <w:r w:rsidRPr="00CF3673">
        <w:t xml:space="preserve"> em Moçambique são , em grande medida interligados. Isto é ilustrado pelo facto de vários altos da Frelimo - membros têm participação substancial nas empresas em Moçambique</w:t>
      </w:r>
      <w:r w:rsidRPr="00CF3673">
        <w:rPr>
          <w:rStyle w:val="FootnoteReference"/>
        </w:rPr>
        <w:footnoteReference w:id="34"/>
      </w:r>
      <w:r w:rsidRPr="00CF3673">
        <w:t>. Um grande número de empresários são membros da Frelimo , como pode ser visto a partir da Tabela 6.4 . A política é muitas vezes uma questão delicada, que as empresas podem estar relutantes em afirmar uma filiação a um outro partido - nota-se que uma parte substancial dos inquiridos não respondeu as perguntas sobre filiação política .</w:t>
      </w:r>
    </w:p>
    <w:p w:rsidR="00682A88" w:rsidRPr="00CF3673" w:rsidRDefault="00682A88" w:rsidP="00682A88">
      <w:pPr>
        <w:spacing w:line="360" w:lineRule="auto"/>
        <w:jc w:val="both"/>
      </w:pPr>
      <w:r w:rsidRPr="00CF3673">
        <w:t xml:space="preserve">Curiosamente, a adesão é mais </w:t>
      </w:r>
      <w:r w:rsidR="006A4724" w:rsidRPr="00CF3673">
        <w:t>frequente</w:t>
      </w:r>
      <w:r w:rsidRPr="00CF3673">
        <w:t xml:space="preserve"> para os proprietários de empresas de pequeno porte , com quase 40% dos proprietários de micro empresa serem membros da Frelimo contra apenas 15%  dos donos de empresas de médio porte. Uma interpretação deste pode ser que ser um membro da Frelimo dá à empresa acesso a uma rede poderosa, que pode ser útil em uma economia em que os mercados não estão sempre a funcionar bem e que as pequenas empresas precisam desta para uma extensão maior do que as empresas maiores, o que pode ter acesso a outras redes .</w:t>
      </w:r>
    </w:p>
    <w:p w:rsidR="00682A88" w:rsidRPr="00CF3673" w:rsidRDefault="00682A88" w:rsidP="00682A88">
      <w:pPr>
        <w:spacing w:line="360" w:lineRule="auto"/>
        <w:jc w:val="both"/>
        <w:rPr>
          <w:b/>
        </w:rPr>
      </w:pPr>
      <w:r w:rsidRPr="00CF3673">
        <w:rPr>
          <w:b/>
        </w:rPr>
        <w:t>Tabela 6.4: filiação política do proprietário por tipo de empresa , % de empresas</w:t>
      </w:r>
    </w:p>
    <w:tbl>
      <w:tblPr>
        <w:tblStyle w:val="StandardTable"/>
        <w:tblW w:w="0" w:type="auto"/>
        <w:jc w:val="center"/>
        <w:tblInd w:w="-732" w:type="dxa"/>
        <w:tblLayout w:type="fixed"/>
        <w:tblLook w:val="04A0" w:firstRow="1" w:lastRow="0" w:firstColumn="1" w:lastColumn="0" w:noHBand="0" w:noVBand="1"/>
      </w:tblPr>
      <w:tblGrid>
        <w:gridCol w:w="2244"/>
        <w:gridCol w:w="990"/>
        <w:gridCol w:w="1800"/>
        <w:gridCol w:w="1620"/>
        <w:gridCol w:w="1254"/>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jc w:val="center"/>
        </w:trPr>
        <w:tc>
          <w:tcPr>
            <w:tcW w:w="2244" w:type="dxa"/>
            <w:noWrap/>
            <w:hideMark/>
          </w:tcPr>
          <w:p w:rsidR="00682A88" w:rsidRPr="00CF3673" w:rsidRDefault="00682A88" w:rsidP="00682A88">
            <w:pPr>
              <w:rPr>
                <w:rFonts w:ascii="Calibri" w:eastAsia="Times New Roman" w:hAnsi="Calibri" w:cs="Calibri"/>
                <w:color w:val="000000"/>
                <w:lang w:eastAsia="zh-CN"/>
              </w:rPr>
            </w:pPr>
          </w:p>
        </w:tc>
        <w:tc>
          <w:tcPr>
            <w:tcW w:w="99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Frelimo</w:t>
            </w:r>
          </w:p>
        </w:tc>
        <w:tc>
          <w:tcPr>
            <w:tcW w:w="180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Outros partidos políticos</w:t>
            </w:r>
          </w:p>
        </w:tc>
        <w:tc>
          <w:tcPr>
            <w:tcW w:w="1620"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Não respondeu</w:t>
            </w:r>
          </w:p>
        </w:tc>
        <w:tc>
          <w:tcPr>
            <w:tcW w:w="1254" w:type="dxa"/>
            <w:noWrap/>
            <w:hideMark/>
          </w:tcPr>
          <w:p w:rsidR="00682A88" w:rsidRPr="00CF3673" w:rsidRDefault="00682A88" w:rsidP="00682A88">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Nº de obs.</w:t>
            </w:r>
          </w:p>
        </w:tc>
      </w:tr>
      <w:tr w:rsidR="00682A88" w:rsidRPr="00CF3673" w:rsidTr="00682A88">
        <w:trPr>
          <w:trHeight w:val="300"/>
          <w:jc w:val="center"/>
        </w:trPr>
        <w:tc>
          <w:tcPr>
            <w:tcW w:w="2244"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Todas</w:t>
            </w:r>
          </w:p>
        </w:tc>
        <w:tc>
          <w:tcPr>
            <w:tcW w:w="990" w:type="dxa"/>
            <w:noWrap/>
            <w:hideMark/>
          </w:tcPr>
          <w:p w:rsidR="00682A88" w:rsidRPr="00CF3673" w:rsidRDefault="00682A88" w:rsidP="00682A88">
            <w:pPr>
              <w:jc w:val="center"/>
            </w:pPr>
            <w:r w:rsidRPr="00CF3673">
              <w:t>32.9</w:t>
            </w:r>
          </w:p>
        </w:tc>
        <w:tc>
          <w:tcPr>
            <w:tcW w:w="1800" w:type="dxa"/>
            <w:noWrap/>
            <w:hideMark/>
          </w:tcPr>
          <w:p w:rsidR="00682A88" w:rsidRPr="00CF3673" w:rsidRDefault="00682A88" w:rsidP="00682A88">
            <w:pPr>
              <w:jc w:val="center"/>
            </w:pPr>
            <w:r w:rsidRPr="00CF3673">
              <w:t>0.9</w:t>
            </w:r>
          </w:p>
        </w:tc>
        <w:tc>
          <w:tcPr>
            <w:tcW w:w="1620" w:type="dxa"/>
            <w:noWrap/>
            <w:hideMark/>
          </w:tcPr>
          <w:p w:rsidR="00682A88" w:rsidRPr="00CF3673" w:rsidRDefault="00682A88" w:rsidP="00682A88">
            <w:pPr>
              <w:jc w:val="center"/>
            </w:pPr>
            <w:r w:rsidRPr="00CF3673">
              <w:t>16.4</w:t>
            </w:r>
          </w:p>
        </w:tc>
        <w:tc>
          <w:tcPr>
            <w:tcW w:w="1254" w:type="dxa"/>
            <w:noWrap/>
            <w:hideMark/>
          </w:tcPr>
          <w:p w:rsidR="00682A88" w:rsidRPr="00CF3673" w:rsidRDefault="00682A88" w:rsidP="00682A88">
            <w:pPr>
              <w:jc w:val="center"/>
            </w:pPr>
            <w:r w:rsidRPr="00CF3673">
              <w:t>761</w:t>
            </w:r>
          </w:p>
        </w:tc>
      </w:tr>
      <w:tr w:rsidR="00682A88" w:rsidRPr="00CF3673" w:rsidTr="00682A88">
        <w:trPr>
          <w:trHeight w:val="300"/>
          <w:jc w:val="center"/>
        </w:trPr>
        <w:tc>
          <w:tcPr>
            <w:tcW w:w="2244" w:type="dxa"/>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990" w:type="dxa"/>
            <w:noWrap/>
            <w:hideMark/>
          </w:tcPr>
          <w:p w:rsidR="00682A88" w:rsidRPr="00CF3673" w:rsidRDefault="00682A88" w:rsidP="00682A88">
            <w:pPr>
              <w:jc w:val="center"/>
            </w:pPr>
            <w:r w:rsidRPr="00CF3673">
              <w:t>38.7</w:t>
            </w:r>
          </w:p>
        </w:tc>
        <w:tc>
          <w:tcPr>
            <w:tcW w:w="1800" w:type="dxa"/>
            <w:noWrap/>
            <w:hideMark/>
          </w:tcPr>
          <w:p w:rsidR="00682A88" w:rsidRPr="00CF3673" w:rsidRDefault="00682A88" w:rsidP="00682A88">
            <w:pPr>
              <w:jc w:val="center"/>
            </w:pPr>
            <w:r w:rsidRPr="00CF3673">
              <w:t>0.8</w:t>
            </w:r>
          </w:p>
        </w:tc>
        <w:tc>
          <w:tcPr>
            <w:tcW w:w="1620" w:type="dxa"/>
            <w:noWrap/>
            <w:hideMark/>
          </w:tcPr>
          <w:p w:rsidR="00682A88" w:rsidRPr="00CF3673" w:rsidRDefault="00682A88" w:rsidP="00682A88">
            <w:pPr>
              <w:jc w:val="center"/>
            </w:pPr>
            <w:r w:rsidRPr="00CF3673">
              <w:t>13.0</w:t>
            </w:r>
          </w:p>
        </w:tc>
        <w:tc>
          <w:tcPr>
            <w:tcW w:w="1254" w:type="dxa"/>
            <w:noWrap/>
            <w:hideMark/>
          </w:tcPr>
          <w:p w:rsidR="00682A88" w:rsidRPr="00CF3673" w:rsidRDefault="00682A88" w:rsidP="00682A88">
            <w:pPr>
              <w:jc w:val="center"/>
            </w:pPr>
            <w:r w:rsidRPr="00CF3673">
              <w:t>517</w:t>
            </w:r>
          </w:p>
        </w:tc>
      </w:tr>
      <w:tr w:rsidR="00682A88" w:rsidRPr="00CF3673" w:rsidTr="00682A88">
        <w:trPr>
          <w:trHeight w:val="300"/>
          <w:jc w:val="center"/>
        </w:trPr>
        <w:tc>
          <w:tcPr>
            <w:tcW w:w="2244" w:type="dxa"/>
            <w:tcBorders>
              <w:bottom w:val="nil"/>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Pequena </w:t>
            </w:r>
          </w:p>
        </w:tc>
        <w:tc>
          <w:tcPr>
            <w:tcW w:w="990" w:type="dxa"/>
            <w:tcBorders>
              <w:bottom w:val="nil"/>
            </w:tcBorders>
            <w:noWrap/>
            <w:hideMark/>
          </w:tcPr>
          <w:p w:rsidR="00682A88" w:rsidRPr="00CF3673" w:rsidRDefault="00682A88" w:rsidP="00682A88">
            <w:pPr>
              <w:jc w:val="center"/>
            </w:pPr>
            <w:r w:rsidRPr="00CF3673">
              <w:t>22.5</w:t>
            </w:r>
          </w:p>
        </w:tc>
        <w:tc>
          <w:tcPr>
            <w:tcW w:w="1800" w:type="dxa"/>
            <w:tcBorders>
              <w:bottom w:val="nil"/>
            </w:tcBorders>
            <w:noWrap/>
            <w:hideMark/>
          </w:tcPr>
          <w:p w:rsidR="00682A88" w:rsidRPr="00CF3673" w:rsidRDefault="00682A88" w:rsidP="00682A88">
            <w:pPr>
              <w:jc w:val="center"/>
            </w:pPr>
            <w:r w:rsidRPr="00CF3673">
              <w:t>1.7</w:t>
            </w:r>
          </w:p>
        </w:tc>
        <w:tc>
          <w:tcPr>
            <w:tcW w:w="1620" w:type="dxa"/>
            <w:tcBorders>
              <w:bottom w:val="nil"/>
            </w:tcBorders>
            <w:noWrap/>
            <w:hideMark/>
          </w:tcPr>
          <w:p w:rsidR="00682A88" w:rsidRPr="00CF3673" w:rsidRDefault="00682A88" w:rsidP="00682A88">
            <w:pPr>
              <w:jc w:val="center"/>
            </w:pPr>
            <w:r w:rsidRPr="00CF3673">
              <w:t>22.5</w:t>
            </w:r>
          </w:p>
        </w:tc>
        <w:tc>
          <w:tcPr>
            <w:tcW w:w="1254" w:type="dxa"/>
            <w:tcBorders>
              <w:bottom w:val="nil"/>
            </w:tcBorders>
            <w:noWrap/>
            <w:hideMark/>
          </w:tcPr>
          <w:p w:rsidR="00682A88" w:rsidRPr="00CF3673" w:rsidRDefault="00682A88" w:rsidP="00682A88">
            <w:pPr>
              <w:jc w:val="center"/>
            </w:pPr>
            <w:r w:rsidRPr="00CF3673">
              <w:t>178</w:t>
            </w:r>
          </w:p>
        </w:tc>
      </w:tr>
      <w:tr w:rsidR="00682A88" w:rsidRPr="00CF3673" w:rsidTr="00682A88">
        <w:trPr>
          <w:trHeight w:val="300"/>
          <w:jc w:val="center"/>
        </w:trPr>
        <w:tc>
          <w:tcPr>
            <w:tcW w:w="2244" w:type="dxa"/>
            <w:tcBorders>
              <w:top w:val="nil"/>
              <w:bottom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Média</w:t>
            </w:r>
          </w:p>
        </w:tc>
        <w:tc>
          <w:tcPr>
            <w:tcW w:w="990" w:type="dxa"/>
            <w:tcBorders>
              <w:top w:val="nil"/>
              <w:bottom w:val="single" w:sz="4" w:space="0" w:color="auto"/>
            </w:tcBorders>
            <w:noWrap/>
            <w:hideMark/>
          </w:tcPr>
          <w:p w:rsidR="00682A88" w:rsidRPr="00CF3673" w:rsidRDefault="00682A88" w:rsidP="00682A88">
            <w:pPr>
              <w:jc w:val="center"/>
            </w:pPr>
            <w:r w:rsidRPr="00CF3673">
              <w:t>15.2</w:t>
            </w:r>
          </w:p>
        </w:tc>
        <w:tc>
          <w:tcPr>
            <w:tcW w:w="1800" w:type="dxa"/>
            <w:tcBorders>
              <w:top w:val="nil"/>
              <w:bottom w:val="single" w:sz="4" w:space="0" w:color="auto"/>
            </w:tcBorders>
            <w:noWrap/>
            <w:hideMark/>
          </w:tcPr>
          <w:p w:rsidR="00682A88" w:rsidRPr="00CF3673" w:rsidRDefault="00682A88" w:rsidP="00682A88">
            <w:pPr>
              <w:jc w:val="center"/>
            </w:pPr>
            <w:r w:rsidRPr="00CF3673">
              <w:t>0.0</w:t>
            </w:r>
          </w:p>
        </w:tc>
        <w:tc>
          <w:tcPr>
            <w:tcW w:w="1620" w:type="dxa"/>
            <w:tcBorders>
              <w:top w:val="nil"/>
              <w:bottom w:val="single" w:sz="4" w:space="0" w:color="auto"/>
            </w:tcBorders>
            <w:noWrap/>
            <w:hideMark/>
          </w:tcPr>
          <w:p w:rsidR="00682A88" w:rsidRPr="00CF3673" w:rsidRDefault="00682A88" w:rsidP="00682A88">
            <w:pPr>
              <w:jc w:val="center"/>
            </w:pPr>
            <w:r w:rsidRPr="00CF3673">
              <w:t>27.3</w:t>
            </w:r>
          </w:p>
        </w:tc>
        <w:tc>
          <w:tcPr>
            <w:tcW w:w="1254" w:type="dxa"/>
            <w:tcBorders>
              <w:top w:val="nil"/>
              <w:bottom w:val="single" w:sz="4" w:space="0" w:color="auto"/>
            </w:tcBorders>
            <w:noWrap/>
            <w:hideMark/>
          </w:tcPr>
          <w:p w:rsidR="00682A88" w:rsidRPr="00CF3673" w:rsidRDefault="00682A88" w:rsidP="00682A88">
            <w:pPr>
              <w:jc w:val="center"/>
            </w:pPr>
            <w:r w:rsidRPr="00CF3673">
              <w:t>66</w:t>
            </w:r>
          </w:p>
        </w:tc>
      </w:tr>
      <w:tr w:rsidR="00682A88" w:rsidRPr="00CF3673" w:rsidTr="00682A88">
        <w:trPr>
          <w:trHeight w:val="300"/>
          <w:jc w:val="center"/>
        </w:trPr>
        <w:tc>
          <w:tcPr>
            <w:tcW w:w="2244" w:type="dxa"/>
            <w:tcBorders>
              <w:top w:val="single" w:sz="4" w:space="0" w:color="auto"/>
              <w:bottom w:val="nil"/>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Informal</w:t>
            </w:r>
          </w:p>
        </w:tc>
        <w:tc>
          <w:tcPr>
            <w:tcW w:w="990" w:type="dxa"/>
            <w:tcBorders>
              <w:top w:val="single" w:sz="4" w:space="0" w:color="auto"/>
              <w:bottom w:val="nil"/>
            </w:tcBorders>
            <w:noWrap/>
            <w:hideMark/>
          </w:tcPr>
          <w:p w:rsidR="00682A88" w:rsidRPr="00CF3673" w:rsidRDefault="00682A88" w:rsidP="00682A88">
            <w:pPr>
              <w:jc w:val="center"/>
            </w:pPr>
            <w:r w:rsidRPr="00CF3673">
              <w:t>36.1</w:t>
            </w:r>
          </w:p>
        </w:tc>
        <w:tc>
          <w:tcPr>
            <w:tcW w:w="1800" w:type="dxa"/>
            <w:tcBorders>
              <w:top w:val="single" w:sz="4" w:space="0" w:color="auto"/>
              <w:bottom w:val="nil"/>
            </w:tcBorders>
            <w:noWrap/>
            <w:hideMark/>
          </w:tcPr>
          <w:p w:rsidR="00682A88" w:rsidRPr="00CF3673" w:rsidRDefault="00682A88" w:rsidP="00682A88">
            <w:pPr>
              <w:jc w:val="center"/>
            </w:pPr>
            <w:r w:rsidRPr="00CF3673">
              <w:t>1.8</w:t>
            </w:r>
          </w:p>
        </w:tc>
        <w:tc>
          <w:tcPr>
            <w:tcW w:w="1620" w:type="dxa"/>
            <w:tcBorders>
              <w:top w:val="single" w:sz="4" w:space="0" w:color="auto"/>
              <w:bottom w:val="nil"/>
            </w:tcBorders>
            <w:noWrap/>
            <w:hideMark/>
          </w:tcPr>
          <w:p w:rsidR="00682A88" w:rsidRPr="00CF3673" w:rsidRDefault="00682A88" w:rsidP="00682A88">
            <w:pPr>
              <w:jc w:val="center"/>
            </w:pPr>
            <w:r w:rsidRPr="00CF3673">
              <w:t>12.0</w:t>
            </w:r>
          </w:p>
        </w:tc>
        <w:tc>
          <w:tcPr>
            <w:tcW w:w="1254" w:type="dxa"/>
            <w:tcBorders>
              <w:top w:val="single" w:sz="4" w:space="0" w:color="auto"/>
              <w:bottom w:val="nil"/>
            </w:tcBorders>
            <w:noWrap/>
            <w:hideMark/>
          </w:tcPr>
          <w:p w:rsidR="00682A88" w:rsidRPr="00CF3673" w:rsidRDefault="00682A88" w:rsidP="00682A88">
            <w:pPr>
              <w:jc w:val="center"/>
            </w:pPr>
            <w:r w:rsidRPr="00CF3673">
              <w:t>166</w:t>
            </w:r>
          </w:p>
        </w:tc>
      </w:tr>
      <w:tr w:rsidR="00682A88" w:rsidRPr="00CF3673" w:rsidTr="00682A88">
        <w:trPr>
          <w:trHeight w:val="300"/>
          <w:jc w:val="center"/>
        </w:trPr>
        <w:tc>
          <w:tcPr>
            <w:tcW w:w="2244" w:type="dxa"/>
            <w:tcBorders>
              <w:top w:val="nil"/>
              <w:bottom w:val="sing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Times New Roman"/>
                <w:lang w:eastAsia="zh-CN"/>
              </w:rPr>
              <w:t>Formal</w:t>
            </w:r>
          </w:p>
        </w:tc>
        <w:tc>
          <w:tcPr>
            <w:tcW w:w="990" w:type="dxa"/>
            <w:tcBorders>
              <w:top w:val="nil"/>
              <w:bottom w:val="single" w:sz="4" w:space="0" w:color="auto"/>
            </w:tcBorders>
            <w:noWrap/>
            <w:hideMark/>
          </w:tcPr>
          <w:p w:rsidR="00682A88" w:rsidRPr="00CF3673" w:rsidRDefault="00682A88" w:rsidP="00682A88">
            <w:pPr>
              <w:jc w:val="center"/>
            </w:pPr>
            <w:r w:rsidRPr="00CF3673">
              <w:t>31.7</w:t>
            </w:r>
          </w:p>
        </w:tc>
        <w:tc>
          <w:tcPr>
            <w:tcW w:w="1800" w:type="dxa"/>
            <w:tcBorders>
              <w:top w:val="nil"/>
              <w:bottom w:val="single" w:sz="4" w:space="0" w:color="auto"/>
            </w:tcBorders>
            <w:noWrap/>
            <w:hideMark/>
          </w:tcPr>
          <w:p w:rsidR="00682A88" w:rsidRPr="00CF3673" w:rsidRDefault="00682A88" w:rsidP="00682A88">
            <w:pPr>
              <w:jc w:val="center"/>
            </w:pPr>
            <w:r w:rsidRPr="00CF3673">
              <w:t>0.7</w:t>
            </w:r>
          </w:p>
        </w:tc>
        <w:tc>
          <w:tcPr>
            <w:tcW w:w="1620" w:type="dxa"/>
            <w:tcBorders>
              <w:top w:val="nil"/>
              <w:bottom w:val="single" w:sz="4" w:space="0" w:color="auto"/>
            </w:tcBorders>
            <w:noWrap/>
            <w:hideMark/>
          </w:tcPr>
          <w:p w:rsidR="00682A88" w:rsidRPr="00CF3673" w:rsidRDefault="00682A88" w:rsidP="00682A88">
            <w:pPr>
              <w:jc w:val="center"/>
            </w:pPr>
            <w:r w:rsidRPr="00CF3673">
              <w:t>17.7</w:t>
            </w:r>
          </w:p>
        </w:tc>
        <w:tc>
          <w:tcPr>
            <w:tcW w:w="1254" w:type="dxa"/>
            <w:tcBorders>
              <w:top w:val="nil"/>
              <w:bottom w:val="single" w:sz="4" w:space="0" w:color="auto"/>
            </w:tcBorders>
            <w:noWrap/>
            <w:hideMark/>
          </w:tcPr>
          <w:p w:rsidR="00682A88" w:rsidRPr="00CF3673" w:rsidRDefault="00682A88" w:rsidP="00682A88">
            <w:pPr>
              <w:jc w:val="center"/>
            </w:pPr>
            <w:r w:rsidRPr="00CF3673">
              <w:t>593</w:t>
            </w:r>
          </w:p>
        </w:tc>
      </w:tr>
      <w:tr w:rsidR="00682A88" w:rsidRPr="00CF3673" w:rsidTr="00682A88">
        <w:trPr>
          <w:trHeight w:val="300"/>
          <w:jc w:val="center"/>
        </w:trPr>
        <w:tc>
          <w:tcPr>
            <w:tcW w:w="2244" w:type="dxa"/>
            <w:tcBorders>
              <w:top w:val="single" w:sz="4" w:space="0" w:color="auto"/>
              <w:bottom w:val="nil"/>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Moçambicana</w:t>
            </w:r>
          </w:p>
        </w:tc>
        <w:tc>
          <w:tcPr>
            <w:tcW w:w="990" w:type="dxa"/>
            <w:tcBorders>
              <w:top w:val="single" w:sz="4" w:space="0" w:color="auto"/>
              <w:bottom w:val="nil"/>
            </w:tcBorders>
            <w:noWrap/>
            <w:hideMark/>
          </w:tcPr>
          <w:p w:rsidR="00682A88" w:rsidRPr="00CF3673" w:rsidRDefault="00682A88" w:rsidP="00682A88">
            <w:pPr>
              <w:jc w:val="center"/>
            </w:pPr>
            <w:r w:rsidRPr="00CF3673">
              <w:t>36.4</w:t>
            </w:r>
          </w:p>
        </w:tc>
        <w:tc>
          <w:tcPr>
            <w:tcW w:w="1800" w:type="dxa"/>
            <w:tcBorders>
              <w:top w:val="single" w:sz="4" w:space="0" w:color="auto"/>
              <w:bottom w:val="nil"/>
            </w:tcBorders>
            <w:noWrap/>
            <w:hideMark/>
          </w:tcPr>
          <w:p w:rsidR="00682A88" w:rsidRPr="00CF3673" w:rsidRDefault="00682A88" w:rsidP="00682A88">
            <w:pPr>
              <w:jc w:val="center"/>
            </w:pPr>
            <w:r w:rsidRPr="00CF3673">
              <w:t>1.0</w:t>
            </w:r>
          </w:p>
        </w:tc>
        <w:tc>
          <w:tcPr>
            <w:tcW w:w="1620" w:type="dxa"/>
            <w:tcBorders>
              <w:top w:val="single" w:sz="4" w:space="0" w:color="auto"/>
              <w:bottom w:val="nil"/>
            </w:tcBorders>
            <w:noWrap/>
            <w:hideMark/>
          </w:tcPr>
          <w:p w:rsidR="00682A88" w:rsidRPr="00CF3673" w:rsidRDefault="00682A88" w:rsidP="00682A88">
            <w:pPr>
              <w:jc w:val="center"/>
            </w:pPr>
            <w:r w:rsidRPr="00CF3673">
              <w:t>15.8</w:t>
            </w:r>
          </w:p>
        </w:tc>
        <w:tc>
          <w:tcPr>
            <w:tcW w:w="1254" w:type="dxa"/>
            <w:tcBorders>
              <w:top w:val="single" w:sz="4" w:space="0" w:color="auto"/>
              <w:bottom w:val="nil"/>
            </w:tcBorders>
            <w:noWrap/>
            <w:hideMark/>
          </w:tcPr>
          <w:p w:rsidR="00682A88" w:rsidRPr="00CF3673" w:rsidRDefault="00682A88" w:rsidP="00682A88">
            <w:pPr>
              <w:jc w:val="center"/>
            </w:pPr>
            <w:r w:rsidRPr="00CF3673">
              <w:t>676</w:t>
            </w:r>
          </w:p>
        </w:tc>
      </w:tr>
      <w:tr w:rsidR="00682A88" w:rsidRPr="00CF3673" w:rsidTr="00682A88">
        <w:trPr>
          <w:trHeight w:val="300"/>
          <w:jc w:val="center"/>
        </w:trPr>
        <w:tc>
          <w:tcPr>
            <w:tcW w:w="2244" w:type="dxa"/>
            <w:tcBorders>
              <w:top w:val="nil"/>
              <w:bottom w:val="double" w:sz="4" w:space="0" w:color="auto"/>
            </w:tcBorders>
            <w:noWrap/>
            <w:hideMark/>
          </w:tcPr>
          <w:p w:rsidR="00682A88" w:rsidRPr="00CF3673" w:rsidRDefault="00682A88" w:rsidP="00682A88">
            <w:pPr>
              <w:rPr>
                <w:rFonts w:ascii="Calibri" w:eastAsia="Times New Roman" w:hAnsi="Calibri" w:cs="Calibri"/>
                <w:color w:val="000000"/>
                <w:lang w:eastAsia="zh-CN"/>
              </w:rPr>
            </w:pPr>
            <w:r w:rsidRPr="00CF3673">
              <w:rPr>
                <w:rFonts w:ascii="Calibri" w:eastAsia="Times New Roman" w:hAnsi="Calibri" w:cs="Calibri"/>
                <w:color w:val="000000"/>
                <w:lang w:eastAsia="zh-CN"/>
              </w:rPr>
              <w:t>Propriedade Estrangeira</w:t>
            </w:r>
          </w:p>
        </w:tc>
        <w:tc>
          <w:tcPr>
            <w:tcW w:w="990" w:type="dxa"/>
            <w:tcBorders>
              <w:top w:val="nil"/>
              <w:bottom w:val="double" w:sz="4" w:space="0" w:color="auto"/>
            </w:tcBorders>
            <w:noWrap/>
            <w:hideMark/>
          </w:tcPr>
          <w:p w:rsidR="00682A88" w:rsidRPr="00CF3673" w:rsidRDefault="00682A88" w:rsidP="00682A88">
            <w:pPr>
              <w:jc w:val="center"/>
            </w:pPr>
            <w:r w:rsidRPr="00CF3673">
              <w:t>4.8</w:t>
            </w:r>
          </w:p>
        </w:tc>
        <w:tc>
          <w:tcPr>
            <w:tcW w:w="1800" w:type="dxa"/>
            <w:tcBorders>
              <w:top w:val="nil"/>
              <w:bottom w:val="double" w:sz="4" w:space="0" w:color="auto"/>
            </w:tcBorders>
            <w:noWrap/>
            <w:hideMark/>
          </w:tcPr>
          <w:p w:rsidR="00682A88" w:rsidRPr="00CF3673" w:rsidRDefault="00682A88" w:rsidP="00682A88">
            <w:pPr>
              <w:jc w:val="center"/>
            </w:pPr>
            <w:r w:rsidRPr="00CF3673">
              <w:t>0.0</w:t>
            </w:r>
          </w:p>
        </w:tc>
        <w:tc>
          <w:tcPr>
            <w:tcW w:w="1620" w:type="dxa"/>
            <w:tcBorders>
              <w:top w:val="nil"/>
              <w:bottom w:val="double" w:sz="4" w:space="0" w:color="auto"/>
            </w:tcBorders>
            <w:noWrap/>
            <w:hideMark/>
          </w:tcPr>
          <w:p w:rsidR="00682A88" w:rsidRPr="00CF3673" w:rsidRDefault="00682A88" w:rsidP="00682A88">
            <w:pPr>
              <w:jc w:val="center"/>
            </w:pPr>
            <w:r w:rsidRPr="00CF3673">
              <w:t>19.3</w:t>
            </w:r>
          </w:p>
        </w:tc>
        <w:tc>
          <w:tcPr>
            <w:tcW w:w="1254" w:type="dxa"/>
            <w:tcBorders>
              <w:top w:val="nil"/>
              <w:bottom w:val="double" w:sz="4" w:space="0" w:color="auto"/>
            </w:tcBorders>
            <w:noWrap/>
            <w:hideMark/>
          </w:tcPr>
          <w:p w:rsidR="00682A88" w:rsidRPr="00CF3673" w:rsidRDefault="00682A88" w:rsidP="00682A88">
            <w:pPr>
              <w:jc w:val="center"/>
            </w:pPr>
            <w:r w:rsidRPr="00CF3673">
              <w:t>83</w:t>
            </w:r>
          </w:p>
        </w:tc>
      </w:tr>
      <w:tr w:rsidR="00682A88" w:rsidRPr="00CF3673" w:rsidTr="00682A88">
        <w:trPr>
          <w:trHeight w:val="300"/>
          <w:jc w:val="center"/>
        </w:trPr>
        <w:tc>
          <w:tcPr>
            <w:tcW w:w="7908" w:type="dxa"/>
            <w:gridSpan w:val="5"/>
            <w:tcBorders>
              <w:top w:val="double" w:sz="4" w:space="0" w:color="auto"/>
              <w:bottom w:val="nil"/>
            </w:tcBorders>
            <w:noWrap/>
          </w:tcPr>
          <w:p w:rsidR="00682A88" w:rsidRPr="00CF3673" w:rsidRDefault="00682A88" w:rsidP="00682A88">
            <w:pPr>
              <w:pStyle w:val="Tablenote"/>
              <w:rPr>
                <w:b/>
                <w:lang w:val="pt-PT"/>
              </w:rPr>
            </w:pPr>
            <w:r w:rsidRPr="00CF3673">
              <w:rPr>
                <w:b/>
                <w:lang w:val="pt-PT"/>
              </w:rPr>
              <w:t>Nota:</w:t>
            </w:r>
            <w:r w:rsidRPr="00CF3673">
              <w:rPr>
                <w:lang w:val="pt-PT"/>
              </w:rPr>
              <w:t xml:space="preserve"> “Outros partidos políticos” refere-se à Renamo e outros. “Não respondeu” aplica-se a </w:t>
            </w:r>
            <w:r w:rsidR="006A4724" w:rsidRPr="00CF3673">
              <w:rPr>
                <w:lang w:val="pt-PT"/>
              </w:rPr>
              <w:t>situações</w:t>
            </w:r>
            <w:r w:rsidRPr="00CF3673">
              <w:rPr>
                <w:lang w:val="pt-PT"/>
              </w:rPr>
              <w:t xml:space="preserve"> em que o entrevistado não responder a pergunta "é o membro </w:t>
            </w:r>
            <w:r w:rsidR="006A4724" w:rsidRPr="00CF3673">
              <w:rPr>
                <w:lang w:val="pt-PT"/>
              </w:rPr>
              <w:t>accionista</w:t>
            </w:r>
            <w:r w:rsidRPr="00CF3673">
              <w:rPr>
                <w:lang w:val="pt-PT"/>
              </w:rPr>
              <w:t xml:space="preserve"> proprietário / maioria de um partido político " ou a pergunta " Se sim, qual o partido " .</w:t>
            </w:r>
          </w:p>
        </w:tc>
      </w:tr>
      <w:tr w:rsidR="00682A88" w:rsidRPr="00CF3673" w:rsidTr="00682A88">
        <w:trPr>
          <w:trHeight w:val="300"/>
          <w:jc w:val="center"/>
        </w:trPr>
        <w:tc>
          <w:tcPr>
            <w:tcW w:w="7908" w:type="dxa"/>
            <w:gridSpan w:val="5"/>
            <w:tcBorders>
              <w:top w:val="nil"/>
              <w:bottom w:val="nil"/>
            </w:tcBorders>
            <w:noWrap/>
          </w:tcPr>
          <w:p w:rsidR="00682A88" w:rsidRPr="00CF3673" w:rsidRDefault="00682A88" w:rsidP="00C41650">
            <w:pPr>
              <w:pStyle w:val="Tablenote"/>
              <w:rPr>
                <w:b/>
                <w:lang w:val="pt-PT"/>
              </w:rPr>
            </w:pPr>
            <w:r w:rsidRPr="00CF3673">
              <w:rPr>
                <w:b/>
                <w:lang w:val="pt-PT"/>
              </w:rPr>
              <w:t>Fonte:</w:t>
            </w:r>
            <w:r w:rsidRPr="00CF3673">
              <w:rPr>
                <w:lang w:val="pt-PT"/>
              </w:rPr>
              <w:t xml:space="preserve"> Cálculos</w:t>
            </w:r>
            <w:r w:rsidR="00C41650" w:rsidRPr="00CF3673">
              <w:rPr>
                <w:lang w:val="pt-PT"/>
              </w:rPr>
              <w:t xml:space="preserve"> dos autores</w:t>
            </w:r>
            <w:r w:rsidRPr="00CF3673">
              <w:rPr>
                <w:lang w:val="pt-PT"/>
              </w:rPr>
              <w:t xml:space="preserve"> usando IIM 2012.</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Como mencionado , as características do gestor pode ter </w:t>
      </w:r>
      <w:r w:rsidR="006A4724" w:rsidRPr="00CF3673">
        <w:t>implicações</w:t>
      </w:r>
      <w:r w:rsidRPr="00CF3673">
        <w:t xml:space="preserve"> para o desempenho da empresa . Este é investigado na Tabela 6.5 , que apresenta números de crescimento de emprego para empresas com </w:t>
      </w:r>
      <w:r w:rsidRPr="00CF3673">
        <w:lastRenderedPageBreak/>
        <w:t>diferentes características proprietário / gerente para o período 2009-2011 (usando a Secção transversal ), bem como 2006-2011 (usando os dados do painel ) . O facto de que o crescimento do emprego foi maior em 2009-2011 do que 2006-2011 foi discutido no capítulo 4 , por isso aqui o foco será sobre as diferenças entre os grupos.</w:t>
      </w:r>
    </w:p>
    <w:p w:rsidR="00682A88" w:rsidRPr="00CF3673" w:rsidRDefault="00682A88" w:rsidP="00682A88">
      <w:pPr>
        <w:spacing w:line="360" w:lineRule="auto"/>
        <w:jc w:val="both"/>
        <w:rPr>
          <w:b/>
        </w:rPr>
      </w:pPr>
      <w:r w:rsidRPr="00CF3673">
        <w:rPr>
          <w:b/>
        </w:rPr>
        <w:t>Tabela 6.5 : Emprego 2.006-2.011 crescimento e 2009-2011 pelas características proprietário, %.</w:t>
      </w:r>
    </w:p>
    <w:tbl>
      <w:tblPr>
        <w:tblStyle w:val="StandardTable"/>
        <w:tblW w:w="0" w:type="auto"/>
        <w:tblLook w:val="04A0" w:firstRow="1" w:lastRow="0" w:firstColumn="1" w:lastColumn="0" w:noHBand="0" w:noVBand="1"/>
      </w:tblPr>
      <w:tblGrid>
        <w:gridCol w:w="2307"/>
        <w:gridCol w:w="1435"/>
        <w:gridCol w:w="923"/>
        <w:gridCol w:w="720"/>
        <w:gridCol w:w="1050"/>
        <w:gridCol w:w="726"/>
        <w:gridCol w:w="923"/>
        <w:gridCol w:w="720"/>
        <w:gridCol w:w="1050"/>
      </w:tblGrid>
      <w:tr w:rsidR="00682A88" w:rsidRPr="00CF3673" w:rsidTr="00682A88">
        <w:trPr>
          <w:cnfStyle w:val="100000000000" w:firstRow="1" w:lastRow="0" w:firstColumn="0" w:lastColumn="0" w:oddVBand="0" w:evenVBand="0" w:oddHBand="0" w:evenHBand="0" w:firstRowFirstColumn="0" w:firstRowLastColumn="0" w:lastRowFirstColumn="0" w:lastRowLastColumn="0"/>
          <w:trHeight w:val="300"/>
        </w:trPr>
        <w:tc>
          <w:tcPr>
            <w:tcW w:w="2340" w:type="dxa"/>
            <w:tcBorders>
              <w:bottom w:val="nil"/>
            </w:tcBorders>
            <w:noWrap/>
          </w:tcPr>
          <w:p w:rsidR="00682A88" w:rsidRPr="00CF3673" w:rsidRDefault="00682A88" w:rsidP="00682A88">
            <w:pPr>
              <w:rPr>
                <w:rFonts w:ascii="Calibri" w:eastAsia="Times New Roman" w:hAnsi="Calibri" w:cs="Times New Roman"/>
                <w:lang w:eastAsia="zh-CN"/>
              </w:rPr>
            </w:pPr>
          </w:p>
        </w:tc>
        <w:tc>
          <w:tcPr>
            <w:tcW w:w="4120" w:type="dxa"/>
            <w:gridSpan w:val="4"/>
            <w:tcBorders>
              <w:bottom w:val="nil"/>
              <w:right w:val="single" w:sz="4" w:space="0" w:color="auto"/>
            </w:tcBorders>
            <w:noWrap/>
          </w:tcPr>
          <w:p w:rsidR="00682A88" w:rsidRPr="00CF3673" w:rsidRDefault="00682A88" w:rsidP="006A4724">
            <w:pPr>
              <w:jc w:val="center"/>
              <w:rPr>
                <w:rFonts w:ascii="Calibri" w:eastAsia="Times New Roman" w:hAnsi="Calibri" w:cs="Times New Roman"/>
                <w:lang w:eastAsia="zh-CN"/>
              </w:rPr>
            </w:pPr>
            <w:r w:rsidRPr="00CF3673">
              <w:rPr>
                <w:rFonts w:ascii="Calibri" w:eastAsia="Times New Roman" w:hAnsi="Calibri" w:cs="Times New Roman"/>
                <w:lang w:eastAsia="zh-CN"/>
              </w:rPr>
              <w:t xml:space="preserve">2009-2011 (Secção </w:t>
            </w:r>
            <w:r w:rsidR="006A4724" w:rsidRPr="00CF3673">
              <w:rPr>
                <w:rFonts w:ascii="Calibri" w:eastAsia="Times New Roman" w:hAnsi="Calibri" w:cs="Times New Roman"/>
                <w:lang w:eastAsia="zh-CN"/>
              </w:rPr>
              <w:t>cruzada</w:t>
            </w:r>
            <w:r w:rsidRPr="00CF3673">
              <w:rPr>
                <w:rFonts w:ascii="Calibri" w:eastAsia="Times New Roman" w:hAnsi="Calibri" w:cs="Times New Roman"/>
                <w:lang w:eastAsia="zh-CN"/>
              </w:rPr>
              <w:t>)</w:t>
            </w:r>
          </w:p>
        </w:tc>
        <w:tc>
          <w:tcPr>
            <w:tcW w:w="0" w:type="auto"/>
            <w:gridSpan w:val="4"/>
            <w:tcBorders>
              <w:left w:val="single" w:sz="4" w:space="0" w:color="auto"/>
              <w:bottom w:val="nil"/>
            </w:tcBorders>
            <w:noWrap/>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2006-2011 (</w:t>
            </w:r>
            <w:r w:rsidR="006A4724" w:rsidRPr="00CF3673">
              <w:rPr>
                <w:rFonts w:ascii="Calibri" w:eastAsia="Times New Roman" w:hAnsi="Calibri" w:cs="Times New Roman"/>
                <w:lang w:eastAsia="zh-CN"/>
              </w:rPr>
              <w:t>Painel</w:t>
            </w:r>
            <w:r w:rsidRPr="00CF3673">
              <w:rPr>
                <w:rFonts w:ascii="Calibri" w:eastAsia="Times New Roman" w:hAnsi="Calibri" w:cs="Times New Roman"/>
                <w:lang w:eastAsia="zh-CN"/>
              </w:rPr>
              <w:t>)</w:t>
            </w:r>
          </w:p>
        </w:tc>
      </w:tr>
      <w:tr w:rsidR="00682A88" w:rsidRPr="00CF3673" w:rsidTr="00682A88">
        <w:trPr>
          <w:trHeight w:val="300"/>
        </w:trPr>
        <w:tc>
          <w:tcPr>
            <w:tcW w:w="2340" w:type="dxa"/>
            <w:tcBorders>
              <w:top w:val="nil"/>
              <w:bottom w:val="single" w:sz="4" w:space="0" w:color="auto"/>
            </w:tcBorders>
            <w:noWrap/>
          </w:tcPr>
          <w:p w:rsidR="00682A88" w:rsidRPr="00CF3673" w:rsidRDefault="00682A88" w:rsidP="00682A88">
            <w:pPr>
              <w:rPr>
                <w:rFonts w:ascii="Calibri" w:eastAsia="Times New Roman" w:hAnsi="Calibri" w:cs="Times New Roman"/>
                <w:lang w:eastAsia="zh-CN"/>
              </w:rPr>
            </w:pPr>
          </w:p>
        </w:tc>
        <w:tc>
          <w:tcPr>
            <w:tcW w:w="1455" w:type="dxa"/>
            <w:tcBorders>
              <w:top w:val="nil"/>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Média</w:t>
            </w:r>
          </w:p>
        </w:tc>
        <w:tc>
          <w:tcPr>
            <w:tcW w:w="0" w:type="auto"/>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Mediana</w:t>
            </w:r>
          </w:p>
        </w:tc>
        <w:tc>
          <w:tcPr>
            <w:tcW w:w="0" w:type="auto"/>
            <w:tcBorders>
              <w:top w:val="nil"/>
              <w:bottom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Grupo</w:t>
            </w:r>
          </w:p>
        </w:tc>
        <w:tc>
          <w:tcPr>
            <w:tcW w:w="0" w:type="auto"/>
            <w:tcBorders>
              <w:top w:val="nil"/>
              <w:bottom w:val="single" w:sz="4" w:space="0" w:color="auto"/>
              <w:right w:val="single" w:sz="4" w:space="0" w:color="auto"/>
            </w:tcBorders>
            <w:noWrap/>
            <w:hideMark/>
          </w:tcPr>
          <w:p w:rsidR="00682A88" w:rsidRPr="00CF3673" w:rsidRDefault="00682A88" w:rsidP="00682A88">
            <w:pPr>
              <w:rPr>
                <w:rFonts w:ascii="Calibri" w:eastAsia="Times New Roman" w:hAnsi="Calibri" w:cs="Times New Roman"/>
                <w:lang w:eastAsia="zh-CN"/>
              </w:rPr>
            </w:pPr>
            <w:r w:rsidRPr="00CF3673">
              <w:rPr>
                <w:rFonts w:ascii="Calibri" w:eastAsia="Times New Roman" w:hAnsi="Calibri" w:cs="Times New Roman"/>
                <w:lang w:eastAsia="zh-CN"/>
              </w:rPr>
              <w:t>Nº de obs.</w:t>
            </w:r>
          </w:p>
        </w:tc>
        <w:tc>
          <w:tcPr>
            <w:tcW w:w="0" w:type="auto"/>
            <w:tcBorders>
              <w:top w:val="nil"/>
              <w:left w:val="single" w:sz="4" w:space="0" w:color="auto"/>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Média</w:t>
            </w: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Mediana</w:t>
            </w: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Grupo</w:t>
            </w:r>
          </w:p>
        </w:tc>
        <w:tc>
          <w:tcPr>
            <w:tcW w:w="0" w:type="auto"/>
            <w:tcBorders>
              <w:top w:val="nil"/>
              <w:bottom w:val="single" w:sz="4" w:space="0" w:color="auto"/>
            </w:tcBorders>
            <w:noWrap/>
            <w:hideMark/>
          </w:tcPr>
          <w:p w:rsidR="00682A88" w:rsidRPr="00CF3673" w:rsidRDefault="00682A88" w:rsidP="00682A88">
            <w:pPr>
              <w:jc w:val="center"/>
              <w:rPr>
                <w:rFonts w:ascii="Calibri" w:eastAsia="Times New Roman" w:hAnsi="Calibri" w:cs="Times New Roman"/>
                <w:lang w:eastAsia="zh-CN"/>
              </w:rPr>
            </w:pPr>
            <w:r w:rsidRPr="00CF3673">
              <w:rPr>
                <w:rFonts w:ascii="Calibri" w:eastAsia="Times New Roman" w:hAnsi="Calibri" w:cs="Times New Roman"/>
                <w:lang w:eastAsia="zh-CN"/>
              </w:rPr>
              <w:t>Nº de obs.</w:t>
            </w:r>
          </w:p>
        </w:tc>
      </w:tr>
      <w:tr w:rsidR="00682A88" w:rsidRPr="00CF3673" w:rsidTr="00682A88">
        <w:trPr>
          <w:trHeight w:val="300"/>
        </w:trPr>
        <w:tc>
          <w:tcPr>
            <w:tcW w:w="2340" w:type="dxa"/>
            <w:tcBorders>
              <w:top w:val="single" w:sz="4" w:space="0" w:color="auto"/>
            </w:tcBorders>
            <w:noWrap/>
            <w:hideMark/>
          </w:tcPr>
          <w:p w:rsidR="00682A88" w:rsidRPr="00CF3673" w:rsidRDefault="00682A88" w:rsidP="00682A88">
            <w:pPr>
              <w:rPr>
                <w:rFonts w:ascii="Calibri" w:eastAsia="Times New Roman" w:hAnsi="Calibri" w:cs="Times New Roman"/>
                <w:szCs w:val="20"/>
                <w:lang w:eastAsia="zh-CN"/>
              </w:rPr>
            </w:pPr>
            <w:r w:rsidRPr="00CF3673">
              <w:rPr>
                <w:rFonts w:ascii="Calibri" w:eastAsia="Times New Roman" w:hAnsi="Calibri" w:cs="Times New Roman"/>
                <w:szCs w:val="20"/>
                <w:lang w:eastAsia="zh-CN"/>
              </w:rPr>
              <w:t>Todos</w:t>
            </w:r>
          </w:p>
        </w:tc>
        <w:tc>
          <w:tcPr>
            <w:tcW w:w="1455" w:type="dxa"/>
            <w:tcBorders>
              <w:top w:val="single" w:sz="4" w:space="0" w:color="auto"/>
            </w:tcBorders>
            <w:noWrap/>
            <w:hideMark/>
          </w:tcPr>
          <w:p w:rsidR="00682A88" w:rsidRPr="00CF3673" w:rsidRDefault="00682A88" w:rsidP="00682A88">
            <w:pPr>
              <w:jc w:val="center"/>
            </w:pPr>
            <w:r w:rsidRPr="00CF3673">
              <w:t>20.9</w:t>
            </w:r>
          </w:p>
        </w:tc>
        <w:tc>
          <w:tcPr>
            <w:tcW w:w="0" w:type="auto"/>
            <w:tcBorders>
              <w:top w:val="single" w:sz="4" w:space="0" w:color="auto"/>
            </w:tcBorders>
            <w:noWrap/>
            <w:hideMark/>
          </w:tcPr>
          <w:p w:rsidR="00682A88" w:rsidRPr="00CF3673" w:rsidRDefault="00682A88" w:rsidP="00682A88">
            <w:pPr>
              <w:jc w:val="center"/>
            </w:pPr>
            <w:r w:rsidRPr="00CF3673">
              <w:t>0.0</w:t>
            </w:r>
          </w:p>
        </w:tc>
        <w:tc>
          <w:tcPr>
            <w:tcW w:w="0" w:type="auto"/>
            <w:tcBorders>
              <w:top w:val="single" w:sz="4" w:space="0" w:color="auto"/>
            </w:tcBorders>
            <w:noWrap/>
            <w:hideMark/>
          </w:tcPr>
          <w:p w:rsidR="00682A88" w:rsidRPr="00CF3673" w:rsidRDefault="00682A88" w:rsidP="00682A88">
            <w:pPr>
              <w:jc w:val="center"/>
            </w:pPr>
            <w:r w:rsidRPr="00CF3673">
              <w:t>10.8</w:t>
            </w:r>
          </w:p>
        </w:tc>
        <w:tc>
          <w:tcPr>
            <w:tcW w:w="0" w:type="auto"/>
            <w:tcBorders>
              <w:top w:val="single" w:sz="4" w:space="0" w:color="auto"/>
              <w:right w:val="single" w:sz="4" w:space="0" w:color="auto"/>
            </w:tcBorders>
            <w:noWrap/>
            <w:hideMark/>
          </w:tcPr>
          <w:p w:rsidR="00682A88" w:rsidRPr="00CF3673" w:rsidRDefault="00682A88" w:rsidP="00682A88">
            <w:pPr>
              <w:jc w:val="center"/>
            </w:pPr>
            <w:r w:rsidRPr="00CF3673">
              <w:t>741</w:t>
            </w:r>
          </w:p>
        </w:tc>
        <w:tc>
          <w:tcPr>
            <w:tcW w:w="0" w:type="auto"/>
            <w:tcBorders>
              <w:top w:val="single" w:sz="4" w:space="0" w:color="auto"/>
              <w:left w:val="single" w:sz="4" w:space="0" w:color="auto"/>
            </w:tcBorders>
            <w:noWrap/>
            <w:hideMark/>
          </w:tcPr>
          <w:p w:rsidR="00682A88" w:rsidRPr="00CF3673" w:rsidRDefault="00682A88" w:rsidP="00682A88">
            <w:pPr>
              <w:jc w:val="center"/>
            </w:pPr>
            <w:r w:rsidRPr="00CF3673">
              <w:t>-5.1</w:t>
            </w:r>
          </w:p>
        </w:tc>
        <w:tc>
          <w:tcPr>
            <w:tcW w:w="0" w:type="auto"/>
            <w:tcBorders>
              <w:top w:val="single" w:sz="4" w:space="0" w:color="auto"/>
            </w:tcBorders>
            <w:noWrap/>
            <w:hideMark/>
          </w:tcPr>
          <w:p w:rsidR="00682A88" w:rsidRPr="00CF3673" w:rsidRDefault="00682A88" w:rsidP="00682A88">
            <w:pPr>
              <w:jc w:val="center"/>
            </w:pPr>
            <w:r w:rsidRPr="00CF3673">
              <w:t>-18.6</w:t>
            </w:r>
          </w:p>
        </w:tc>
        <w:tc>
          <w:tcPr>
            <w:tcW w:w="0" w:type="auto"/>
            <w:tcBorders>
              <w:top w:val="single" w:sz="4" w:space="0" w:color="auto"/>
            </w:tcBorders>
            <w:noWrap/>
            <w:hideMark/>
          </w:tcPr>
          <w:p w:rsidR="00682A88" w:rsidRPr="00CF3673" w:rsidRDefault="00682A88" w:rsidP="00682A88">
            <w:pPr>
              <w:jc w:val="center"/>
            </w:pPr>
            <w:r w:rsidRPr="00CF3673">
              <w:t>-2.1</w:t>
            </w:r>
          </w:p>
        </w:tc>
        <w:tc>
          <w:tcPr>
            <w:tcW w:w="0" w:type="auto"/>
            <w:tcBorders>
              <w:top w:val="single" w:sz="4" w:space="0" w:color="auto"/>
            </w:tcBorders>
            <w:noWrap/>
            <w:hideMark/>
          </w:tcPr>
          <w:p w:rsidR="00682A88" w:rsidRPr="00CF3673" w:rsidRDefault="00682A88" w:rsidP="00682A88">
            <w:pPr>
              <w:jc w:val="center"/>
            </w:pPr>
            <w:r w:rsidRPr="00CF3673">
              <w:t>212</w:t>
            </w:r>
          </w:p>
        </w:tc>
      </w:tr>
      <w:tr w:rsidR="00682A88" w:rsidRPr="00CF3673" w:rsidTr="00682A88">
        <w:trPr>
          <w:trHeight w:val="300"/>
        </w:trPr>
        <w:tc>
          <w:tcPr>
            <w:tcW w:w="2340" w:type="dxa"/>
            <w:tcBorders>
              <w:bottom w:val="nil"/>
            </w:tcBorders>
            <w:noWrap/>
            <w:hideMark/>
          </w:tcPr>
          <w:p w:rsidR="00682A88" w:rsidRPr="00CF3673" w:rsidRDefault="00682A88" w:rsidP="00682A88">
            <w:pPr>
              <w:rPr>
                <w:rFonts w:ascii="Calibri" w:hAnsi="Calibri"/>
                <w:szCs w:val="20"/>
              </w:rPr>
            </w:pPr>
            <w:r w:rsidRPr="00CF3673">
              <w:rPr>
                <w:rFonts w:ascii="Calibri" w:hAnsi="Calibri"/>
                <w:szCs w:val="20"/>
              </w:rPr>
              <w:t>Feminino</w:t>
            </w:r>
          </w:p>
        </w:tc>
        <w:tc>
          <w:tcPr>
            <w:tcW w:w="1455" w:type="dxa"/>
            <w:tcBorders>
              <w:bottom w:val="nil"/>
            </w:tcBorders>
            <w:noWrap/>
            <w:hideMark/>
          </w:tcPr>
          <w:p w:rsidR="00682A88" w:rsidRPr="00CF3673" w:rsidRDefault="00682A88" w:rsidP="00682A88">
            <w:pPr>
              <w:jc w:val="center"/>
            </w:pPr>
            <w:r w:rsidRPr="00CF3673">
              <w:t>22.1</w:t>
            </w:r>
          </w:p>
        </w:tc>
        <w:tc>
          <w:tcPr>
            <w:tcW w:w="0" w:type="auto"/>
            <w:tcBorders>
              <w:bottom w:val="nil"/>
            </w:tcBorders>
            <w:noWrap/>
            <w:hideMark/>
          </w:tcPr>
          <w:p w:rsidR="00682A88" w:rsidRPr="00CF3673" w:rsidRDefault="00682A88" w:rsidP="00682A88">
            <w:pPr>
              <w:jc w:val="center"/>
            </w:pPr>
            <w:r w:rsidRPr="00CF3673">
              <w:t>0.0</w:t>
            </w:r>
          </w:p>
        </w:tc>
        <w:tc>
          <w:tcPr>
            <w:tcW w:w="0" w:type="auto"/>
            <w:tcBorders>
              <w:bottom w:val="nil"/>
            </w:tcBorders>
            <w:noWrap/>
            <w:hideMark/>
          </w:tcPr>
          <w:p w:rsidR="00682A88" w:rsidRPr="00CF3673" w:rsidRDefault="00682A88" w:rsidP="00682A88">
            <w:pPr>
              <w:jc w:val="center"/>
            </w:pPr>
            <w:r w:rsidRPr="00CF3673">
              <w:t>5.3</w:t>
            </w:r>
          </w:p>
        </w:tc>
        <w:tc>
          <w:tcPr>
            <w:tcW w:w="0" w:type="auto"/>
            <w:tcBorders>
              <w:bottom w:val="nil"/>
              <w:right w:val="single" w:sz="4" w:space="0" w:color="auto"/>
            </w:tcBorders>
            <w:noWrap/>
            <w:hideMark/>
          </w:tcPr>
          <w:p w:rsidR="00682A88" w:rsidRPr="00CF3673" w:rsidRDefault="00682A88" w:rsidP="00682A88">
            <w:pPr>
              <w:jc w:val="center"/>
            </w:pPr>
            <w:r w:rsidRPr="00CF3673">
              <w:t>67</w:t>
            </w:r>
          </w:p>
        </w:tc>
        <w:tc>
          <w:tcPr>
            <w:tcW w:w="0" w:type="auto"/>
            <w:tcBorders>
              <w:left w:val="single" w:sz="4" w:space="0" w:color="auto"/>
              <w:bottom w:val="nil"/>
            </w:tcBorders>
            <w:noWrap/>
            <w:hideMark/>
          </w:tcPr>
          <w:p w:rsidR="00682A88" w:rsidRPr="00CF3673" w:rsidRDefault="00682A88" w:rsidP="00682A88">
            <w:pPr>
              <w:jc w:val="center"/>
            </w:pPr>
            <w:r w:rsidRPr="00CF3673">
              <w:t>-15.8</w:t>
            </w:r>
          </w:p>
        </w:tc>
        <w:tc>
          <w:tcPr>
            <w:tcW w:w="0" w:type="auto"/>
            <w:tcBorders>
              <w:bottom w:val="nil"/>
            </w:tcBorders>
            <w:noWrap/>
            <w:hideMark/>
          </w:tcPr>
          <w:p w:rsidR="00682A88" w:rsidRPr="00CF3673" w:rsidRDefault="00682A88" w:rsidP="00682A88">
            <w:pPr>
              <w:jc w:val="center"/>
            </w:pPr>
            <w:r w:rsidRPr="00CF3673">
              <w:t>-15.4</w:t>
            </w:r>
          </w:p>
        </w:tc>
        <w:tc>
          <w:tcPr>
            <w:tcW w:w="0" w:type="auto"/>
            <w:tcBorders>
              <w:bottom w:val="nil"/>
            </w:tcBorders>
            <w:noWrap/>
            <w:hideMark/>
          </w:tcPr>
          <w:p w:rsidR="00682A88" w:rsidRPr="00CF3673" w:rsidRDefault="00682A88" w:rsidP="00682A88">
            <w:pPr>
              <w:jc w:val="center"/>
            </w:pPr>
            <w:r w:rsidRPr="00CF3673">
              <w:t>-11.3</w:t>
            </w:r>
          </w:p>
        </w:tc>
        <w:tc>
          <w:tcPr>
            <w:tcW w:w="0" w:type="auto"/>
            <w:tcBorders>
              <w:bottom w:val="nil"/>
            </w:tcBorders>
            <w:noWrap/>
            <w:hideMark/>
          </w:tcPr>
          <w:p w:rsidR="00682A88" w:rsidRPr="00CF3673" w:rsidRDefault="00682A88" w:rsidP="00682A88">
            <w:pPr>
              <w:jc w:val="center"/>
            </w:pPr>
            <w:r w:rsidRPr="00CF3673">
              <w:t>29</w:t>
            </w:r>
          </w:p>
        </w:tc>
      </w:tr>
      <w:tr w:rsidR="00682A88" w:rsidRPr="00CF3673" w:rsidTr="00682A88">
        <w:trPr>
          <w:trHeight w:val="300"/>
        </w:trPr>
        <w:tc>
          <w:tcPr>
            <w:tcW w:w="2340" w:type="dxa"/>
            <w:tcBorders>
              <w:top w:val="nil"/>
              <w:bottom w:val="single" w:sz="4" w:space="0" w:color="auto"/>
            </w:tcBorders>
            <w:noWrap/>
            <w:hideMark/>
          </w:tcPr>
          <w:p w:rsidR="00682A88" w:rsidRPr="00CF3673" w:rsidRDefault="00682A88" w:rsidP="00682A88">
            <w:pPr>
              <w:rPr>
                <w:rFonts w:ascii="Calibri" w:hAnsi="Calibri"/>
                <w:szCs w:val="20"/>
              </w:rPr>
            </w:pPr>
            <w:r w:rsidRPr="00CF3673">
              <w:rPr>
                <w:rFonts w:ascii="Calibri" w:hAnsi="Calibri"/>
                <w:szCs w:val="20"/>
              </w:rPr>
              <w:t>Masculino</w:t>
            </w:r>
          </w:p>
        </w:tc>
        <w:tc>
          <w:tcPr>
            <w:tcW w:w="1455" w:type="dxa"/>
            <w:tcBorders>
              <w:top w:val="nil"/>
              <w:bottom w:val="single" w:sz="4" w:space="0" w:color="auto"/>
            </w:tcBorders>
            <w:noWrap/>
            <w:hideMark/>
          </w:tcPr>
          <w:p w:rsidR="00682A88" w:rsidRPr="00CF3673" w:rsidRDefault="00682A88" w:rsidP="00682A88">
            <w:pPr>
              <w:jc w:val="center"/>
            </w:pPr>
            <w:r w:rsidRPr="00CF3673">
              <w:t>20.9</w:t>
            </w:r>
          </w:p>
        </w:tc>
        <w:tc>
          <w:tcPr>
            <w:tcW w:w="0" w:type="auto"/>
            <w:tcBorders>
              <w:top w:val="nil"/>
              <w:bottom w:val="single" w:sz="4" w:space="0" w:color="auto"/>
            </w:tcBorders>
            <w:noWrap/>
            <w:hideMark/>
          </w:tcPr>
          <w:p w:rsidR="00682A88" w:rsidRPr="00CF3673" w:rsidRDefault="00682A88" w:rsidP="00682A88">
            <w:pPr>
              <w:jc w:val="center"/>
            </w:pPr>
            <w:r w:rsidRPr="00CF3673">
              <w:t>0.0</w:t>
            </w:r>
          </w:p>
        </w:tc>
        <w:tc>
          <w:tcPr>
            <w:tcW w:w="0" w:type="auto"/>
            <w:tcBorders>
              <w:top w:val="nil"/>
              <w:bottom w:val="single" w:sz="4" w:space="0" w:color="auto"/>
            </w:tcBorders>
            <w:noWrap/>
            <w:hideMark/>
          </w:tcPr>
          <w:p w:rsidR="00682A88" w:rsidRPr="00CF3673" w:rsidRDefault="00682A88" w:rsidP="00682A88">
            <w:pPr>
              <w:jc w:val="center"/>
            </w:pPr>
            <w:r w:rsidRPr="00CF3673">
              <w:t>11.8</w:t>
            </w:r>
          </w:p>
        </w:tc>
        <w:tc>
          <w:tcPr>
            <w:tcW w:w="0" w:type="auto"/>
            <w:tcBorders>
              <w:top w:val="nil"/>
              <w:bottom w:val="single" w:sz="4" w:space="0" w:color="auto"/>
              <w:right w:val="single" w:sz="4" w:space="0" w:color="auto"/>
            </w:tcBorders>
            <w:noWrap/>
            <w:hideMark/>
          </w:tcPr>
          <w:p w:rsidR="00682A88" w:rsidRPr="00CF3673" w:rsidRDefault="00682A88" w:rsidP="00682A88">
            <w:pPr>
              <w:jc w:val="center"/>
            </w:pPr>
            <w:r w:rsidRPr="00CF3673">
              <w:t>672</w:t>
            </w:r>
          </w:p>
        </w:tc>
        <w:tc>
          <w:tcPr>
            <w:tcW w:w="0" w:type="auto"/>
            <w:tcBorders>
              <w:top w:val="nil"/>
              <w:left w:val="single" w:sz="4" w:space="0" w:color="auto"/>
              <w:bottom w:val="single" w:sz="4" w:space="0" w:color="auto"/>
            </w:tcBorders>
            <w:noWrap/>
            <w:hideMark/>
          </w:tcPr>
          <w:p w:rsidR="00682A88" w:rsidRPr="00CF3673" w:rsidRDefault="00682A88" w:rsidP="00682A88">
            <w:pPr>
              <w:jc w:val="center"/>
            </w:pPr>
            <w:r w:rsidRPr="00CF3673">
              <w:t>-3.6</w:t>
            </w:r>
          </w:p>
        </w:tc>
        <w:tc>
          <w:tcPr>
            <w:tcW w:w="0" w:type="auto"/>
            <w:tcBorders>
              <w:top w:val="nil"/>
              <w:bottom w:val="single" w:sz="4" w:space="0" w:color="auto"/>
            </w:tcBorders>
            <w:noWrap/>
            <w:hideMark/>
          </w:tcPr>
          <w:p w:rsidR="00682A88" w:rsidRPr="00CF3673" w:rsidRDefault="00682A88" w:rsidP="00682A88">
            <w:pPr>
              <w:jc w:val="center"/>
            </w:pPr>
            <w:r w:rsidRPr="00CF3673">
              <w:t>-20.0</w:t>
            </w:r>
          </w:p>
        </w:tc>
        <w:tc>
          <w:tcPr>
            <w:tcW w:w="0" w:type="auto"/>
            <w:tcBorders>
              <w:top w:val="nil"/>
              <w:bottom w:val="single" w:sz="4" w:space="0" w:color="auto"/>
            </w:tcBorders>
            <w:noWrap/>
            <w:hideMark/>
          </w:tcPr>
          <w:p w:rsidR="00682A88" w:rsidRPr="00CF3673" w:rsidRDefault="00682A88" w:rsidP="00682A88">
            <w:pPr>
              <w:jc w:val="center"/>
            </w:pPr>
            <w:r w:rsidRPr="00CF3673">
              <w:t>-0.8</w:t>
            </w:r>
          </w:p>
        </w:tc>
        <w:tc>
          <w:tcPr>
            <w:tcW w:w="0" w:type="auto"/>
            <w:tcBorders>
              <w:top w:val="nil"/>
              <w:bottom w:val="single" w:sz="4" w:space="0" w:color="auto"/>
            </w:tcBorders>
            <w:noWrap/>
            <w:hideMark/>
          </w:tcPr>
          <w:p w:rsidR="00682A88" w:rsidRPr="00CF3673" w:rsidRDefault="00682A88" w:rsidP="00682A88">
            <w:pPr>
              <w:jc w:val="center"/>
            </w:pPr>
            <w:r w:rsidRPr="00CF3673">
              <w:t>180</w:t>
            </w:r>
          </w:p>
        </w:tc>
      </w:tr>
      <w:tr w:rsidR="00682A88" w:rsidRPr="00CF3673" w:rsidTr="00682A88">
        <w:trPr>
          <w:trHeight w:val="300"/>
        </w:trPr>
        <w:tc>
          <w:tcPr>
            <w:tcW w:w="2340" w:type="dxa"/>
            <w:tcBorders>
              <w:top w:val="single" w:sz="4" w:space="0" w:color="auto"/>
              <w:bottom w:val="nil"/>
            </w:tcBorders>
            <w:noWrap/>
            <w:hideMark/>
          </w:tcPr>
          <w:p w:rsidR="00682A88" w:rsidRPr="00CF3673" w:rsidRDefault="00682A88" w:rsidP="00682A88">
            <w:pPr>
              <w:rPr>
                <w:rFonts w:ascii="Calibri" w:eastAsia="Times New Roman" w:hAnsi="Calibri" w:cs="Times New Roman"/>
                <w:szCs w:val="20"/>
                <w:lang w:eastAsia="zh-CN"/>
              </w:rPr>
            </w:pPr>
            <w:r w:rsidRPr="00CF3673">
              <w:rPr>
                <w:rFonts w:ascii="Calibri" w:eastAsia="Times New Roman" w:hAnsi="Calibri" w:cs="Times New Roman"/>
                <w:szCs w:val="20"/>
                <w:lang w:eastAsia="zh-CN"/>
              </w:rPr>
              <w:t>Etnia Africana</w:t>
            </w:r>
          </w:p>
        </w:tc>
        <w:tc>
          <w:tcPr>
            <w:tcW w:w="1455" w:type="dxa"/>
            <w:tcBorders>
              <w:top w:val="single" w:sz="4" w:space="0" w:color="auto"/>
              <w:bottom w:val="nil"/>
            </w:tcBorders>
            <w:noWrap/>
            <w:hideMark/>
          </w:tcPr>
          <w:p w:rsidR="00682A88" w:rsidRPr="00CF3673" w:rsidRDefault="00682A88" w:rsidP="00682A88">
            <w:pPr>
              <w:jc w:val="center"/>
            </w:pPr>
            <w:r w:rsidRPr="00CF3673">
              <w:t>19.6</w:t>
            </w:r>
          </w:p>
        </w:tc>
        <w:tc>
          <w:tcPr>
            <w:tcW w:w="0" w:type="auto"/>
            <w:tcBorders>
              <w:top w:val="single" w:sz="4" w:space="0" w:color="auto"/>
              <w:bottom w:val="nil"/>
            </w:tcBorders>
            <w:noWrap/>
            <w:hideMark/>
          </w:tcPr>
          <w:p w:rsidR="00682A88" w:rsidRPr="00CF3673" w:rsidRDefault="00682A88" w:rsidP="00682A88">
            <w:pPr>
              <w:jc w:val="center"/>
            </w:pPr>
            <w:r w:rsidRPr="00CF3673">
              <w:t>0.0</w:t>
            </w:r>
          </w:p>
        </w:tc>
        <w:tc>
          <w:tcPr>
            <w:tcW w:w="0" w:type="auto"/>
            <w:tcBorders>
              <w:top w:val="single" w:sz="4" w:space="0" w:color="auto"/>
              <w:bottom w:val="nil"/>
            </w:tcBorders>
            <w:noWrap/>
            <w:hideMark/>
          </w:tcPr>
          <w:p w:rsidR="00682A88" w:rsidRPr="00CF3673" w:rsidRDefault="00682A88" w:rsidP="00682A88">
            <w:pPr>
              <w:jc w:val="center"/>
            </w:pPr>
            <w:r w:rsidRPr="00CF3673">
              <w:t>8.0</w:t>
            </w:r>
          </w:p>
        </w:tc>
        <w:tc>
          <w:tcPr>
            <w:tcW w:w="0" w:type="auto"/>
            <w:tcBorders>
              <w:top w:val="single" w:sz="4" w:space="0" w:color="auto"/>
              <w:bottom w:val="nil"/>
              <w:right w:val="single" w:sz="4" w:space="0" w:color="auto"/>
            </w:tcBorders>
            <w:noWrap/>
            <w:hideMark/>
          </w:tcPr>
          <w:p w:rsidR="00682A88" w:rsidRPr="00CF3673" w:rsidRDefault="00682A88" w:rsidP="00682A88">
            <w:pPr>
              <w:jc w:val="center"/>
            </w:pPr>
            <w:r w:rsidRPr="00CF3673">
              <w:t>638</w:t>
            </w:r>
          </w:p>
        </w:tc>
        <w:tc>
          <w:tcPr>
            <w:tcW w:w="0" w:type="auto"/>
            <w:tcBorders>
              <w:top w:val="single" w:sz="4" w:space="0" w:color="auto"/>
              <w:left w:val="single" w:sz="4" w:space="0" w:color="auto"/>
              <w:bottom w:val="nil"/>
            </w:tcBorders>
            <w:noWrap/>
          </w:tcPr>
          <w:p w:rsidR="00682A88" w:rsidRPr="00CF3673" w:rsidRDefault="00682A88" w:rsidP="00682A88">
            <w:pPr>
              <w:jc w:val="center"/>
            </w:pPr>
            <w:r w:rsidRPr="00CF3673">
              <w:t>-15.8</w:t>
            </w:r>
          </w:p>
        </w:tc>
        <w:tc>
          <w:tcPr>
            <w:tcW w:w="0" w:type="auto"/>
            <w:tcBorders>
              <w:top w:val="single" w:sz="4" w:space="0" w:color="auto"/>
              <w:bottom w:val="nil"/>
            </w:tcBorders>
            <w:noWrap/>
          </w:tcPr>
          <w:p w:rsidR="00682A88" w:rsidRPr="00CF3673" w:rsidRDefault="00682A88" w:rsidP="00682A88">
            <w:pPr>
              <w:jc w:val="center"/>
            </w:pPr>
            <w:r w:rsidRPr="00CF3673">
              <w:t>-33.3</w:t>
            </w:r>
          </w:p>
        </w:tc>
        <w:tc>
          <w:tcPr>
            <w:tcW w:w="0" w:type="auto"/>
            <w:tcBorders>
              <w:top w:val="single" w:sz="4" w:space="0" w:color="auto"/>
              <w:bottom w:val="nil"/>
            </w:tcBorders>
            <w:noWrap/>
          </w:tcPr>
          <w:p w:rsidR="00682A88" w:rsidRPr="00CF3673" w:rsidRDefault="00682A88" w:rsidP="00682A88">
            <w:pPr>
              <w:jc w:val="center"/>
            </w:pPr>
            <w:r w:rsidRPr="00CF3673">
              <w:t>-21.2</w:t>
            </w:r>
          </w:p>
        </w:tc>
        <w:tc>
          <w:tcPr>
            <w:tcW w:w="0" w:type="auto"/>
            <w:tcBorders>
              <w:top w:val="single" w:sz="4" w:space="0" w:color="auto"/>
              <w:bottom w:val="nil"/>
            </w:tcBorders>
            <w:noWrap/>
          </w:tcPr>
          <w:p w:rsidR="00682A88" w:rsidRPr="00CF3673" w:rsidRDefault="00682A88" w:rsidP="00682A88">
            <w:pPr>
              <w:jc w:val="center"/>
            </w:pPr>
            <w:r w:rsidRPr="00CF3673">
              <w:t>146</w:t>
            </w:r>
          </w:p>
        </w:tc>
      </w:tr>
      <w:tr w:rsidR="00682A88" w:rsidRPr="00CF3673" w:rsidTr="00682A88">
        <w:trPr>
          <w:trHeight w:val="300"/>
        </w:trPr>
        <w:tc>
          <w:tcPr>
            <w:tcW w:w="2340" w:type="dxa"/>
            <w:tcBorders>
              <w:top w:val="nil"/>
              <w:bottom w:val="single" w:sz="4" w:space="0" w:color="auto"/>
            </w:tcBorders>
            <w:noWrap/>
            <w:hideMark/>
          </w:tcPr>
          <w:p w:rsidR="00682A88" w:rsidRPr="00CF3673" w:rsidRDefault="00682A88" w:rsidP="00682A88">
            <w:pPr>
              <w:rPr>
                <w:rFonts w:ascii="Calibri" w:eastAsia="Times New Roman" w:hAnsi="Calibri" w:cs="Times New Roman"/>
                <w:szCs w:val="20"/>
                <w:lang w:eastAsia="zh-CN"/>
              </w:rPr>
            </w:pPr>
            <w:r w:rsidRPr="00CF3673">
              <w:rPr>
                <w:rFonts w:ascii="Calibri" w:eastAsia="Times New Roman" w:hAnsi="Calibri" w:cs="Times New Roman"/>
                <w:szCs w:val="20"/>
                <w:lang w:eastAsia="zh-CN"/>
              </w:rPr>
              <w:t>Outras Etnias</w:t>
            </w:r>
          </w:p>
        </w:tc>
        <w:tc>
          <w:tcPr>
            <w:tcW w:w="1455" w:type="dxa"/>
            <w:tcBorders>
              <w:top w:val="nil"/>
              <w:bottom w:val="single" w:sz="4" w:space="0" w:color="auto"/>
            </w:tcBorders>
            <w:noWrap/>
            <w:hideMark/>
          </w:tcPr>
          <w:p w:rsidR="00682A88" w:rsidRPr="00CF3673" w:rsidRDefault="00682A88" w:rsidP="00682A88">
            <w:pPr>
              <w:jc w:val="center"/>
            </w:pPr>
            <w:r w:rsidRPr="00CF3673">
              <w:t>32.1</w:t>
            </w:r>
          </w:p>
        </w:tc>
        <w:tc>
          <w:tcPr>
            <w:tcW w:w="0" w:type="auto"/>
            <w:tcBorders>
              <w:top w:val="nil"/>
              <w:bottom w:val="single" w:sz="4" w:space="0" w:color="auto"/>
            </w:tcBorders>
            <w:noWrap/>
            <w:hideMark/>
          </w:tcPr>
          <w:p w:rsidR="00682A88" w:rsidRPr="00CF3673" w:rsidRDefault="00682A88" w:rsidP="00682A88">
            <w:pPr>
              <w:jc w:val="center"/>
            </w:pPr>
            <w:r w:rsidRPr="00CF3673">
              <w:t>4.2</w:t>
            </w:r>
          </w:p>
        </w:tc>
        <w:tc>
          <w:tcPr>
            <w:tcW w:w="0" w:type="auto"/>
            <w:tcBorders>
              <w:top w:val="nil"/>
              <w:bottom w:val="single" w:sz="4" w:space="0" w:color="auto"/>
            </w:tcBorders>
            <w:noWrap/>
            <w:hideMark/>
          </w:tcPr>
          <w:p w:rsidR="00682A88" w:rsidRPr="00CF3673" w:rsidRDefault="00682A88" w:rsidP="00682A88">
            <w:pPr>
              <w:jc w:val="center"/>
            </w:pPr>
            <w:r w:rsidRPr="00CF3673">
              <w:t>17.3</w:t>
            </w:r>
          </w:p>
        </w:tc>
        <w:tc>
          <w:tcPr>
            <w:tcW w:w="0" w:type="auto"/>
            <w:tcBorders>
              <w:top w:val="nil"/>
              <w:bottom w:val="single" w:sz="4" w:space="0" w:color="auto"/>
              <w:right w:val="single" w:sz="4" w:space="0" w:color="auto"/>
            </w:tcBorders>
            <w:noWrap/>
            <w:hideMark/>
          </w:tcPr>
          <w:p w:rsidR="00682A88" w:rsidRPr="00CF3673" w:rsidRDefault="00682A88" w:rsidP="00682A88">
            <w:pPr>
              <w:jc w:val="center"/>
            </w:pPr>
            <w:r w:rsidRPr="00CF3673">
              <w:t>90</w:t>
            </w:r>
          </w:p>
        </w:tc>
        <w:tc>
          <w:tcPr>
            <w:tcW w:w="0" w:type="auto"/>
            <w:tcBorders>
              <w:top w:val="nil"/>
              <w:left w:val="single" w:sz="4" w:space="0" w:color="auto"/>
              <w:bottom w:val="single" w:sz="4" w:space="0" w:color="auto"/>
            </w:tcBorders>
            <w:noWrap/>
          </w:tcPr>
          <w:p w:rsidR="00682A88" w:rsidRPr="00CF3673" w:rsidRDefault="00682A88" w:rsidP="00682A88">
            <w:pPr>
              <w:jc w:val="center"/>
            </w:pPr>
            <w:r w:rsidRPr="00CF3673">
              <w:t>20.0</w:t>
            </w:r>
          </w:p>
        </w:tc>
        <w:tc>
          <w:tcPr>
            <w:tcW w:w="0" w:type="auto"/>
            <w:tcBorders>
              <w:top w:val="nil"/>
              <w:bottom w:val="single" w:sz="4" w:space="0" w:color="auto"/>
            </w:tcBorders>
            <w:noWrap/>
          </w:tcPr>
          <w:p w:rsidR="00682A88" w:rsidRPr="00CF3673" w:rsidRDefault="00682A88" w:rsidP="00682A88">
            <w:pPr>
              <w:jc w:val="center"/>
            </w:pPr>
            <w:r w:rsidRPr="00CF3673">
              <w:t>3.3</w:t>
            </w:r>
          </w:p>
        </w:tc>
        <w:tc>
          <w:tcPr>
            <w:tcW w:w="0" w:type="auto"/>
            <w:tcBorders>
              <w:top w:val="nil"/>
              <w:bottom w:val="single" w:sz="4" w:space="0" w:color="auto"/>
            </w:tcBorders>
            <w:noWrap/>
          </w:tcPr>
          <w:p w:rsidR="00682A88" w:rsidRPr="00CF3673" w:rsidRDefault="00682A88" w:rsidP="00682A88">
            <w:pPr>
              <w:jc w:val="center"/>
            </w:pPr>
            <w:r w:rsidRPr="00CF3673">
              <w:t>10.4</w:t>
            </w:r>
          </w:p>
        </w:tc>
        <w:tc>
          <w:tcPr>
            <w:tcW w:w="0" w:type="auto"/>
            <w:tcBorders>
              <w:top w:val="nil"/>
              <w:bottom w:val="single" w:sz="4" w:space="0" w:color="auto"/>
            </w:tcBorders>
            <w:noWrap/>
          </w:tcPr>
          <w:p w:rsidR="00682A88" w:rsidRPr="00CF3673" w:rsidRDefault="00682A88" w:rsidP="00682A88">
            <w:pPr>
              <w:jc w:val="center"/>
            </w:pPr>
            <w:r w:rsidRPr="00CF3673">
              <w:t>62</w:t>
            </w:r>
          </w:p>
        </w:tc>
      </w:tr>
      <w:tr w:rsidR="00682A88" w:rsidRPr="00CF3673" w:rsidTr="00682A88">
        <w:trPr>
          <w:trHeight w:val="300"/>
        </w:trPr>
        <w:tc>
          <w:tcPr>
            <w:tcW w:w="2340" w:type="dxa"/>
            <w:tcBorders>
              <w:top w:val="single" w:sz="4" w:space="0" w:color="auto"/>
              <w:bottom w:val="nil"/>
            </w:tcBorders>
            <w:noWrap/>
            <w:hideMark/>
          </w:tcPr>
          <w:p w:rsidR="00682A88" w:rsidRPr="00CF3673" w:rsidRDefault="00682A88" w:rsidP="00682A88">
            <w:pPr>
              <w:rPr>
                <w:rFonts w:ascii="Calibri" w:hAnsi="Calibri"/>
                <w:szCs w:val="20"/>
              </w:rPr>
            </w:pPr>
            <w:r w:rsidRPr="00CF3673">
              <w:rPr>
                <w:rFonts w:ascii="Calibri" w:hAnsi="Calibri"/>
                <w:szCs w:val="20"/>
              </w:rPr>
              <w:t>Universidade</w:t>
            </w:r>
          </w:p>
        </w:tc>
        <w:tc>
          <w:tcPr>
            <w:tcW w:w="1455" w:type="dxa"/>
            <w:tcBorders>
              <w:top w:val="single" w:sz="4" w:space="0" w:color="auto"/>
              <w:bottom w:val="nil"/>
            </w:tcBorders>
            <w:noWrap/>
            <w:hideMark/>
          </w:tcPr>
          <w:p w:rsidR="00682A88" w:rsidRPr="00CF3673" w:rsidRDefault="00682A88" w:rsidP="00682A88">
            <w:pPr>
              <w:jc w:val="center"/>
            </w:pPr>
            <w:r w:rsidRPr="00CF3673">
              <w:t>11.4</w:t>
            </w:r>
          </w:p>
        </w:tc>
        <w:tc>
          <w:tcPr>
            <w:tcW w:w="0" w:type="auto"/>
            <w:tcBorders>
              <w:top w:val="single" w:sz="4" w:space="0" w:color="auto"/>
              <w:bottom w:val="nil"/>
            </w:tcBorders>
            <w:noWrap/>
            <w:hideMark/>
          </w:tcPr>
          <w:p w:rsidR="00682A88" w:rsidRPr="00CF3673" w:rsidRDefault="00682A88" w:rsidP="00682A88">
            <w:pPr>
              <w:jc w:val="center"/>
            </w:pPr>
            <w:r w:rsidRPr="00CF3673">
              <w:t>0.0</w:t>
            </w:r>
          </w:p>
        </w:tc>
        <w:tc>
          <w:tcPr>
            <w:tcW w:w="0" w:type="auto"/>
            <w:tcBorders>
              <w:top w:val="single" w:sz="4" w:space="0" w:color="auto"/>
              <w:bottom w:val="nil"/>
            </w:tcBorders>
            <w:noWrap/>
            <w:hideMark/>
          </w:tcPr>
          <w:p w:rsidR="00682A88" w:rsidRPr="00CF3673" w:rsidRDefault="00682A88" w:rsidP="00682A88">
            <w:pPr>
              <w:jc w:val="center"/>
            </w:pPr>
            <w:r w:rsidRPr="00CF3673">
              <w:t>4.8</w:t>
            </w:r>
          </w:p>
        </w:tc>
        <w:tc>
          <w:tcPr>
            <w:tcW w:w="0" w:type="auto"/>
            <w:tcBorders>
              <w:top w:val="single" w:sz="4" w:space="0" w:color="auto"/>
              <w:bottom w:val="nil"/>
              <w:right w:val="single" w:sz="4" w:space="0" w:color="auto"/>
            </w:tcBorders>
            <w:noWrap/>
            <w:hideMark/>
          </w:tcPr>
          <w:p w:rsidR="00682A88" w:rsidRPr="00CF3673" w:rsidRDefault="00682A88" w:rsidP="00682A88">
            <w:pPr>
              <w:jc w:val="center"/>
            </w:pPr>
            <w:r w:rsidRPr="00CF3673">
              <w:t>109</w:t>
            </w:r>
          </w:p>
        </w:tc>
        <w:tc>
          <w:tcPr>
            <w:tcW w:w="0" w:type="auto"/>
            <w:tcBorders>
              <w:top w:val="single" w:sz="4" w:space="0" w:color="auto"/>
              <w:left w:val="single" w:sz="4" w:space="0" w:color="auto"/>
              <w:bottom w:val="nil"/>
            </w:tcBorders>
            <w:noWrap/>
          </w:tcPr>
          <w:p w:rsidR="00682A88" w:rsidRPr="00CF3673" w:rsidRDefault="00682A88" w:rsidP="00682A88">
            <w:pPr>
              <w:jc w:val="center"/>
            </w:pPr>
            <w:r w:rsidRPr="00CF3673">
              <w:t>10.2</w:t>
            </w:r>
          </w:p>
        </w:tc>
        <w:tc>
          <w:tcPr>
            <w:tcW w:w="0" w:type="auto"/>
            <w:tcBorders>
              <w:top w:val="single" w:sz="4" w:space="0" w:color="auto"/>
              <w:bottom w:val="nil"/>
            </w:tcBorders>
            <w:noWrap/>
          </w:tcPr>
          <w:p w:rsidR="00682A88" w:rsidRPr="00CF3673" w:rsidRDefault="00682A88" w:rsidP="00682A88">
            <w:pPr>
              <w:jc w:val="center"/>
            </w:pPr>
            <w:r w:rsidRPr="00CF3673">
              <w:t>-2.0</w:t>
            </w:r>
          </w:p>
        </w:tc>
        <w:tc>
          <w:tcPr>
            <w:tcW w:w="0" w:type="auto"/>
            <w:tcBorders>
              <w:top w:val="single" w:sz="4" w:space="0" w:color="auto"/>
              <w:bottom w:val="nil"/>
            </w:tcBorders>
            <w:noWrap/>
          </w:tcPr>
          <w:p w:rsidR="00682A88" w:rsidRPr="00CF3673" w:rsidRDefault="00682A88" w:rsidP="00682A88">
            <w:pPr>
              <w:jc w:val="center"/>
            </w:pPr>
            <w:r w:rsidRPr="00CF3673">
              <w:t>3.0</w:t>
            </w:r>
          </w:p>
        </w:tc>
        <w:tc>
          <w:tcPr>
            <w:tcW w:w="0" w:type="auto"/>
            <w:tcBorders>
              <w:top w:val="single" w:sz="4" w:space="0" w:color="auto"/>
              <w:bottom w:val="nil"/>
            </w:tcBorders>
            <w:noWrap/>
          </w:tcPr>
          <w:p w:rsidR="00682A88" w:rsidRPr="00CF3673" w:rsidRDefault="00682A88" w:rsidP="00682A88">
            <w:pPr>
              <w:jc w:val="center"/>
            </w:pPr>
            <w:r w:rsidRPr="00CF3673">
              <w:t>49</w:t>
            </w:r>
          </w:p>
        </w:tc>
      </w:tr>
      <w:tr w:rsidR="00682A88" w:rsidRPr="00CF3673" w:rsidTr="00682A88">
        <w:trPr>
          <w:trHeight w:val="300"/>
        </w:trPr>
        <w:tc>
          <w:tcPr>
            <w:tcW w:w="2340" w:type="dxa"/>
            <w:tcBorders>
              <w:top w:val="nil"/>
              <w:bottom w:val="nil"/>
              <w:right w:val="nil"/>
            </w:tcBorders>
            <w:noWrap/>
            <w:hideMark/>
          </w:tcPr>
          <w:p w:rsidR="00682A88" w:rsidRPr="00CF3673" w:rsidRDefault="00682A88" w:rsidP="00682A88">
            <w:pPr>
              <w:rPr>
                <w:rFonts w:ascii="Calibri" w:hAnsi="Calibri"/>
                <w:szCs w:val="20"/>
              </w:rPr>
            </w:pPr>
            <w:r w:rsidRPr="00CF3673">
              <w:rPr>
                <w:rFonts w:ascii="Calibri" w:hAnsi="Calibri"/>
                <w:szCs w:val="20"/>
              </w:rPr>
              <w:t>Escola Secundária</w:t>
            </w:r>
          </w:p>
        </w:tc>
        <w:tc>
          <w:tcPr>
            <w:tcW w:w="1455" w:type="dxa"/>
            <w:tcBorders>
              <w:top w:val="nil"/>
              <w:left w:val="nil"/>
              <w:bottom w:val="nil"/>
              <w:right w:val="nil"/>
            </w:tcBorders>
            <w:noWrap/>
            <w:hideMark/>
          </w:tcPr>
          <w:p w:rsidR="00682A88" w:rsidRPr="00CF3673" w:rsidRDefault="00682A88" w:rsidP="00682A88">
            <w:pPr>
              <w:jc w:val="center"/>
            </w:pPr>
            <w:r w:rsidRPr="00CF3673">
              <w:t>24.1</w:t>
            </w:r>
          </w:p>
        </w:tc>
        <w:tc>
          <w:tcPr>
            <w:tcW w:w="0" w:type="auto"/>
            <w:tcBorders>
              <w:top w:val="nil"/>
              <w:left w:val="nil"/>
              <w:bottom w:val="nil"/>
              <w:right w:val="nil"/>
            </w:tcBorders>
            <w:noWrap/>
            <w:hideMark/>
          </w:tcPr>
          <w:p w:rsidR="00682A88" w:rsidRPr="00CF3673" w:rsidRDefault="00682A88" w:rsidP="00682A88">
            <w:pPr>
              <w:jc w:val="center"/>
            </w:pPr>
            <w:r w:rsidRPr="00CF3673">
              <w:t>0.0</w:t>
            </w:r>
          </w:p>
        </w:tc>
        <w:tc>
          <w:tcPr>
            <w:tcW w:w="0" w:type="auto"/>
            <w:tcBorders>
              <w:top w:val="nil"/>
              <w:left w:val="nil"/>
              <w:bottom w:val="nil"/>
              <w:right w:val="nil"/>
            </w:tcBorders>
            <w:noWrap/>
            <w:hideMark/>
          </w:tcPr>
          <w:p w:rsidR="00682A88" w:rsidRPr="00CF3673" w:rsidRDefault="00682A88" w:rsidP="00682A88">
            <w:pPr>
              <w:jc w:val="center"/>
            </w:pPr>
            <w:r w:rsidRPr="00CF3673">
              <w:t>17.2</w:t>
            </w:r>
          </w:p>
        </w:tc>
        <w:tc>
          <w:tcPr>
            <w:tcW w:w="0" w:type="auto"/>
            <w:tcBorders>
              <w:top w:val="nil"/>
              <w:left w:val="nil"/>
              <w:bottom w:val="nil"/>
              <w:right w:val="single" w:sz="4" w:space="0" w:color="auto"/>
            </w:tcBorders>
            <w:noWrap/>
            <w:hideMark/>
          </w:tcPr>
          <w:p w:rsidR="00682A88" w:rsidRPr="00CF3673" w:rsidRDefault="00682A88" w:rsidP="00682A88">
            <w:pPr>
              <w:jc w:val="center"/>
            </w:pPr>
            <w:r w:rsidRPr="00CF3673">
              <w:t>197</w:t>
            </w:r>
          </w:p>
        </w:tc>
        <w:tc>
          <w:tcPr>
            <w:tcW w:w="0" w:type="auto"/>
            <w:tcBorders>
              <w:top w:val="nil"/>
              <w:left w:val="single" w:sz="4" w:space="0" w:color="auto"/>
              <w:bottom w:val="nil"/>
              <w:right w:val="nil"/>
            </w:tcBorders>
            <w:noWrap/>
          </w:tcPr>
          <w:p w:rsidR="00682A88" w:rsidRPr="00CF3673" w:rsidRDefault="00682A88" w:rsidP="00682A88">
            <w:pPr>
              <w:jc w:val="center"/>
            </w:pPr>
            <w:r w:rsidRPr="00CF3673">
              <w:t>14.9</w:t>
            </w:r>
          </w:p>
        </w:tc>
        <w:tc>
          <w:tcPr>
            <w:tcW w:w="0" w:type="auto"/>
            <w:tcBorders>
              <w:top w:val="nil"/>
              <w:left w:val="nil"/>
              <w:bottom w:val="nil"/>
              <w:right w:val="nil"/>
            </w:tcBorders>
            <w:noWrap/>
          </w:tcPr>
          <w:p w:rsidR="00682A88" w:rsidRPr="00CF3673" w:rsidRDefault="00682A88" w:rsidP="00682A88">
            <w:pPr>
              <w:jc w:val="center"/>
            </w:pPr>
            <w:r w:rsidRPr="00CF3673">
              <w:t>-12.1</w:t>
            </w:r>
          </w:p>
        </w:tc>
        <w:tc>
          <w:tcPr>
            <w:tcW w:w="0" w:type="auto"/>
            <w:tcBorders>
              <w:top w:val="nil"/>
              <w:left w:val="nil"/>
              <w:bottom w:val="nil"/>
              <w:right w:val="nil"/>
            </w:tcBorders>
            <w:noWrap/>
          </w:tcPr>
          <w:p w:rsidR="00682A88" w:rsidRPr="00CF3673" w:rsidRDefault="00682A88" w:rsidP="00682A88">
            <w:pPr>
              <w:jc w:val="center"/>
            </w:pPr>
            <w:r w:rsidRPr="00CF3673">
              <w:t>3.7</w:t>
            </w:r>
          </w:p>
        </w:tc>
        <w:tc>
          <w:tcPr>
            <w:tcW w:w="0" w:type="auto"/>
            <w:tcBorders>
              <w:top w:val="nil"/>
              <w:left w:val="nil"/>
              <w:bottom w:val="nil"/>
            </w:tcBorders>
            <w:noWrap/>
          </w:tcPr>
          <w:p w:rsidR="00682A88" w:rsidRPr="00CF3673" w:rsidRDefault="00682A88" w:rsidP="00682A88">
            <w:pPr>
              <w:jc w:val="center"/>
            </w:pPr>
            <w:r w:rsidRPr="00CF3673">
              <w:t>34</w:t>
            </w:r>
          </w:p>
        </w:tc>
      </w:tr>
      <w:tr w:rsidR="00682A88" w:rsidRPr="00CF3673" w:rsidTr="00682A88">
        <w:trPr>
          <w:trHeight w:val="300"/>
        </w:trPr>
        <w:tc>
          <w:tcPr>
            <w:tcW w:w="2340" w:type="dxa"/>
            <w:tcBorders>
              <w:top w:val="nil"/>
              <w:bottom w:val="nil"/>
              <w:right w:val="nil"/>
            </w:tcBorders>
            <w:noWrap/>
            <w:hideMark/>
          </w:tcPr>
          <w:p w:rsidR="00682A88" w:rsidRPr="00CF3673" w:rsidRDefault="00682A88" w:rsidP="00682A88">
            <w:pPr>
              <w:rPr>
                <w:rFonts w:ascii="Calibri" w:hAnsi="Calibri"/>
                <w:szCs w:val="20"/>
              </w:rPr>
            </w:pPr>
            <w:r w:rsidRPr="00CF3673">
              <w:rPr>
                <w:rFonts w:ascii="Calibri" w:hAnsi="Calibri"/>
                <w:szCs w:val="20"/>
              </w:rPr>
              <w:t>Escola Primária</w:t>
            </w:r>
          </w:p>
        </w:tc>
        <w:tc>
          <w:tcPr>
            <w:tcW w:w="1455" w:type="dxa"/>
            <w:tcBorders>
              <w:top w:val="nil"/>
              <w:left w:val="nil"/>
              <w:bottom w:val="nil"/>
              <w:right w:val="nil"/>
            </w:tcBorders>
            <w:noWrap/>
            <w:hideMark/>
          </w:tcPr>
          <w:p w:rsidR="00682A88" w:rsidRPr="00CF3673" w:rsidRDefault="00682A88" w:rsidP="00682A88">
            <w:pPr>
              <w:jc w:val="center"/>
            </w:pPr>
            <w:r w:rsidRPr="00CF3673">
              <w:t>24.1</w:t>
            </w:r>
          </w:p>
        </w:tc>
        <w:tc>
          <w:tcPr>
            <w:tcW w:w="0" w:type="auto"/>
            <w:tcBorders>
              <w:top w:val="nil"/>
              <w:left w:val="nil"/>
              <w:bottom w:val="nil"/>
              <w:right w:val="nil"/>
            </w:tcBorders>
            <w:noWrap/>
            <w:hideMark/>
          </w:tcPr>
          <w:p w:rsidR="00682A88" w:rsidRPr="00CF3673" w:rsidRDefault="00682A88" w:rsidP="00682A88">
            <w:pPr>
              <w:jc w:val="center"/>
            </w:pPr>
            <w:r w:rsidRPr="00CF3673">
              <w:t>0.0</w:t>
            </w:r>
          </w:p>
        </w:tc>
        <w:tc>
          <w:tcPr>
            <w:tcW w:w="0" w:type="auto"/>
            <w:tcBorders>
              <w:top w:val="nil"/>
              <w:left w:val="nil"/>
              <w:bottom w:val="nil"/>
              <w:right w:val="nil"/>
            </w:tcBorders>
            <w:noWrap/>
            <w:hideMark/>
          </w:tcPr>
          <w:p w:rsidR="00682A88" w:rsidRPr="00CF3673" w:rsidRDefault="00682A88" w:rsidP="00682A88">
            <w:pPr>
              <w:jc w:val="center"/>
            </w:pPr>
            <w:r w:rsidRPr="00CF3673">
              <w:t>10.4</w:t>
            </w:r>
          </w:p>
        </w:tc>
        <w:tc>
          <w:tcPr>
            <w:tcW w:w="0" w:type="auto"/>
            <w:tcBorders>
              <w:top w:val="nil"/>
              <w:left w:val="nil"/>
              <w:bottom w:val="nil"/>
              <w:right w:val="single" w:sz="4" w:space="0" w:color="auto"/>
            </w:tcBorders>
            <w:noWrap/>
            <w:hideMark/>
          </w:tcPr>
          <w:p w:rsidR="00682A88" w:rsidRPr="00CF3673" w:rsidRDefault="00682A88" w:rsidP="00682A88">
            <w:pPr>
              <w:jc w:val="center"/>
            </w:pPr>
            <w:r w:rsidRPr="00CF3673">
              <w:t>154</w:t>
            </w:r>
          </w:p>
        </w:tc>
        <w:tc>
          <w:tcPr>
            <w:tcW w:w="0" w:type="auto"/>
            <w:tcBorders>
              <w:top w:val="nil"/>
              <w:left w:val="single" w:sz="4" w:space="0" w:color="auto"/>
              <w:bottom w:val="nil"/>
              <w:right w:val="nil"/>
            </w:tcBorders>
            <w:noWrap/>
          </w:tcPr>
          <w:p w:rsidR="00682A88" w:rsidRPr="00CF3673" w:rsidRDefault="00682A88" w:rsidP="00682A88">
            <w:pPr>
              <w:jc w:val="center"/>
            </w:pPr>
            <w:r w:rsidRPr="00CF3673">
              <w:t>-8.1</w:t>
            </w:r>
          </w:p>
        </w:tc>
        <w:tc>
          <w:tcPr>
            <w:tcW w:w="0" w:type="auto"/>
            <w:tcBorders>
              <w:top w:val="nil"/>
              <w:left w:val="nil"/>
              <w:bottom w:val="nil"/>
              <w:right w:val="nil"/>
            </w:tcBorders>
            <w:noWrap/>
          </w:tcPr>
          <w:p w:rsidR="00682A88" w:rsidRPr="00CF3673" w:rsidRDefault="00682A88" w:rsidP="00682A88">
            <w:pPr>
              <w:jc w:val="center"/>
            </w:pPr>
            <w:r w:rsidRPr="00CF3673">
              <w:t>-19.1</w:t>
            </w:r>
          </w:p>
        </w:tc>
        <w:tc>
          <w:tcPr>
            <w:tcW w:w="0" w:type="auto"/>
            <w:tcBorders>
              <w:top w:val="nil"/>
              <w:left w:val="nil"/>
              <w:bottom w:val="nil"/>
              <w:right w:val="nil"/>
            </w:tcBorders>
            <w:noWrap/>
          </w:tcPr>
          <w:p w:rsidR="00682A88" w:rsidRPr="00CF3673" w:rsidRDefault="00682A88" w:rsidP="00682A88">
            <w:pPr>
              <w:jc w:val="center"/>
            </w:pPr>
            <w:r w:rsidRPr="00CF3673">
              <w:t>-8.9</w:t>
            </w:r>
          </w:p>
        </w:tc>
        <w:tc>
          <w:tcPr>
            <w:tcW w:w="0" w:type="auto"/>
            <w:tcBorders>
              <w:top w:val="nil"/>
              <w:left w:val="nil"/>
              <w:bottom w:val="nil"/>
            </w:tcBorders>
            <w:noWrap/>
          </w:tcPr>
          <w:p w:rsidR="00682A88" w:rsidRPr="00CF3673" w:rsidRDefault="00682A88" w:rsidP="00682A88">
            <w:pPr>
              <w:jc w:val="center"/>
            </w:pPr>
            <w:r w:rsidRPr="00CF3673">
              <w:t>70</w:t>
            </w:r>
          </w:p>
        </w:tc>
      </w:tr>
      <w:tr w:rsidR="00682A88" w:rsidRPr="00CF3673" w:rsidTr="00682A88">
        <w:trPr>
          <w:trHeight w:val="300"/>
        </w:trPr>
        <w:tc>
          <w:tcPr>
            <w:tcW w:w="2340" w:type="dxa"/>
            <w:tcBorders>
              <w:top w:val="nil"/>
              <w:bottom w:val="nil"/>
              <w:right w:val="nil"/>
            </w:tcBorders>
            <w:noWrap/>
            <w:hideMark/>
          </w:tcPr>
          <w:p w:rsidR="00682A88" w:rsidRPr="00CF3673" w:rsidRDefault="00682A88" w:rsidP="00682A88">
            <w:pPr>
              <w:rPr>
                <w:rFonts w:ascii="Calibri" w:hAnsi="Calibri"/>
                <w:szCs w:val="20"/>
              </w:rPr>
            </w:pPr>
            <w:r w:rsidRPr="00CF3673">
              <w:rPr>
                <w:rFonts w:ascii="Calibri" w:hAnsi="Calibri"/>
                <w:szCs w:val="20"/>
              </w:rPr>
              <w:t>Escola Primária</w:t>
            </w:r>
          </w:p>
        </w:tc>
        <w:tc>
          <w:tcPr>
            <w:tcW w:w="1455" w:type="dxa"/>
            <w:tcBorders>
              <w:top w:val="nil"/>
              <w:left w:val="nil"/>
              <w:bottom w:val="nil"/>
              <w:right w:val="nil"/>
            </w:tcBorders>
            <w:noWrap/>
            <w:hideMark/>
          </w:tcPr>
          <w:p w:rsidR="00682A88" w:rsidRPr="00CF3673" w:rsidRDefault="00682A88" w:rsidP="00682A88">
            <w:pPr>
              <w:jc w:val="center"/>
            </w:pPr>
            <w:r w:rsidRPr="00CF3673">
              <w:t>14.0</w:t>
            </w:r>
          </w:p>
        </w:tc>
        <w:tc>
          <w:tcPr>
            <w:tcW w:w="0" w:type="auto"/>
            <w:tcBorders>
              <w:top w:val="nil"/>
              <w:left w:val="nil"/>
              <w:bottom w:val="nil"/>
              <w:right w:val="nil"/>
            </w:tcBorders>
            <w:noWrap/>
            <w:hideMark/>
          </w:tcPr>
          <w:p w:rsidR="00682A88" w:rsidRPr="00CF3673" w:rsidRDefault="00682A88" w:rsidP="00682A88">
            <w:pPr>
              <w:jc w:val="center"/>
            </w:pPr>
            <w:r w:rsidRPr="00CF3673">
              <w:t>0.0</w:t>
            </w:r>
          </w:p>
        </w:tc>
        <w:tc>
          <w:tcPr>
            <w:tcW w:w="0" w:type="auto"/>
            <w:tcBorders>
              <w:top w:val="nil"/>
              <w:left w:val="nil"/>
              <w:bottom w:val="nil"/>
              <w:right w:val="nil"/>
            </w:tcBorders>
            <w:noWrap/>
            <w:hideMark/>
          </w:tcPr>
          <w:p w:rsidR="00682A88" w:rsidRPr="00CF3673" w:rsidRDefault="00682A88" w:rsidP="00682A88">
            <w:pPr>
              <w:jc w:val="center"/>
            </w:pPr>
            <w:r w:rsidRPr="00CF3673">
              <w:t>7.6</w:t>
            </w:r>
          </w:p>
        </w:tc>
        <w:tc>
          <w:tcPr>
            <w:tcW w:w="0" w:type="auto"/>
            <w:tcBorders>
              <w:top w:val="nil"/>
              <w:left w:val="nil"/>
              <w:bottom w:val="nil"/>
              <w:right w:val="single" w:sz="4" w:space="0" w:color="auto"/>
            </w:tcBorders>
            <w:noWrap/>
            <w:hideMark/>
          </w:tcPr>
          <w:p w:rsidR="00682A88" w:rsidRPr="00CF3673" w:rsidRDefault="00682A88" w:rsidP="00682A88">
            <w:pPr>
              <w:jc w:val="center"/>
            </w:pPr>
            <w:r w:rsidRPr="00CF3673">
              <w:t>128</w:t>
            </w:r>
          </w:p>
        </w:tc>
        <w:tc>
          <w:tcPr>
            <w:tcW w:w="0" w:type="auto"/>
            <w:tcBorders>
              <w:top w:val="nil"/>
              <w:left w:val="single" w:sz="4" w:space="0" w:color="auto"/>
              <w:bottom w:val="nil"/>
              <w:right w:val="nil"/>
            </w:tcBorders>
            <w:noWrap/>
          </w:tcPr>
          <w:p w:rsidR="00682A88" w:rsidRPr="00CF3673" w:rsidRDefault="00682A88" w:rsidP="00682A88">
            <w:pPr>
              <w:jc w:val="center"/>
            </w:pPr>
            <w:r w:rsidRPr="00CF3673">
              <w:t>-24.4</w:t>
            </w:r>
          </w:p>
        </w:tc>
        <w:tc>
          <w:tcPr>
            <w:tcW w:w="0" w:type="auto"/>
            <w:tcBorders>
              <w:top w:val="nil"/>
              <w:left w:val="nil"/>
              <w:bottom w:val="nil"/>
              <w:right w:val="nil"/>
            </w:tcBorders>
            <w:noWrap/>
          </w:tcPr>
          <w:p w:rsidR="00682A88" w:rsidRPr="00CF3673" w:rsidRDefault="00682A88" w:rsidP="00682A88">
            <w:pPr>
              <w:jc w:val="center"/>
            </w:pPr>
            <w:r w:rsidRPr="00CF3673">
              <w:t>-33.3</w:t>
            </w:r>
          </w:p>
        </w:tc>
        <w:tc>
          <w:tcPr>
            <w:tcW w:w="0" w:type="auto"/>
            <w:tcBorders>
              <w:top w:val="nil"/>
              <w:left w:val="nil"/>
              <w:bottom w:val="nil"/>
              <w:right w:val="nil"/>
            </w:tcBorders>
            <w:noWrap/>
          </w:tcPr>
          <w:p w:rsidR="00682A88" w:rsidRPr="00CF3673" w:rsidRDefault="00682A88" w:rsidP="00682A88">
            <w:pPr>
              <w:jc w:val="center"/>
            </w:pPr>
            <w:r w:rsidRPr="00CF3673">
              <w:t>-29.5</w:t>
            </w:r>
          </w:p>
        </w:tc>
        <w:tc>
          <w:tcPr>
            <w:tcW w:w="0" w:type="auto"/>
            <w:tcBorders>
              <w:top w:val="nil"/>
              <w:left w:val="nil"/>
              <w:bottom w:val="nil"/>
            </w:tcBorders>
            <w:noWrap/>
          </w:tcPr>
          <w:p w:rsidR="00682A88" w:rsidRPr="00CF3673" w:rsidRDefault="00682A88" w:rsidP="00682A88">
            <w:pPr>
              <w:jc w:val="center"/>
            </w:pPr>
            <w:r w:rsidRPr="00CF3673">
              <w:t>55</w:t>
            </w:r>
          </w:p>
        </w:tc>
      </w:tr>
      <w:tr w:rsidR="00682A88" w:rsidRPr="00CF3673" w:rsidTr="00682A88">
        <w:trPr>
          <w:trHeight w:val="300"/>
        </w:trPr>
        <w:tc>
          <w:tcPr>
            <w:tcW w:w="2340" w:type="dxa"/>
            <w:tcBorders>
              <w:top w:val="nil"/>
              <w:bottom w:val="single" w:sz="4" w:space="0" w:color="auto"/>
            </w:tcBorders>
            <w:noWrap/>
            <w:hideMark/>
          </w:tcPr>
          <w:p w:rsidR="00682A88" w:rsidRPr="00CF3673" w:rsidRDefault="00682A88" w:rsidP="00682A88">
            <w:pPr>
              <w:rPr>
                <w:rFonts w:ascii="Calibri" w:hAnsi="Calibri"/>
                <w:szCs w:val="20"/>
              </w:rPr>
            </w:pPr>
            <w:r w:rsidRPr="00CF3673">
              <w:rPr>
                <w:rFonts w:ascii="Calibri" w:hAnsi="Calibri"/>
                <w:szCs w:val="20"/>
              </w:rPr>
              <w:t>Menos de escola primária</w:t>
            </w:r>
          </w:p>
        </w:tc>
        <w:tc>
          <w:tcPr>
            <w:tcW w:w="1455" w:type="dxa"/>
            <w:tcBorders>
              <w:top w:val="nil"/>
              <w:bottom w:val="single" w:sz="4" w:space="0" w:color="auto"/>
            </w:tcBorders>
            <w:noWrap/>
            <w:hideMark/>
          </w:tcPr>
          <w:p w:rsidR="00682A88" w:rsidRPr="00CF3673" w:rsidRDefault="00682A88" w:rsidP="00682A88">
            <w:pPr>
              <w:jc w:val="center"/>
            </w:pPr>
            <w:r w:rsidRPr="00CF3673">
              <w:t>24.4</w:t>
            </w:r>
          </w:p>
        </w:tc>
        <w:tc>
          <w:tcPr>
            <w:tcW w:w="0" w:type="auto"/>
            <w:tcBorders>
              <w:top w:val="nil"/>
              <w:bottom w:val="single" w:sz="4" w:space="0" w:color="auto"/>
            </w:tcBorders>
            <w:noWrap/>
            <w:hideMark/>
          </w:tcPr>
          <w:p w:rsidR="00682A88" w:rsidRPr="00CF3673" w:rsidRDefault="00682A88" w:rsidP="00682A88">
            <w:pPr>
              <w:jc w:val="center"/>
            </w:pPr>
            <w:r w:rsidRPr="00CF3673">
              <w:t>0.0</w:t>
            </w:r>
          </w:p>
        </w:tc>
        <w:tc>
          <w:tcPr>
            <w:tcW w:w="0" w:type="auto"/>
            <w:tcBorders>
              <w:top w:val="nil"/>
              <w:bottom w:val="single" w:sz="4" w:space="0" w:color="auto"/>
            </w:tcBorders>
            <w:noWrap/>
            <w:hideMark/>
          </w:tcPr>
          <w:p w:rsidR="00682A88" w:rsidRPr="00CF3673" w:rsidRDefault="00682A88" w:rsidP="00682A88">
            <w:pPr>
              <w:jc w:val="center"/>
            </w:pPr>
            <w:r w:rsidRPr="00CF3673">
              <w:t>11.8</w:t>
            </w:r>
          </w:p>
        </w:tc>
        <w:tc>
          <w:tcPr>
            <w:tcW w:w="0" w:type="auto"/>
            <w:tcBorders>
              <w:top w:val="nil"/>
              <w:bottom w:val="single" w:sz="4" w:space="0" w:color="auto"/>
              <w:right w:val="single" w:sz="4" w:space="0" w:color="auto"/>
            </w:tcBorders>
            <w:noWrap/>
            <w:hideMark/>
          </w:tcPr>
          <w:p w:rsidR="00682A88" w:rsidRPr="00CF3673" w:rsidRDefault="00682A88" w:rsidP="00682A88">
            <w:pPr>
              <w:jc w:val="center"/>
            </w:pPr>
            <w:r w:rsidRPr="00CF3673">
              <w:t>115</w:t>
            </w:r>
          </w:p>
        </w:tc>
        <w:tc>
          <w:tcPr>
            <w:tcW w:w="0" w:type="auto"/>
            <w:tcBorders>
              <w:top w:val="nil"/>
              <w:left w:val="single" w:sz="4" w:space="0" w:color="auto"/>
              <w:bottom w:val="single" w:sz="4" w:space="0" w:color="auto"/>
            </w:tcBorders>
            <w:noWrap/>
          </w:tcPr>
          <w:p w:rsidR="00682A88" w:rsidRPr="00CF3673" w:rsidRDefault="00682A88" w:rsidP="00682A88">
            <w:pPr>
              <w:jc w:val="center"/>
            </w:pPr>
            <w:r w:rsidRPr="00CF3673">
              <w:t>-45.8</w:t>
            </w:r>
          </w:p>
        </w:tc>
        <w:tc>
          <w:tcPr>
            <w:tcW w:w="0" w:type="auto"/>
            <w:tcBorders>
              <w:top w:val="nil"/>
              <w:bottom w:val="single" w:sz="4" w:space="0" w:color="auto"/>
            </w:tcBorders>
            <w:noWrap/>
          </w:tcPr>
          <w:p w:rsidR="00682A88" w:rsidRPr="00CF3673" w:rsidRDefault="00682A88" w:rsidP="00682A88">
            <w:pPr>
              <w:jc w:val="center"/>
            </w:pPr>
            <w:r w:rsidRPr="00CF3673">
              <w:t>-40.0</w:t>
            </w:r>
          </w:p>
        </w:tc>
        <w:tc>
          <w:tcPr>
            <w:tcW w:w="0" w:type="auto"/>
            <w:tcBorders>
              <w:top w:val="nil"/>
              <w:bottom w:val="single" w:sz="4" w:space="0" w:color="auto"/>
            </w:tcBorders>
            <w:noWrap/>
          </w:tcPr>
          <w:p w:rsidR="00682A88" w:rsidRPr="00CF3673" w:rsidRDefault="00682A88" w:rsidP="00682A88">
            <w:pPr>
              <w:jc w:val="center"/>
            </w:pPr>
            <w:r w:rsidRPr="00CF3673">
              <w:t>-36.4</w:t>
            </w:r>
          </w:p>
        </w:tc>
        <w:tc>
          <w:tcPr>
            <w:tcW w:w="0" w:type="auto"/>
            <w:tcBorders>
              <w:top w:val="nil"/>
              <w:bottom w:val="single" w:sz="4" w:space="0" w:color="auto"/>
            </w:tcBorders>
            <w:noWrap/>
          </w:tcPr>
          <w:p w:rsidR="00682A88" w:rsidRPr="00CF3673" w:rsidRDefault="00682A88" w:rsidP="00682A88">
            <w:pPr>
              <w:jc w:val="center"/>
            </w:pPr>
            <w:r w:rsidRPr="00CF3673">
              <w:t>4</w:t>
            </w:r>
          </w:p>
        </w:tc>
      </w:tr>
      <w:tr w:rsidR="00682A88" w:rsidRPr="00CF3673" w:rsidTr="00682A88">
        <w:trPr>
          <w:trHeight w:val="300"/>
        </w:trPr>
        <w:tc>
          <w:tcPr>
            <w:tcW w:w="2340" w:type="dxa"/>
            <w:tcBorders>
              <w:top w:val="single" w:sz="4" w:space="0" w:color="auto"/>
              <w:bottom w:val="nil"/>
            </w:tcBorders>
            <w:noWrap/>
            <w:hideMark/>
          </w:tcPr>
          <w:p w:rsidR="00682A88" w:rsidRPr="00CF3673" w:rsidRDefault="00682A88" w:rsidP="00682A88">
            <w:pPr>
              <w:rPr>
                <w:rFonts w:ascii="Calibri" w:eastAsia="Times New Roman" w:hAnsi="Calibri" w:cs="Times New Roman"/>
                <w:szCs w:val="20"/>
                <w:lang w:eastAsia="zh-CN"/>
              </w:rPr>
            </w:pPr>
            <w:r w:rsidRPr="00CF3673">
              <w:rPr>
                <w:rFonts w:ascii="Calibri" w:eastAsia="Times New Roman" w:hAnsi="Calibri" w:cs="Times New Roman"/>
                <w:szCs w:val="20"/>
                <w:lang w:eastAsia="zh-CN"/>
              </w:rPr>
              <w:t>Sem educação no exterior</w:t>
            </w:r>
          </w:p>
        </w:tc>
        <w:tc>
          <w:tcPr>
            <w:tcW w:w="1455" w:type="dxa"/>
            <w:tcBorders>
              <w:top w:val="single" w:sz="4" w:space="0" w:color="auto"/>
              <w:bottom w:val="nil"/>
            </w:tcBorders>
            <w:noWrap/>
            <w:hideMark/>
          </w:tcPr>
          <w:p w:rsidR="00682A88" w:rsidRPr="00CF3673" w:rsidRDefault="00682A88" w:rsidP="00682A88">
            <w:pPr>
              <w:jc w:val="center"/>
            </w:pPr>
            <w:r w:rsidRPr="00CF3673">
              <w:t>22.0</w:t>
            </w:r>
          </w:p>
        </w:tc>
        <w:tc>
          <w:tcPr>
            <w:tcW w:w="0" w:type="auto"/>
            <w:tcBorders>
              <w:top w:val="single" w:sz="4" w:space="0" w:color="auto"/>
              <w:bottom w:val="nil"/>
            </w:tcBorders>
            <w:noWrap/>
            <w:hideMark/>
          </w:tcPr>
          <w:p w:rsidR="00682A88" w:rsidRPr="00CF3673" w:rsidRDefault="00682A88" w:rsidP="00682A88">
            <w:pPr>
              <w:jc w:val="center"/>
            </w:pPr>
            <w:r w:rsidRPr="00CF3673">
              <w:t>0.0</w:t>
            </w:r>
          </w:p>
        </w:tc>
        <w:tc>
          <w:tcPr>
            <w:tcW w:w="0" w:type="auto"/>
            <w:tcBorders>
              <w:top w:val="single" w:sz="4" w:space="0" w:color="auto"/>
              <w:bottom w:val="nil"/>
            </w:tcBorders>
            <w:noWrap/>
            <w:hideMark/>
          </w:tcPr>
          <w:p w:rsidR="00682A88" w:rsidRPr="00CF3673" w:rsidRDefault="00682A88" w:rsidP="00682A88">
            <w:pPr>
              <w:jc w:val="center"/>
            </w:pPr>
            <w:r w:rsidRPr="00CF3673">
              <w:t>12.2</w:t>
            </w:r>
          </w:p>
        </w:tc>
        <w:tc>
          <w:tcPr>
            <w:tcW w:w="0" w:type="auto"/>
            <w:tcBorders>
              <w:top w:val="single" w:sz="4" w:space="0" w:color="auto"/>
              <w:bottom w:val="nil"/>
              <w:right w:val="single" w:sz="4" w:space="0" w:color="auto"/>
            </w:tcBorders>
            <w:noWrap/>
            <w:hideMark/>
          </w:tcPr>
          <w:p w:rsidR="00682A88" w:rsidRPr="00CF3673" w:rsidRDefault="00682A88" w:rsidP="00682A88">
            <w:pPr>
              <w:jc w:val="center"/>
            </w:pPr>
            <w:r w:rsidRPr="00CF3673">
              <w:t>519</w:t>
            </w:r>
          </w:p>
        </w:tc>
        <w:tc>
          <w:tcPr>
            <w:tcW w:w="0" w:type="auto"/>
            <w:tcBorders>
              <w:top w:val="single" w:sz="4" w:space="0" w:color="auto"/>
              <w:left w:val="single" w:sz="4" w:space="0" w:color="auto"/>
              <w:bottom w:val="nil"/>
            </w:tcBorders>
            <w:noWrap/>
          </w:tcPr>
          <w:p w:rsidR="00682A88" w:rsidRPr="00CF3673" w:rsidRDefault="00682A88" w:rsidP="00682A88">
            <w:pPr>
              <w:jc w:val="center"/>
            </w:pPr>
          </w:p>
        </w:tc>
        <w:tc>
          <w:tcPr>
            <w:tcW w:w="0" w:type="auto"/>
            <w:tcBorders>
              <w:top w:val="single" w:sz="4" w:space="0" w:color="auto"/>
              <w:bottom w:val="nil"/>
            </w:tcBorders>
            <w:noWrap/>
          </w:tcPr>
          <w:p w:rsidR="00682A88" w:rsidRPr="00CF3673" w:rsidRDefault="00682A88" w:rsidP="00682A88">
            <w:pPr>
              <w:jc w:val="center"/>
            </w:pPr>
          </w:p>
        </w:tc>
        <w:tc>
          <w:tcPr>
            <w:tcW w:w="0" w:type="auto"/>
            <w:tcBorders>
              <w:top w:val="single" w:sz="4" w:space="0" w:color="auto"/>
              <w:bottom w:val="nil"/>
            </w:tcBorders>
            <w:noWrap/>
          </w:tcPr>
          <w:p w:rsidR="00682A88" w:rsidRPr="00CF3673" w:rsidRDefault="00682A88" w:rsidP="00682A88">
            <w:pPr>
              <w:jc w:val="center"/>
            </w:pPr>
          </w:p>
        </w:tc>
        <w:tc>
          <w:tcPr>
            <w:tcW w:w="0" w:type="auto"/>
            <w:tcBorders>
              <w:top w:val="single" w:sz="4" w:space="0" w:color="auto"/>
              <w:bottom w:val="nil"/>
            </w:tcBorders>
            <w:noWrap/>
          </w:tcPr>
          <w:p w:rsidR="00682A88" w:rsidRPr="00CF3673" w:rsidRDefault="00682A88" w:rsidP="00682A88">
            <w:pPr>
              <w:jc w:val="center"/>
            </w:pPr>
          </w:p>
        </w:tc>
      </w:tr>
      <w:tr w:rsidR="00682A88" w:rsidRPr="00CF3673" w:rsidTr="00682A88">
        <w:trPr>
          <w:trHeight w:val="300"/>
        </w:trPr>
        <w:tc>
          <w:tcPr>
            <w:tcW w:w="2340" w:type="dxa"/>
            <w:tcBorders>
              <w:top w:val="nil"/>
              <w:bottom w:val="single" w:sz="4" w:space="0" w:color="auto"/>
            </w:tcBorders>
            <w:noWrap/>
            <w:hideMark/>
          </w:tcPr>
          <w:p w:rsidR="00682A88" w:rsidRPr="00CF3673" w:rsidRDefault="00682A88" w:rsidP="00682A88">
            <w:pPr>
              <w:rPr>
                <w:rFonts w:ascii="Calibri" w:eastAsia="Times New Roman" w:hAnsi="Calibri" w:cs="Times New Roman"/>
                <w:szCs w:val="20"/>
                <w:lang w:eastAsia="zh-CN"/>
              </w:rPr>
            </w:pPr>
            <w:r w:rsidRPr="00CF3673">
              <w:rPr>
                <w:rFonts w:ascii="Calibri" w:eastAsia="Times New Roman" w:hAnsi="Calibri" w:cs="Times New Roman"/>
                <w:szCs w:val="20"/>
                <w:lang w:eastAsia="zh-CN"/>
              </w:rPr>
              <w:t>Educação no exterior</w:t>
            </w:r>
          </w:p>
        </w:tc>
        <w:tc>
          <w:tcPr>
            <w:tcW w:w="1455" w:type="dxa"/>
            <w:tcBorders>
              <w:top w:val="nil"/>
              <w:bottom w:val="single" w:sz="4" w:space="0" w:color="auto"/>
            </w:tcBorders>
            <w:noWrap/>
            <w:hideMark/>
          </w:tcPr>
          <w:p w:rsidR="00682A88" w:rsidRPr="00CF3673" w:rsidRDefault="00682A88" w:rsidP="00682A88">
            <w:pPr>
              <w:jc w:val="center"/>
            </w:pPr>
            <w:r w:rsidRPr="00CF3673">
              <w:t>23.6</w:t>
            </w:r>
          </w:p>
        </w:tc>
        <w:tc>
          <w:tcPr>
            <w:tcW w:w="0" w:type="auto"/>
            <w:tcBorders>
              <w:top w:val="nil"/>
              <w:bottom w:val="single" w:sz="4" w:space="0" w:color="auto"/>
            </w:tcBorders>
            <w:noWrap/>
            <w:hideMark/>
          </w:tcPr>
          <w:p w:rsidR="00682A88" w:rsidRPr="00CF3673" w:rsidRDefault="00682A88" w:rsidP="00682A88">
            <w:pPr>
              <w:jc w:val="center"/>
            </w:pPr>
            <w:r w:rsidRPr="00CF3673">
              <w:t>0.0</w:t>
            </w:r>
          </w:p>
        </w:tc>
        <w:tc>
          <w:tcPr>
            <w:tcW w:w="0" w:type="auto"/>
            <w:tcBorders>
              <w:top w:val="nil"/>
              <w:bottom w:val="single" w:sz="4" w:space="0" w:color="auto"/>
            </w:tcBorders>
            <w:noWrap/>
            <w:hideMark/>
          </w:tcPr>
          <w:p w:rsidR="00682A88" w:rsidRPr="00CF3673" w:rsidRDefault="00682A88" w:rsidP="00682A88">
            <w:pPr>
              <w:jc w:val="center"/>
            </w:pPr>
            <w:r w:rsidRPr="00CF3673">
              <w:t>17.2</w:t>
            </w:r>
          </w:p>
        </w:tc>
        <w:tc>
          <w:tcPr>
            <w:tcW w:w="0" w:type="auto"/>
            <w:tcBorders>
              <w:top w:val="nil"/>
              <w:bottom w:val="single" w:sz="4" w:space="0" w:color="auto"/>
              <w:right w:val="single" w:sz="4" w:space="0" w:color="auto"/>
            </w:tcBorders>
            <w:noWrap/>
            <w:hideMark/>
          </w:tcPr>
          <w:p w:rsidR="00682A88" w:rsidRPr="00CF3673" w:rsidRDefault="00682A88" w:rsidP="00682A88">
            <w:pPr>
              <w:jc w:val="center"/>
            </w:pPr>
            <w:r w:rsidRPr="00CF3673">
              <w:t>57</w:t>
            </w:r>
          </w:p>
        </w:tc>
        <w:tc>
          <w:tcPr>
            <w:tcW w:w="0" w:type="auto"/>
            <w:tcBorders>
              <w:top w:val="nil"/>
              <w:left w:val="single" w:sz="4" w:space="0" w:color="auto"/>
              <w:bottom w:val="single" w:sz="4" w:space="0" w:color="auto"/>
            </w:tcBorders>
            <w:noWrap/>
          </w:tcPr>
          <w:p w:rsidR="00682A88" w:rsidRPr="00CF3673" w:rsidRDefault="00682A88" w:rsidP="00682A88">
            <w:pPr>
              <w:jc w:val="center"/>
            </w:pPr>
          </w:p>
        </w:tc>
        <w:tc>
          <w:tcPr>
            <w:tcW w:w="0" w:type="auto"/>
            <w:tcBorders>
              <w:top w:val="nil"/>
              <w:bottom w:val="single" w:sz="4" w:space="0" w:color="auto"/>
            </w:tcBorders>
            <w:noWrap/>
          </w:tcPr>
          <w:p w:rsidR="00682A88" w:rsidRPr="00CF3673" w:rsidRDefault="00682A88" w:rsidP="00682A88">
            <w:pPr>
              <w:jc w:val="center"/>
            </w:pPr>
          </w:p>
        </w:tc>
        <w:tc>
          <w:tcPr>
            <w:tcW w:w="0" w:type="auto"/>
            <w:tcBorders>
              <w:top w:val="nil"/>
              <w:bottom w:val="single" w:sz="4" w:space="0" w:color="auto"/>
            </w:tcBorders>
            <w:noWrap/>
          </w:tcPr>
          <w:p w:rsidR="00682A88" w:rsidRPr="00CF3673" w:rsidRDefault="00682A88" w:rsidP="00682A88">
            <w:pPr>
              <w:jc w:val="center"/>
            </w:pPr>
          </w:p>
        </w:tc>
        <w:tc>
          <w:tcPr>
            <w:tcW w:w="0" w:type="auto"/>
            <w:tcBorders>
              <w:top w:val="nil"/>
              <w:bottom w:val="single" w:sz="4" w:space="0" w:color="auto"/>
            </w:tcBorders>
            <w:noWrap/>
          </w:tcPr>
          <w:p w:rsidR="00682A88" w:rsidRPr="00CF3673" w:rsidRDefault="00682A88" w:rsidP="00682A88">
            <w:pPr>
              <w:jc w:val="center"/>
            </w:pPr>
          </w:p>
        </w:tc>
      </w:tr>
      <w:tr w:rsidR="00682A88" w:rsidRPr="00CF3673" w:rsidTr="00682A88">
        <w:trPr>
          <w:trHeight w:val="300"/>
        </w:trPr>
        <w:tc>
          <w:tcPr>
            <w:tcW w:w="2340" w:type="dxa"/>
            <w:tcBorders>
              <w:top w:val="single" w:sz="4" w:space="0" w:color="auto"/>
              <w:bottom w:val="nil"/>
            </w:tcBorders>
            <w:noWrap/>
            <w:hideMark/>
          </w:tcPr>
          <w:p w:rsidR="00682A88" w:rsidRPr="00CF3673" w:rsidRDefault="00682A88" w:rsidP="00682A88">
            <w:pPr>
              <w:rPr>
                <w:rFonts w:ascii="Calibri" w:eastAsia="Times New Roman" w:hAnsi="Calibri" w:cs="Times New Roman"/>
                <w:szCs w:val="20"/>
                <w:lang w:eastAsia="zh-CN"/>
              </w:rPr>
            </w:pPr>
            <w:r w:rsidRPr="00CF3673">
              <w:rPr>
                <w:rFonts w:ascii="Calibri" w:eastAsia="Times New Roman" w:hAnsi="Calibri" w:cs="Times New Roman"/>
                <w:szCs w:val="20"/>
                <w:lang w:eastAsia="zh-CN"/>
              </w:rPr>
              <w:t>Sem experiência no exterior</w:t>
            </w:r>
          </w:p>
        </w:tc>
        <w:tc>
          <w:tcPr>
            <w:tcW w:w="1455" w:type="dxa"/>
            <w:tcBorders>
              <w:top w:val="single" w:sz="4" w:space="0" w:color="auto"/>
              <w:bottom w:val="nil"/>
            </w:tcBorders>
            <w:noWrap/>
            <w:hideMark/>
          </w:tcPr>
          <w:p w:rsidR="00682A88" w:rsidRPr="00CF3673" w:rsidRDefault="00682A88" w:rsidP="00682A88">
            <w:pPr>
              <w:jc w:val="center"/>
            </w:pPr>
            <w:r w:rsidRPr="00CF3673">
              <w:t>20.5</w:t>
            </w:r>
          </w:p>
        </w:tc>
        <w:tc>
          <w:tcPr>
            <w:tcW w:w="0" w:type="auto"/>
            <w:tcBorders>
              <w:top w:val="single" w:sz="4" w:space="0" w:color="auto"/>
              <w:bottom w:val="nil"/>
            </w:tcBorders>
            <w:noWrap/>
            <w:hideMark/>
          </w:tcPr>
          <w:p w:rsidR="00682A88" w:rsidRPr="00CF3673" w:rsidRDefault="00682A88" w:rsidP="00682A88">
            <w:pPr>
              <w:jc w:val="center"/>
            </w:pPr>
            <w:r w:rsidRPr="00CF3673">
              <w:t>0.0</w:t>
            </w:r>
          </w:p>
        </w:tc>
        <w:tc>
          <w:tcPr>
            <w:tcW w:w="0" w:type="auto"/>
            <w:tcBorders>
              <w:top w:val="single" w:sz="4" w:space="0" w:color="auto"/>
              <w:bottom w:val="nil"/>
            </w:tcBorders>
            <w:noWrap/>
            <w:hideMark/>
          </w:tcPr>
          <w:p w:rsidR="00682A88" w:rsidRPr="00CF3673" w:rsidRDefault="00682A88" w:rsidP="00682A88">
            <w:pPr>
              <w:jc w:val="center"/>
            </w:pPr>
            <w:r w:rsidRPr="00CF3673">
              <w:t>8.1</w:t>
            </w:r>
          </w:p>
        </w:tc>
        <w:tc>
          <w:tcPr>
            <w:tcW w:w="0" w:type="auto"/>
            <w:tcBorders>
              <w:top w:val="single" w:sz="4" w:space="0" w:color="auto"/>
              <w:bottom w:val="nil"/>
              <w:right w:val="single" w:sz="4" w:space="0" w:color="auto"/>
            </w:tcBorders>
            <w:noWrap/>
            <w:hideMark/>
          </w:tcPr>
          <w:p w:rsidR="00682A88" w:rsidRPr="00CF3673" w:rsidRDefault="00682A88" w:rsidP="00682A88">
            <w:pPr>
              <w:jc w:val="center"/>
            </w:pPr>
            <w:r w:rsidRPr="00CF3673">
              <w:t>521</w:t>
            </w:r>
          </w:p>
        </w:tc>
        <w:tc>
          <w:tcPr>
            <w:tcW w:w="0" w:type="auto"/>
            <w:tcBorders>
              <w:top w:val="single" w:sz="4" w:space="0" w:color="auto"/>
              <w:left w:val="single" w:sz="4" w:space="0" w:color="auto"/>
              <w:bottom w:val="nil"/>
            </w:tcBorders>
            <w:noWrap/>
          </w:tcPr>
          <w:p w:rsidR="00682A88" w:rsidRPr="00CF3673" w:rsidRDefault="00682A88" w:rsidP="00682A88">
            <w:pPr>
              <w:jc w:val="center"/>
            </w:pPr>
          </w:p>
        </w:tc>
        <w:tc>
          <w:tcPr>
            <w:tcW w:w="0" w:type="auto"/>
            <w:tcBorders>
              <w:top w:val="single" w:sz="4" w:space="0" w:color="auto"/>
              <w:bottom w:val="nil"/>
            </w:tcBorders>
            <w:noWrap/>
          </w:tcPr>
          <w:p w:rsidR="00682A88" w:rsidRPr="00CF3673" w:rsidRDefault="00682A88" w:rsidP="00682A88">
            <w:pPr>
              <w:jc w:val="center"/>
            </w:pPr>
          </w:p>
        </w:tc>
        <w:tc>
          <w:tcPr>
            <w:tcW w:w="0" w:type="auto"/>
            <w:tcBorders>
              <w:top w:val="single" w:sz="4" w:space="0" w:color="auto"/>
              <w:bottom w:val="nil"/>
            </w:tcBorders>
            <w:noWrap/>
          </w:tcPr>
          <w:p w:rsidR="00682A88" w:rsidRPr="00CF3673" w:rsidRDefault="00682A88" w:rsidP="00682A88">
            <w:pPr>
              <w:jc w:val="center"/>
            </w:pPr>
          </w:p>
        </w:tc>
        <w:tc>
          <w:tcPr>
            <w:tcW w:w="0" w:type="auto"/>
            <w:tcBorders>
              <w:top w:val="single" w:sz="4" w:space="0" w:color="auto"/>
              <w:bottom w:val="nil"/>
            </w:tcBorders>
            <w:noWrap/>
          </w:tcPr>
          <w:p w:rsidR="00682A88" w:rsidRPr="00CF3673" w:rsidRDefault="00682A88" w:rsidP="00682A88">
            <w:pPr>
              <w:jc w:val="center"/>
            </w:pPr>
          </w:p>
        </w:tc>
      </w:tr>
      <w:tr w:rsidR="00682A88" w:rsidRPr="00CF3673" w:rsidTr="00682A88">
        <w:trPr>
          <w:trHeight w:val="300"/>
        </w:trPr>
        <w:tc>
          <w:tcPr>
            <w:tcW w:w="2340" w:type="dxa"/>
            <w:tcBorders>
              <w:top w:val="nil"/>
              <w:bottom w:val="single" w:sz="4" w:space="0" w:color="auto"/>
            </w:tcBorders>
            <w:noWrap/>
            <w:hideMark/>
          </w:tcPr>
          <w:p w:rsidR="00682A88" w:rsidRPr="00CF3673" w:rsidRDefault="00682A88" w:rsidP="00682A88">
            <w:pPr>
              <w:rPr>
                <w:rFonts w:ascii="Calibri" w:eastAsia="Times New Roman" w:hAnsi="Calibri" w:cs="Times New Roman"/>
                <w:szCs w:val="20"/>
                <w:lang w:eastAsia="zh-CN"/>
              </w:rPr>
            </w:pPr>
            <w:r w:rsidRPr="00CF3673">
              <w:rPr>
                <w:rFonts w:ascii="Calibri" w:eastAsia="Times New Roman" w:hAnsi="Calibri" w:cs="Times New Roman"/>
                <w:szCs w:val="20"/>
                <w:lang w:eastAsia="zh-CN"/>
              </w:rPr>
              <w:t>Experiência no exterior</w:t>
            </w:r>
          </w:p>
        </w:tc>
        <w:tc>
          <w:tcPr>
            <w:tcW w:w="1455" w:type="dxa"/>
            <w:tcBorders>
              <w:top w:val="nil"/>
              <w:bottom w:val="single" w:sz="4" w:space="0" w:color="auto"/>
            </w:tcBorders>
            <w:noWrap/>
            <w:hideMark/>
          </w:tcPr>
          <w:p w:rsidR="00682A88" w:rsidRPr="00CF3673" w:rsidRDefault="00682A88" w:rsidP="00682A88">
            <w:pPr>
              <w:jc w:val="center"/>
            </w:pPr>
            <w:r w:rsidRPr="00CF3673">
              <w:t>38.8</w:t>
            </w:r>
          </w:p>
        </w:tc>
        <w:tc>
          <w:tcPr>
            <w:tcW w:w="0" w:type="auto"/>
            <w:tcBorders>
              <w:top w:val="nil"/>
              <w:bottom w:val="single" w:sz="4" w:space="0" w:color="auto"/>
            </w:tcBorders>
            <w:noWrap/>
            <w:hideMark/>
          </w:tcPr>
          <w:p w:rsidR="00682A88" w:rsidRPr="00CF3673" w:rsidRDefault="00682A88" w:rsidP="00682A88">
            <w:pPr>
              <w:jc w:val="center"/>
            </w:pPr>
            <w:r w:rsidRPr="00CF3673">
              <w:t>20.0</w:t>
            </w:r>
          </w:p>
        </w:tc>
        <w:tc>
          <w:tcPr>
            <w:tcW w:w="0" w:type="auto"/>
            <w:tcBorders>
              <w:top w:val="nil"/>
              <w:bottom w:val="single" w:sz="4" w:space="0" w:color="auto"/>
            </w:tcBorders>
            <w:noWrap/>
            <w:hideMark/>
          </w:tcPr>
          <w:p w:rsidR="00682A88" w:rsidRPr="00CF3673" w:rsidRDefault="00682A88" w:rsidP="00682A88">
            <w:pPr>
              <w:jc w:val="center"/>
            </w:pPr>
            <w:r w:rsidRPr="00CF3673">
              <w:t>24.5</w:t>
            </w:r>
          </w:p>
        </w:tc>
        <w:tc>
          <w:tcPr>
            <w:tcW w:w="0" w:type="auto"/>
            <w:tcBorders>
              <w:top w:val="nil"/>
              <w:bottom w:val="single" w:sz="4" w:space="0" w:color="auto"/>
              <w:right w:val="single" w:sz="4" w:space="0" w:color="auto"/>
            </w:tcBorders>
            <w:noWrap/>
            <w:hideMark/>
          </w:tcPr>
          <w:p w:rsidR="00682A88" w:rsidRPr="00CF3673" w:rsidRDefault="00682A88" w:rsidP="00682A88">
            <w:pPr>
              <w:jc w:val="center"/>
            </w:pPr>
            <w:r w:rsidRPr="00CF3673">
              <w:t>59</w:t>
            </w:r>
          </w:p>
        </w:tc>
        <w:tc>
          <w:tcPr>
            <w:tcW w:w="0" w:type="auto"/>
            <w:tcBorders>
              <w:top w:val="nil"/>
              <w:left w:val="single" w:sz="4" w:space="0" w:color="auto"/>
              <w:bottom w:val="single" w:sz="4" w:space="0" w:color="auto"/>
            </w:tcBorders>
            <w:noWrap/>
          </w:tcPr>
          <w:p w:rsidR="00682A88" w:rsidRPr="00CF3673" w:rsidRDefault="00682A88" w:rsidP="00682A88">
            <w:pPr>
              <w:jc w:val="center"/>
            </w:pPr>
          </w:p>
        </w:tc>
        <w:tc>
          <w:tcPr>
            <w:tcW w:w="0" w:type="auto"/>
            <w:tcBorders>
              <w:top w:val="nil"/>
              <w:bottom w:val="single" w:sz="4" w:space="0" w:color="auto"/>
            </w:tcBorders>
            <w:noWrap/>
          </w:tcPr>
          <w:p w:rsidR="00682A88" w:rsidRPr="00CF3673" w:rsidRDefault="00682A88" w:rsidP="00682A88">
            <w:pPr>
              <w:jc w:val="center"/>
            </w:pPr>
          </w:p>
        </w:tc>
        <w:tc>
          <w:tcPr>
            <w:tcW w:w="0" w:type="auto"/>
            <w:tcBorders>
              <w:top w:val="nil"/>
              <w:bottom w:val="single" w:sz="4" w:space="0" w:color="auto"/>
            </w:tcBorders>
            <w:noWrap/>
          </w:tcPr>
          <w:p w:rsidR="00682A88" w:rsidRPr="00CF3673" w:rsidRDefault="00682A88" w:rsidP="00682A88">
            <w:pPr>
              <w:jc w:val="center"/>
            </w:pPr>
          </w:p>
        </w:tc>
        <w:tc>
          <w:tcPr>
            <w:tcW w:w="0" w:type="auto"/>
            <w:tcBorders>
              <w:top w:val="nil"/>
              <w:bottom w:val="single" w:sz="4" w:space="0" w:color="auto"/>
            </w:tcBorders>
            <w:noWrap/>
          </w:tcPr>
          <w:p w:rsidR="00682A88" w:rsidRPr="00CF3673" w:rsidRDefault="00682A88" w:rsidP="00682A88">
            <w:pPr>
              <w:jc w:val="center"/>
            </w:pPr>
          </w:p>
        </w:tc>
      </w:tr>
      <w:tr w:rsidR="00682A88" w:rsidRPr="00CF3673" w:rsidTr="00682A88">
        <w:trPr>
          <w:trHeight w:val="300"/>
        </w:trPr>
        <w:tc>
          <w:tcPr>
            <w:tcW w:w="2340" w:type="dxa"/>
            <w:tcBorders>
              <w:top w:val="single" w:sz="4" w:space="0" w:color="auto"/>
            </w:tcBorders>
            <w:noWrap/>
            <w:hideMark/>
          </w:tcPr>
          <w:p w:rsidR="00682A88" w:rsidRPr="00CF3673" w:rsidRDefault="00682A88" w:rsidP="00682A88">
            <w:pPr>
              <w:rPr>
                <w:rFonts w:ascii="Calibri" w:hAnsi="Calibri"/>
                <w:szCs w:val="20"/>
              </w:rPr>
            </w:pPr>
            <w:r w:rsidRPr="00CF3673">
              <w:rPr>
                <w:rFonts w:ascii="Calibri" w:hAnsi="Calibri"/>
                <w:szCs w:val="20"/>
              </w:rPr>
              <w:t>Não membro da Frelimo</w:t>
            </w:r>
          </w:p>
        </w:tc>
        <w:tc>
          <w:tcPr>
            <w:tcW w:w="1455" w:type="dxa"/>
            <w:tcBorders>
              <w:top w:val="single" w:sz="4" w:space="0" w:color="auto"/>
            </w:tcBorders>
            <w:noWrap/>
            <w:hideMark/>
          </w:tcPr>
          <w:p w:rsidR="00682A88" w:rsidRPr="00CF3673" w:rsidRDefault="00682A88" w:rsidP="00682A88">
            <w:pPr>
              <w:jc w:val="center"/>
            </w:pPr>
            <w:r w:rsidRPr="00CF3673">
              <w:t>23.0</w:t>
            </w:r>
          </w:p>
        </w:tc>
        <w:tc>
          <w:tcPr>
            <w:tcW w:w="0" w:type="auto"/>
            <w:tcBorders>
              <w:top w:val="single" w:sz="4" w:space="0" w:color="auto"/>
            </w:tcBorders>
            <w:noWrap/>
            <w:hideMark/>
          </w:tcPr>
          <w:p w:rsidR="00682A88" w:rsidRPr="00CF3673" w:rsidRDefault="00682A88" w:rsidP="00682A88">
            <w:pPr>
              <w:jc w:val="center"/>
            </w:pPr>
            <w:r w:rsidRPr="00CF3673">
              <w:t>0.0</w:t>
            </w:r>
          </w:p>
        </w:tc>
        <w:tc>
          <w:tcPr>
            <w:tcW w:w="0" w:type="auto"/>
            <w:tcBorders>
              <w:top w:val="single" w:sz="4" w:space="0" w:color="auto"/>
            </w:tcBorders>
            <w:noWrap/>
            <w:hideMark/>
          </w:tcPr>
          <w:p w:rsidR="00682A88" w:rsidRPr="00CF3673" w:rsidRDefault="00682A88" w:rsidP="00682A88">
            <w:pPr>
              <w:jc w:val="center"/>
            </w:pPr>
            <w:r w:rsidRPr="00CF3673">
              <w:t>18.3</w:t>
            </w:r>
          </w:p>
        </w:tc>
        <w:tc>
          <w:tcPr>
            <w:tcW w:w="0" w:type="auto"/>
            <w:tcBorders>
              <w:top w:val="single" w:sz="4" w:space="0" w:color="auto"/>
              <w:right w:val="single" w:sz="4" w:space="0" w:color="auto"/>
            </w:tcBorders>
            <w:noWrap/>
            <w:hideMark/>
          </w:tcPr>
          <w:p w:rsidR="00682A88" w:rsidRPr="00CF3673" w:rsidRDefault="00682A88" w:rsidP="00682A88">
            <w:pPr>
              <w:jc w:val="center"/>
            </w:pPr>
            <w:r w:rsidRPr="00CF3673">
              <w:t>377</w:t>
            </w:r>
          </w:p>
        </w:tc>
        <w:tc>
          <w:tcPr>
            <w:tcW w:w="0" w:type="auto"/>
            <w:tcBorders>
              <w:top w:val="single" w:sz="4" w:space="0" w:color="auto"/>
              <w:left w:val="single" w:sz="4" w:space="0" w:color="auto"/>
            </w:tcBorders>
            <w:noWrap/>
          </w:tcPr>
          <w:p w:rsidR="00682A88" w:rsidRPr="00CF3673" w:rsidRDefault="00682A88" w:rsidP="00682A88">
            <w:pPr>
              <w:jc w:val="center"/>
            </w:pPr>
          </w:p>
        </w:tc>
        <w:tc>
          <w:tcPr>
            <w:tcW w:w="0" w:type="auto"/>
            <w:tcBorders>
              <w:top w:val="single" w:sz="4" w:space="0" w:color="auto"/>
            </w:tcBorders>
            <w:noWrap/>
          </w:tcPr>
          <w:p w:rsidR="00682A88" w:rsidRPr="00CF3673" w:rsidRDefault="00682A88" w:rsidP="00682A88">
            <w:pPr>
              <w:jc w:val="center"/>
            </w:pPr>
          </w:p>
        </w:tc>
        <w:tc>
          <w:tcPr>
            <w:tcW w:w="0" w:type="auto"/>
            <w:tcBorders>
              <w:top w:val="single" w:sz="4" w:space="0" w:color="auto"/>
            </w:tcBorders>
            <w:noWrap/>
          </w:tcPr>
          <w:p w:rsidR="00682A88" w:rsidRPr="00CF3673" w:rsidRDefault="00682A88" w:rsidP="00682A88">
            <w:pPr>
              <w:jc w:val="center"/>
            </w:pPr>
          </w:p>
        </w:tc>
        <w:tc>
          <w:tcPr>
            <w:tcW w:w="0" w:type="auto"/>
            <w:tcBorders>
              <w:top w:val="single" w:sz="4" w:space="0" w:color="auto"/>
            </w:tcBorders>
            <w:noWrap/>
          </w:tcPr>
          <w:p w:rsidR="00682A88" w:rsidRPr="00CF3673" w:rsidRDefault="00682A88" w:rsidP="00682A88">
            <w:pPr>
              <w:jc w:val="center"/>
            </w:pPr>
          </w:p>
        </w:tc>
      </w:tr>
      <w:tr w:rsidR="00682A88" w:rsidRPr="00CF3673" w:rsidTr="00682A88">
        <w:trPr>
          <w:trHeight w:val="300"/>
        </w:trPr>
        <w:tc>
          <w:tcPr>
            <w:tcW w:w="2340" w:type="dxa"/>
            <w:tcBorders>
              <w:bottom w:val="double" w:sz="4" w:space="0" w:color="auto"/>
            </w:tcBorders>
            <w:noWrap/>
            <w:hideMark/>
          </w:tcPr>
          <w:p w:rsidR="00682A88" w:rsidRPr="00CF3673" w:rsidRDefault="00682A88" w:rsidP="00682A88">
            <w:pPr>
              <w:rPr>
                <w:rFonts w:ascii="Calibri" w:hAnsi="Calibri"/>
                <w:szCs w:val="20"/>
              </w:rPr>
            </w:pPr>
            <w:r w:rsidRPr="00CF3673">
              <w:rPr>
                <w:rFonts w:ascii="Calibri" w:hAnsi="Calibri"/>
                <w:szCs w:val="20"/>
              </w:rPr>
              <w:t>Membro da Frelimo</w:t>
            </w:r>
          </w:p>
        </w:tc>
        <w:tc>
          <w:tcPr>
            <w:tcW w:w="1455" w:type="dxa"/>
            <w:tcBorders>
              <w:bottom w:val="double" w:sz="4" w:space="0" w:color="auto"/>
            </w:tcBorders>
            <w:noWrap/>
            <w:hideMark/>
          </w:tcPr>
          <w:p w:rsidR="00682A88" w:rsidRPr="00CF3673" w:rsidRDefault="00682A88" w:rsidP="00682A88">
            <w:pPr>
              <w:jc w:val="center"/>
            </w:pPr>
            <w:r w:rsidRPr="00CF3673">
              <w:t>19.1</w:t>
            </w:r>
          </w:p>
        </w:tc>
        <w:tc>
          <w:tcPr>
            <w:tcW w:w="0" w:type="auto"/>
            <w:tcBorders>
              <w:bottom w:val="double" w:sz="4" w:space="0" w:color="auto"/>
            </w:tcBorders>
            <w:noWrap/>
            <w:hideMark/>
          </w:tcPr>
          <w:p w:rsidR="00682A88" w:rsidRPr="00CF3673" w:rsidRDefault="00682A88" w:rsidP="00682A88">
            <w:pPr>
              <w:jc w:val="center"/>
            </w:pPr>
            <w:r w:rsidRPr="00CF3673">
              <w:t>0.0</w:t>
            </w:r>
          </w:p>
        </w:tc>
        <w:tc>
          <w:tcPr>
            <w:tcW w:w="0" w:type="auto"/>
            <w:tcBorders>
              <w:bottom w:val="double" w:sz="4" w:space="0" w:color="auto"/>
            </w:tcBorders>
            <w:noWrap/>
            <w:hideMark/>
          </w:tcPr>
          <w:p w:rsidR="00682A88" w:rsidRPr="00CF3673" w:rsidRDefault="00682A88" w:rsidP="00682A88">
            <w:pPr>
              <w:jc w:val="center"/>
            </w:pPr>
            <w:r w:rsidRPr="00CF3673">
              <w:t>5.1</w:t>
            </w:r>
          </w:p>
        </w:tc>
        <w:tc>
          <w:tcPr>
            <w:tcW w:w="0" w:type="auto"/>
            <w:tcBorders>
              <w:bottom w:val="double" w:sz="4" w:space="0" w:color="auto"/>
              <w:right w:val="single" w:sz="4" w:space="0" w:color="auto"/>
            </w:tcBorders>
            <w:noWrap/>
            <w:hideMark/>
          </w:tcPr>
          <w:p w:rsidR="00682A88" w:rsidRPr="00CF3673" w:rsidRDefault="00682A88" w:rsidP="00682A88">
            <w:pPr>
              <w:jc w:val="center"/>
            </w:pPr>
            <w:r w:rsidRPr="00CF3673">
              <w:t>244</w:t>
            </w:r>
          </w:p>
        </w:tc>
        <w:tc>
          <w:tcPr>
            <w:tcW w:w="0" w:type="auto"/>
            <w:tcBorders>
              <w:left w:val="single" w:sz="4" w:space="0" w:color="auto"/>
              <w:bottom w:val="double" w:sz="4" w:space="0" w:color="auto"/>
            </w:tcBorders>
            <w:noWrap/>
          </w:tcPr>
          <w:p w:rsidR="00682A88" w:rsidRPr="00CF3673" w:rsidRDefault="00682A88" w:rsidP="00682A88">
            <w:pPr>
              <w:jc w:val="center"/>
            </w:pPr>
          </w:p>
        </w:tc>
        <w:tc>
          <w:tcPr>
            <w:tcW w:w="0" w:type="auto"/>
            <w:tcBorders>
              <w:bottom w:val="double" w:sz="4" w:space="0" w:color="auto"/>
            </w:tcBorders>
            <w:noWrap/>
          </w:tcPr>
          <w:p w:rsidR="00682A88" w:rsidRPr="00CF3673" w:rsidRDefault="00682A88" w:rsidP="00682A88">
            <w:pPr>
              <w:jc w:val="center"/>
            </w:pPr>
          </w:p>
        </w:tc>
        <w:tc>
          <w:tcPr>
            <w:tcW w:w="0" w:type="auto"/>
            <w:tcBorders>
              <w:bottom w:val="double" w:sz="4" w:space="0" w:color="auto"/>
            </w:tcBorders>
            <w:noWrap/>
          </w:tcPr>
          <w:p w:rsidR="00682A88" w:rsidRPr="00CF3673" w:rsidRDefault="00682A88" w:rsidP="00682A88">
            <w:pPr>
              <w:jc w:val="center"/>
            </w:pPr>
          </w:p>
        </w:tc>
        <w:tc>
          <w:tcPr>
            <w:tcW w:w="0" w:type="auto"/>
            <w:tcBorders>
              <w:bottom w:val="double" w:sz="4" w:space="0" w:color="auto"/>
            </w:tcBorders>
            <w:noWrap/>
          </w:tcPr>
          <w:p w:rsidR="00682A88" w:rsidRPr="00CF3673" w:rsidRDefault="00682A88" w:rsidP="00682A88">
            <w:pPr>
              <w:jc w:val="center"/>
            </w:pPr>
          </w:p>
        </w:tc>
      </w:tr>
      <w:tr w:rsidR="00682A88" w:rsidRPr="00CF3673" w:rsidTr="00682A88">
        <w:trPr>
          <w:trHeight w:val="300"/>
        </w:trPr>
        <w:tc>
          <w:tcPr>
            <w:tcW w:w="9813" w:type="dxa"/>
            <w:gridSpan w:val="9"/>
            <w:tcBorders>
              <w:top w:val="double" w:sz="4" w:space="0" w:color="auto"/>
              <w:bottom w:val="nil"/>
            </w:tcBorders>
            <w:noWrap/>
          </w:tcPr>
          <w:p w:rsidR="00682A88" w:rsidRPr="00CF3673" w:rsidRDefault="00682A88" w:rsidP="00C41650">
            <w:pPr>
              <w:pStyle w:val="Tablenote"/>
              <w:rPr>
                <w:b/>
                <w:lang w:val="pt-PT"/>
              </w:rPr>
            </w:pPr>
            <w:r w:rsidRPr="00CF3673">
              <w:rPr>
                <w:b/>
                <w:lang w:val="pt-PT"/>
              </w:rPr>
              <w:t>Nota:</w:t>
            </w:r>
            <w:r w:rsidRPr="00CF3673">
              <w:rPr>
                <w:lang w:val="pt-PT"/>
              </w:rPr>
              <w:t xml:space="preserve"> </w:t>
            </w:r>
            <w:proofErr w:type="spellStart"/>
            <w:r w:rsidRPr="00CF3673">
              <w:rPr>
                <w:lang w:val="pt-PT"/>
              </w:rPr>
              <w:t>Outliers</w:t>
            </w:r>
            <w:proofErr w:type="spellEnd"/>
            <w:r w:rsidR="00C41650" w:rsidRPr="00CF3673">
              <w:rPr>
                <w:lang w:val="pt-PT"/>
              </w:rPr>
              <w:t xml:space="preserve"> </w:t>
            </w:r>
            <w:proofErr w:type="spellStart"/>
            <w:r w:rsidRPr="00CF3673">
              <w:rPr>
                <w:lang w:val="pt-PT"/>
              </w:rPr>
              <w:t>exclu</w:t>
            </w:r>
            <w:r w:rsidR="00C41650" w:rsidRPr="00CF3673">
              <w:rPr>
                <w:lang w:val="pt-PT"/>
              </w:rPr>
              <w:t>idos</w:t>
            </w:r>
            <w:proofErr w:type="spellEnd"/>
            <w:r w:rsidRPr="00CF3673">
              <w:rPr>
                <w:lang w:val="pt-PT"/>
              </w:rPr>
              <w:t xml:space="preserve">: </w:t>
            </w:r>
            <w:r w:rsidRPr="00CF3673">
              <w:rPr>
                <w:rFonts w:ascii="Calibri" w:eastAsia="Times New Roman" w:hAnsi="Calibri" w:cs="Times New Roman"/>
                <w:color w:val="000000"/>
                <w:lang w:val="pt-PT" w:eastAsia="zh-CN"/>
              </w:rPr>
              <w:t>1</w:t>
            </w:r>
            <w:r w:rsidRPr="00CF3673">
              <w:rPr>
                <w:rFonts w:ascii="Calibri" w:eastAsia="Times New Roman" w:hAnsi="Calibri" w:cs="Times New Roman"/>
                <w:color w:val="000000"/>
                <w:vertAlign w:val="superscript"/>
                <w:lang w:val="pt-PT" w:eastAsia="zh-CN"/>
              </w:rPr>
              <w:t>º</w:t>
            </w:r>
            <w:r w:rsidRPr="00CF3673">
              <w:rPr>
                <w:rFonts w:ascii="Calibri" w:eastAsia="Times New Roman" w:hAnsi="Calibri" w:cs="Times New Roman"/>
                <w:color w:val="000000"/>
                <w:lang w:val="pt-PT" w:eastAsia="zh-CN"/>
              </w:rPr>
              <w:t xml:space="preserve"> </w:t>
            </w:r>
            <w:proofErr w:type="spellStart"/>
            <w:r w:rsidRPr="00CF3673">
              <w:rPr>
                <w:rFonts w:ascii="Calibri" w:eastAsia="Times New Roman" w:hAnsi="Calibri" w:cs="Times New Roman"/>
                <w:color w:val="000000"/>
                <w:lang w:val="pt-PT" w:eastAsia="zh-CN"/>
              </w:rPr>
              <w:t>and</w:t>
            </w:r>
            <w:proofErr w:type="spellEnd"/>
            <w:r w:rsidRPr="00CF3673">
              <w:rPr>
                <w:rFonts w:ascii="Calibri" w:eastAsia="Times New Roman" w:hAnsi="Calibri" w:cs="Times New Roman"/>
                <w:color w:val="000000"/>
                <w:lang w:val="pt-PT" w:eastAsia="zh-CN"/>
              </w:rPr>
              <w:t xml:space="preserve"> 100</w:t>
            </w:r>
            <w:r w:rsidRPr="00CF3673">
              <w:rPr>
                <w:rFonts w:ascii="Calibri" w:eastAsia="Times New Roman" w:hAnsi="Calibri" w:cs="Times New Roman"/>
                <w:color w:val="000000"/>
                <w:vertAlign w:val="superscript"/>
                <w:lang w:val="pt-PT" w:eastAsia="zh-CN"/>
              </w:rPr>
              <w:t>º</w:t>
            </w:r>
            <w:r w:rsidRPr="00CF3673">
              <w:rPr>
                <w:rFonts w:ascii="Calibri" w:eastAsia="Times New Roman" w:hAnsi="Calibri" w:cs="Times New Roman"/>
                <w:color w:val="000000"/>
                <w:lang w:val="pt-PT" w:eastAsia="zh-CN"/>
              </w:rPr>
              <w:t xml:space="preserve"> percentis de distribuição da taxa de crescimento removido. Categorização no painel foi feito em base no estado em 2006. Não foi possível a construção de medidas de educação e experiência no exterior e participação Frelimo usando os dados do painel . </w:t>
            </w:r>
            <w:r w:rsidR="006A4724" w:rsidRPr="00CF3673">
              <w:rPr>
                <w:rFonts w:ascii="Calibri" w:eastAsia="Times New Roman" w:hAnsi="Calibri" w:cs="Times New Roman"/>
                <w:color w:val="000000"/>
                <w:lang w:val="pt-PT" w:eastAsia="zh-CN"/>
              </w:rPr>
              <w:t>Observações</w:t>
            </w:r>
            <w:r w:rsidRPr="00CF3673">
              <w:rPr>
                <w:rFonts w:ascii="Calibri" w:eastAsia="Times New Roman" w:hAnsi="Calibri" w:cs="Times New Roman"/>
                <w:color w:val="000000"/>
                <w:lang w:val="pt-PT" w:eastAsia="zh-CN"/>
              </w:rPr>
              <w:t xml:space="preserve"> em falta em Secção transversal : 2 para sexo proprietário , 14 para a etnia proprietário , de 39 anos para o ensino técnico, 170 para educação gerente no exterior, 166 para a experiência de gerente no exterior, e 125 para a adesão da Frelimo . </w:t>
            </w:r>
            <w:r w:rsidR="006A4724" w:rsidRPr="00CF3673">
              <w:rPr>
                <w:rFonts w:ascii="Calibri" w:eastAsia="Times New Roman" w:hAnsi="Calibri" w:cs="Times New Roman"/>
                <w:color w:val="000000"/>
                <w:lang w:val="pt-PT" w:eastAsia="zh-CN"/>
              </w:rPr>
              <w:t>Observações</w:t>
            </w:r>
            <w:r w:rsidRPr="00CF3673">
              <w:rPr>
                <w:rFonts w:ascii="Calibri" w:eastAsia="Times New Roman" w:hAnsi="Calibri" w:cs="Times New Roman"/>
                <w:color w:val="000000"/>
                <w:lang w:val="pt-PT" w:eastAsia="zh-CN"/>
              </w:rPr>
              <w:t xml:space="preserve"> em falta no painel : 3 para o sexo proprietário , 5 para a etnia proprietário.</w:t>
            </w:r>
          </w:p>
        </w:tc>
      </w:tr>
      <w:tr w:rsidR="00682A88" w:rsidRPr="00CF3673" w:rsidTr="00682A88">
        <w:trPr>
          <w:trHeight w:val="300"/>
        </w:trPr>
        <w:tc>
          <w:tcPr>
            <w:tcW w:w="9813" w:type="dxa"/>
            <w:gridSpan w:val="9"/>
            <w:tcBorders>
              <w:top w:val="nil"/>
              <w:bottom w:val="nil"/>
            </w:tcBorders>
            <w:noWrap/>
          </w:tcPr>
          <w:p w:rsidR="00682A88" w:rsidRPr="00CF3673" w:rsidRDefault="00682A88" w:rsidP="00C41650">
            <w:pPr>
              <w:pStyle w:val="Tablenote"/>
              <w:rPr>
                <w:b/>
                <w:lang w:val="pt-PT"/>
              </w:rPr>
            </w:pPr>
            <w:r w:rsidRPr="00CF3673">
              <w:rPr>
                <w:b/>
                <w:lang w:val="pt-PT"/>
              </w:rPr>
              <w:t>Fonte:</w:t>
            </w:r>
            <w:r w:rsidRPr="00CF3673">
              <w:rPr>
                <w:lang w:val="pt-PT"/>
              </w:rPr>
              <w:t xml:space="preserve"> Cálculos</w:t>
            </w:r>
            <w:r w:rsidR="00C41650" w:rsidRPr="00CF3673">
              <w:rPr>
                <w:lang w:val="pt-PT"/>
              </w:rPr>
              <w:t xml:space="preserve"> dos autores</w:t>
            </w:r>
            <w:r w:rsidRPr="00CF3673">
              <w:rPr>
                <w:lang w:val="pt-PT"/>
              </w:rPr>
              <w:t xml:space="preserve"> usando IIM 2012, DNEAP (2006) e ICA (2009).</w:t>
            </w:r>
          </w:p>
        </w:tc>
      </w:tr>
    </w:tbl>
    <w:p w:rsidR="00682A88" w:rsidRPr="00CF3673" w:rsidRDefault="00682A88" w:rsidP="00682A88">
      <w:pPr>
        <w:spacing w:line="360" w:lineRule="auto"/>
        <w:jc w:val="both"/>
      </w:pPr>
    </w:p>
    <w:p w:rsidR="00682A88" w:rsidRPr="00CF3673" w:rsidRDefault="00682A88" w:rsidP="00682A88">
      <w:pPr>
        <w:spacing w:line="360" w:lineRule="auto"/>
        <w:jc w:val="both"/>
      </w:pPr>
      <w:r w:rsidRPr="00CF3673">
        <w:t xml:space="preserve">Enquanto não há muita diferença entre as taxas de crescimento das empresas com proprietários masculinos e femininos na Secção transversal , as empresas com proprietários masculino apresentaram taxas de crescimento mais elevadas no painel. As empresas com proprietários de etnia não-indígena cresceram e apresentaram taxas muito mais elevadas em ambos os períodos , de acordo com, por exemplo </w:t>
      </w:r>
      <w:proofErr w:type="spellStart"/>
      <w:r w:rsidRPr="00CF3673">
        <w:t>Ramachandran</w:t>
      </w:r>
      <w:proofErr w:type="spellEnd"/>
      <w:r w:rsidRPr="00CF3673">
        <w:t xml:space="preserve"> e </w:t>
      </w:r>
      <w:proofErr w:type="spellStart"/>
      <w:r w:rsidRPr="00CF3673">
        <w:t>Shah</w:t>
      </w:r>
      <w:proofErr w:type="spellEnd"/>
      <w:r w:rsidRPr="00CF3673">
        <w:t xml:space="preserve"> (1999) ou </w:t>
      </w:r>
      <w:proofErr w:type="spellStart"/>
      <w:r w:rsidRPr="00CF3673">
        <w:t>Bigsten</w:t>
      </w:r>
      <w:proofErr w:type="spellEnd"/>
      <w:r w:rsidRPr="00CF3673">
        <w:t xml:space="preserve"> e </w:t>
      </w:r>
      <w:proofErr w:type="spellStart"/>
      <w:r w:rsidRPr="00CF3673">
        <w:t>Söderbom</w:t>
      </w:r>
      <w:proofErr w:type="spellEnd"/>
      <w:r w:rsidRPr="00CF3673">
        <w:t xml:space="preserve"> (2006) . A razão para isso poderia ser que os proprietários de etnia não-indígenas são mais propensos a ter educação e experiência de gestão do exterior </w:t>
      </w:r>
      <w:r w:rsidRPr="00CF3673">
        <w:lastRenderedPageBreak/>
        <w:t>e têm mais contactos em outros países (ver Capítulo 8 ) - vemos que a educação e</w:t>
      </w:r>
      <w:r w:rsidR="006A4724" w:rsidRPr="00CF3673">
        <w:t xml:space="preserve"> </w:t>
      </w:r>
      <w:r w:rsidRPr="00CF3673">
        <w:t>a experiência do exterior também estão associados com maior taxas de crescimento do emprego na Secção transversal .</w:t>
      </w:r>
    </w:p>
    <w:p w:rsidR="00682A88" w:rsidRPr="00CF3673" w:rsidRDefault="00682A88" w:rsidP="00682A88">
      <w:pPr>
        <w:spacing w:line="360" w:lineRule="auto"/>
        <w:jc w:val="both"/>
      </w:pPr>
      <w:r w:rsidRPr="00CF3673">
        <w:t xml:space="preserve">A </w:t>
      </w:r>
      <w:r w:rsidR="006A4724" w:rsidRPr="00CF3673">
        <w:t>formação</w:t>
      </w:r>
      <w:r w:rsidRPr="00CF3673">
        <w:t xml:space="preserve"> dos gestores não parece ter qualquer efeito sistemático sobre o crescimento do emprego no corte transversal , mas no painel , há uma clara indicação de que as empresas com gestores mais </w:t>
      </w:r>
      <w:r w:rsidR="006A4724" w:rsidRPr="00CF3673">
        <w:t>bem-educados</w:t>
      </w:r>
      <w:r w:rsidRPr="00CF3673">
        <w:t xml:space="preserve"> crescer a taxas mais elevadas. Finalmente, empresas dirigidas por membros da Frelimo parecem crescer a taxas ligeiramente mais baixas do que as empresas chefiadas por não-membros. Isto indica que, embora pertença a Frelimo pode ser útil - especialmente para as pequenas empresas - não é uma </w:t>
      </w:r>
      <w:r w:rsidR="006A4724" w:rsidRPr="00CF3673">
        <w:t>Panaceia</w:t>
      </w:r>
      <w:r w:rsidRPr="00CF3673">
        <w:t xml:space="preserve"> para os problemas das empresas.</w:t>
      </w:r>
    </w:p>
    <w:p w:rsidR="00682A88" w:rsidRPr="00CF3673" w:rsidRDefault="00682A88" w:rsidP="00682A88">
      <w:pPr>
        <w:spacing w:line="360" w:lineRule="auto"/>
        <w:jc w:val="both"/>
      </w:pPr>
      <w:r w:rsidRPr="00CF3673">
        <w:t xml:space="preserve">A constatação de que a etnia não-indígena , a educação (no painel) e educação e experiência do exterior estão associados a maiores taxas de crescimento sugere que as características do gerenciador de ter um efeito sobre o crescimento do emprego . E se melhores gestores podem fazer as empresas crescem mais rápido e melhor desempenho , devem ser tomadas medidas para melhorar a qualidade dos gestores. Melhorar a educação gerente em Moçambique pode ser um caminho frutífero para tomar, a política também recomendado por </w:t>
      </w:r>
      <w:proofErr w:type="spellStart"/>
      <w:r w:rsidRPr="00CF3673">
        <w:t>Söderbom</w:t>
      </w:r>
      <w:proofErr w:type="spellEnd"/>
      <w:r w:rsidRPr="00CF3673">
        <w:t xml:space="preserve"> e Página ( 2012).</w:t>
      </w:r>
    </w:p>
    <w:p w:rsidR="003E0785" w:rsidRPr="00CF3673" w:rsidRDefault="003E0785" w:rsidP="001E664B">
      <w:pPr>
        <w:pStyle w:val="ChapterTitle"/>
        <w:rPr>
          <w:lang w:val="pt-PT"/>
        </w:rPr>
      </w:pPr>
    </w:p>
    <w:bookmarkEnd w:id="33"/>
    <w:p w:rsidR="00516829" w:rsidRPr="00CF3673" w:rsidRDefault="00516829">
      <w:pPr>
        <w:rPr>
          <w:rFonts w:asciiTheme="majorHAnsi" w:hAnsiTheme="majorHAnsi"/>
          <w:b/>
          <w:sz w:val="28"/>
        </w:rPr>
      </w:pPr>
      <w:r w:rsidRPr="00CF3673">
        <w:br w:type="page"/>
      </w:r>
    </w:p>
    <w:p w:rsidR="00103317" w:rsidRPr="00CF3673" w:rsidRDefault="004D1585" w:rsidP="001E664B">
      <w:pPr>
        <w:pStyle w:val="ChapterTitle"/>
        <w:rPr>
          <w:lang w:val="pt-PT"/>
        </w:rPr>
      </w:pPr>
      <w:bookmarkStart w:id="34" w:name="_Toc360720397"/>
      <w:r w:rsidRPr="00CF3673">
        <w:rPr>
          <w:lang w:val="pt-PT"/>
        </w:rPr>
        <w:lastRenderedPageBreak/>
        <w:t>7</w:t>
      </w:r>
      <w:r w:rsidR="00103317" w:rsidRPr="00CF3673">
        <w:rPr>
          <w:lang w:val="pt-PT"/>
        </w:rPr>
        <w:t xml:space="preserve">. </w:t>
      </w:r>
      <w:r w:rsidR="00D715A2" w:rsidRPr="00CF3673">
        <w:rPr>
          <w:lang w:val="pt-PT"/>
        </w:rPr>
        <w:t>Comércio, Insumos</w:t>
      </w:r>
      <w:r w:rsidR="004767B8" w:rsidRPr="00CF3673">
        <w:rPr>
          <w:lang w:val="pt-PT"/>
        </w:rPr>
        <w:t>, Estrutura de Vendas</w:t>
      </w:r>
      <w:bookmarkEnd w:id="34"/>
    </w:p>
    <w:p w:rsidR="004767B8" w:rsidRPr="00CF3673" w:rsidRDefault="004767B8" w:rsidP="001E664B">
      <w:pPr>
        <w:pStyle w:val="MainText"/>
        <w:rPr>
          <w:lang w:val="pt-PT"/>
        </w:rPr>
      </w:pPr>
      <w:r w:rsidRPr="00CF3673">
        <w:rPr>
          <w:lang w:val="pt-PT"/>
        </w:rPr>
        <w:t xml:space="preserve">As exportações de Moçambique são dominadas por megaprojectos- alumínio, gás e electricidade constituem 2/3 das exportações, e as exportações dos megaprojectos irão aumentar quando iniciarem as exportações do carvão de Tete e o </w:t>
      </w:r>
      <w:r w:rsidR="006A4724" w:rsidRPr="00CF3673">
        <w:rPr>
          <w:lang w:val="pt-PT"/>
        </w:rPr>
        <w:t>Gás</w:t>
      </w:r>
      <w:r w:rsidRPr="00CF3673">
        <w:rPr>
          <w:lang w:val="pt-PT"/>
        </w:rPr>
        <w:t xml:space="preserve"> de Cabo Delgado</w:t>
      </w:r>
      <w:r w:rsidRPr="00CF3673">
        <w:rPr>
          <w:rStyle w:val="FootnoteReference"/>
          <w:lang w:val="pt-PT"/>
        </w:rPr>
        <w:footnoteReference w:id="35"/>
      </w:r>
      <w:r w:rsidRPr="00CF3673">
        <w:rPr>
          <w:lang w:val="pt-PT"/>
        </w:rPr>
        <w:t xml:space="preserve">. Isto não quer dizer que as outras exportações são irrelevantes. Pelo contrário- as exportações pode dar as empresas melhor acesso as tecnologias e influenciarem a </w:t>
      </w:r>
      <w:r w:rsidR="006A4724" w:rsidRPr="00CF3673">
        <w:rPr>
          <w:lang w:val="pt-PT"/>
        </w:rPr>
        <w:t>produtividade</w:t>
      </w:r>
      <w:r w:rsidRPr="00CF3673">
        <w:rPr>
          <w:lang w:val="pt-PT"/>
        </w:rPr>
        <w:t xml:space="preserve"> (</w:t>
      </w:r>
      <w:r w:rsidR="00D41F5A" w:rsidRPr="00CF3673">
        <w:rPr>
          <w:lang w:val="pt-PT"/>
        </w:rPr>
        <w:t>aprender exportando</w:t>
      </w:r>
      <w:r w:rsidRPr="00CF3673">
        <w:rPr>
          <w:lang w:val="pt-PT"/>
        </w:rPr>
        <w:t>)</w:t>
      </w:r>
      <w:r w:rsidR="00D41F5A" w:rsidRPr="00CF3673">
        <w:rPr>
          <w:lang w:val="pt-PT"/>
        </w:rPr>
        <w:t xml:space="preserve">. Mais importante, dada a </w:t>
      </w:r>
      <w:r w:rsidR="006A4724" w:rsidRPr="00CF3673">
        <w:rPr>
          <w:lang w:val="pt-PT"/>
        </w:rPr>
        <w:t>pequenez</w:t>
      </w:r>
      <w:r w:rsidR="00D41F5A" w:rsidRPr="00CF3673">
        <w:rPr>
          <w:lang w:val="pt-PT"/>
        </w:rPr>
        <w:t xml:space="preserve"> e limitado mercado doméstico, as exportações também permitem explorar economias de escala e vantagens comparativas. </w:t>
      </w:r>
    </w:p>
    <w:p w:rsidR="00B9443B" w:rsidRPr="00CF3673" w:rsidRDefault="00D41F5A" w:rsidP="001E664B">
      <w:pPr>
        <w:pStyle w:val="MainText"/>
        <w:rPr>
          <w:lang w:val="pt-PT"/>
        </w:rPr>
      </w:pPr>
      <w:r w:rsidRPr="00CF3673">
        <w:rPr>
          <w:lang w:val="pt-PT"/>
        </w:rPr>
        <w:t>Na secção 7.1, algumas características dos exportadores manufactureiras são apresentadas. A secção 7.2 analisa as estruturas das vendas das empresas em relação as regiões, grupos de clientes e estratégia de fixação de preços. Na secção</w:t>
      </w:r>
      <w:r w:rsidR="00194548" w:rsidRPr="00CF3673">
        <w:rPr>
          <w:lang w:val="pt-PT"/>
        </w:rPr>
        <w:t xml:space="preserve"> 7.3 </w:t>
      </w:r>
      <w:r w:rsidR="00B9443B" w:rsidRPr="00CF3673">
        <w:rPr>
          <w:lang w:val="pt-PT"/>
        </w:rPr>
        <w:t>é examinado o papel dos insumos e das exportações.</w:t>
      </w:r>
    </w:p>
    <w:p w:rsidR="00597904" w:rsidRPr="00CF3673" w:rsidRDefault="004D1585" w:rsidP="001E664B">
      <w:pPr>
        <w:pStyle w:val="SectionTitle"/>
        <w:rPr>
          <w:lang w:val="pt-PT"/>
        </w:rPr>
      </w:pPr>
      <w:bookmarkStart w:id="35" w:name="_Toc360720398"/>
      <w:r w:rsidRPr="00CF3673">
        <w:rPr>
          <w:lang w:val="pt-PT"/>
        </w:rPr>
        <w:t>7</w:t>
      </w:r>
      <w:r w:rsidR="003B376C" w:rsidRPr="00CF3673">
        <w:rPr>
          <w:lang w:val="pt-PT"/>
        </w:rPr>
        <w:t>.1.</w:t>
      </w:r>
      <w:r w:rsidR="00597904" w:rsidRPr="00CF3673">
        <w:rPr>
          <w:lang w:val="pt-PT"/>
        </w:rPr>
        <w:t xml:space="preserve"> Export</w:t>
      </w:r>
      <w:r w:rsidR="00B9443B" w:rsidRPr="00CF3673">
        <w:rPr>
          <w:lang w:val="pt-PT"/>
        </w:rPr>
        <w:t>ação e Exportadores</w:t>
      </w:r>
      <w:bookmarkEnd w:id="35"/>
    </w:p>
    <w:p w:rsidR="00B9443B" w:rsidRPr="00CF3673" w:rsidRDefault="00B9443B" w:rsidP="001E664B">
      <w:pPr>
        <w:pStyle w:val="MainText"/>
        <w:rPr>
          <w:lang w:val="pt-PT"/>
        </w:rPr>
      </w:pPr>
      <w:r w:rsidRPr="00CF3673">
        <w:rPr>
          <w:lang w:val="pt-PT"/>
        </w:rPr>
        <w:t xml:space="preserve">Das 761 empresas da amostra, apenas 22 (3%) são exportadores. Como pode se ver da figura 7.1, grandes empresas são potencialmente exportadores- quase um quinto das médias empresas manufactureiras exportam enquanto menos de 1% das </w:t>
      </w:r>
      <w:r w:rsidR="006A4724" w:rsidRPr="00CF3673">
        <w:rPr>
          <w:lang w:val="pt-PT"/>
        </w:rPr>
        <w:t>microempresas</w:t>
      </w:r>
      <w:r w:rsidRPr="00CF3673">
        <w:rPr>
          <w:lang w:val="pt-PT"/>
        </w:rPr>
        <w:t xml:space="preserve"> também exportam. Não há registo de empresas exportadoras no sector informal</w:t>
      </w:r>
    </w:p>
    <w:p w:rsidR="00D9270B" w:rsidRPr="00CF3673" w:rsidRDefault="00B9443B" w:rsidP="00215639">
      <w:pPr>
        <w:pStyle w:val="FigureTitle"/>
        <w:rPr>
          <w:lang w:val="pt-PT"/>
        </w:rPr>
      </w:pPr>
      <w:bookmarkStart w:id="36" w:name="_Toc360720518"/>
      <w:r w:rsidRPr="00CF3673">
        <w:rPr>
          <w:lang w:val="pt-PT"/>
        </w:rPr>
        <w:t>Figura</w:t>
      </w:r>
      <w:r w:rsidR="00A77833" w:rsidRPr="00CF3673">
        <w:rPr>
          <w:lang w:val="pt-PT"/>
        </w:rPr>
        <w:t xml:space="preserve"> </w:t>
      </w:r>
      <w:r w:rsidR="004D1585" w:rsidRPr="00CF3673">
        <w:rPr>
          <w:lang w:val="pt-PT"/>
        </w:rPr>
        <w:t>7</w:t>
      </w:r>
      <w:r w:rsidR="00A77833" w:rsidRPr="00CF3673">
        <w:rPr>
          <w:lang w:val="pt-PT"/>
        </w:rPr>
        <w:t xml:space="preserve">.1: </w:t>
      </w:r>
      <w:r w:rsidR="006A4724" w:rsidRPr="00CF3673">
        <w:rPr>
          <w:lang w:val="pt-PT"/>
        </w:rPr>
        <w:t>Contribuição</w:t>
      </w:r>
      <w:r w:rsidRPr="00CF3673">
        <w:rPr>
          <w:lang w:val="pt-PT"/>
        </w:rPr>
        <w:t xml:space="preserve"> dos exportadores por tamanho das empresas</w:t>
      </w:r>
      <w:r w:rsidR="003B27FE" w:rsidRPr="00CF3673">
        <w:rPr>
          <w:lang w:val="pt-PT"/>
        </w:rPr>
        <w:t>,</w:t>
      </w:r>
      <w:r w:rsidRPr="00CF3673">
        <w:rPr>
          <w:lang w:val="pt-PT"/>
        </w:rPr>
        <w:t xml:space="preserve"> %</w:t>
      </w:r>
      <w:r w:rsidR="003B27FE" w:rsidRPr="00CF3673">
        <w:rPr>
          <w:lang w:val="pt-PT"/>
        </w:rPr>
        <w:t>.</w:t>
      </w:r>
      <w:bookmarkEnd w:id="36"/>
    </w:p>
    <w:tbl>
      <w:tblPr>
        <w:tblStyle w:val="SrensTable"/>
        <w:tblpPr w:leftFromText="141" w:rightFromText="141" w:vertAnchor="text" w:horzAnchor="page" w:tblpX="3442" w:tblpY="3263"/>
        <w:tblW w:w="5083" w:type="dxa"/>
        <w:tblLook w:val="04A0" w:firstRow="1" w:lastRow="0" w:firstColumn="1" w:lastColumn="0" w:noHBand="0" w:noVBand="1"/>
      </w:tblPr>
      <w:tblGrid>
        <w:gridCol w:w="5083"/>
      </w:tblGrid>
      <w:tr w:rsidR="003B27FE" w:rsidRPr="00CF3673" w:rsidTr="003B27FE">
        <w:trPr>
          <w:trHeight w:val="387"/>
        </w:trPr>
        <w:tc>
          <w:tcPr>
            <w:tcW w:w="0" w:type="auto"/>
          </w:tcPr>
          <w:p w:rsidR="003B27FE" w:rsidRPr="00CF3673" w:rsidRDefault="00B9443B" w:rsidP="00B9443B">
            <w:pPr>
              <w:pStyle w:val="Tablenote"/>
              <w:rPr>
                <w:b/>
                <w:lang w:val="pt-PT"/>
              </w:rPr>
            </w:pPr>
            <w:r w:rsidRPr="00CF3673">
              <w:rPr>
                <w:b/>
                <w:lang w:val="pt-PT"/>
              </w:rPr>
              <w:t>Nota</w:t>
            </w:r>
            <w:r w:rsidR="003B27FE" w:rsidRPr="00CF3673">
              <w:rPr>
                <w:b/>
                <w:lang w:val="pt-PT"/>
              </w:rPr>
              <w:t>:</w:t>
            </w:r>
            <w:r w:rsidR="003B27FE" w:rsidRPr="00CF3673">
              <w:rPr>
                <w:lang w:val="pt-PT"/>
              </w:rPr>
              <w:t xml:space="preserve"> </w:t>
            </w:r>
            <w:r w:rsidRPr="00CF3673">
              <w:rPr>
                <w:lang w:val="pt-PT"/>
              </w:rPr>
              <w:t>Número de observações</w:t>
            </w:r>
            <w:r w:rsidR="003B27FE" w:rsidRPr="00CF3673">
              <w:rPr>
                <w:lang w:val="pt-PT"/>
              </w:rPr>
              <w:t xml:space="preserve">: 761. </w:t>
            </w:r>
            <w:r w:rsidRPr="00CF3673">
              <w:rPr>
                <w:lang w:val="pt-PT"/>
              </w:rPr>
              <w:t>3 micro empresas</w:t>
            </w:r>
            <w:r w:rsidR="003B27FE" w:rsidRPr="00CF3673">
              <w:rPr>
                <w:lang w:val="pt-PT"/>
              </w:rPr>
              <w:t xml:space="preserve">, </w:t>
            </w:r>
            <w:r w:rsidRPr="00CF3673">
              <w:rPr>
                <w:lang w:val="pt-PT"/>
              </w:rPr>
              <w:t>6 pequenas empresas</w:t>
            </w:r>
            <w:r w:rsidR="003B27FE" w:rsidRPr="00CF3673">
              <w:rPr>
                <w:lang w:val="pt-PT"/>
              </w:rPr>
              <w:t xml:space="preserve"> </w:t>
            </w:r>
            <w:r w:rsidRPr="00CF3673">
              <w:rPr>
                <w:lang w:val="pt-PT"/>
              </w:rPr>
              <w:t xml:space="preserve">e </w:t>
            </w:r>
            <w:r w:rsidR="003B27FE" w:rsidRPr="00CF3673">
              <w:rPr>
                <w:lang w:val="pt-PT"/>
              </w:rPr>
              <w:t xml:space="preserve">13 </w:t>
            </w:r>
            <w:r w:rsidRPr="00CF3673">
              <w:rPr>
                <w:lang w:val="pt-PT"/>
              </w:rPr>
              <w:t>empresas médias são exportadores</w:t>
            </w:r>
            <w:r w:rsidR="003B27FE" w:rsidRPr="00CF3673">
              <w:rPr>
                <w:lang w:val="pt-PT"/>
              </w:rPr>
              <w:t>.</w:t>
            </w:r>
          </w:p>
        </w:tc>
      </w:tr>
      <w:tr w:rsidR="003B27FE" w:rsidRPr="00CF3673" w:rsidTr="003B27FE">
        <w:trPr>
          <w:trHeight w:val="387"/>
        </w:trPr>
        <w:tc>
          <w:tcPr>
            <w:tcW w:w="0" w:type="auto"/>
          </w:tcPr>
          <w:p w:rsidR="003B27FE" w:rsidRPr="00CF3673" w:rsidRDefault="006A4724" w:rsidP="00B9443B">
            <w:pPr>
              <w:pStyle w:val="Tablenote"/>
              <w:rPr>
                <w:b/>
                <w:lang w:val="pt-PT"/>
              </w:rPr>
            </w:pPr>
            <w:r w:rsidRPr="00CF3673">
              <w:rPr>
                <w:b/>
                <w:lang w:val="pt-PT"/>
              </w:rPr>
              <w:t>Fonte:</w:t>
            </w:r>
            <w:r w:rsidR="003B27FE" w:rsidRPr="00CF3673">
              <w:rPr>
                <w:b/>
                <w:lang w:val="pt-PT"/>
              </w:rPr>
              <w:t>:</w:t>
            </w:r>
            <w:r w:rsidR="003B27FE" w:rsidRPr="00CF3673">
              <w:rPr>
                <w:lang w:val="pt-PT"/>
              </w:rPr>
              <w:t xml:space="preserve"> </w:t>
            </w:r>
            <w:r w:rsidRPr="00CF3673">
              <w:rPr>
                <w:lang w:val="pt-PT"/>
              </w:rPr>
              <w:t>Cálculos</w:t>
            </w:r>
            <w:r w:rsidR="00B9443B" w:rsidRPr="00CF3673">
              <w:rPr>
                <w:lang w:val="pt-PT"/>
              </w:rPr>
              <w:t xml:space="preserve"> com base no</w:t>
            </w:r>
            <w:r w:rsidR="003B27FE" w:rsidRPr="00CF3673">
              <w:rPr>
                <w:lang w:val="pt-PT"/>
              </w:rPr>
              <w:t xml:space="preserve"> IIM 2012.</w:t>
            </w:r>
          </w:p>
        </w:tc>
      </w:tr>
    </w:tbl>
    <w:p w:rsidR="00A77833" w:rsidRPr="00CF3673" w:rsidRDefault="003B27FE" w:rsidP="003B27FE">
      <w:pPr>
        <w:spacing w:after="0"/>
        <w:jc w:val="center"/>
      </w:pPr>
      <w:r w:rsidRPr="00CF3673">
        <w:rPr>
          <w:noProof/>
          <w:lang w:val="en-US"/>
        </w:rPr>
        <w:drawing>
          <wp:inline distT="0" distB="0" distL="0" distR="0" wp14:anchorId="03F19ED3" wp14:editId="6766BC06">
            <wp:extent cx="3095625" cy="1985962"/>
            <wp:effectExtent l="0" t="0" r="9525"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3B27FE" w:rsidRPr="00CF3673" w:rsidRDefault="003B27FE" w:rsidP="00D9270B"/>
    <w:p w:rsidR="003B27FE" w:rsidRPr="00CF3673" w:rsidRDefault="003B27FE" w:rsidP="00A63612">
      <w:pPr>
        <w:pStyle w:val="Tablenote"/>
        <w:rPr>
          <w:lang w:val="pt-PT"/>
        </w:rPr>
      </w:pPr>
    </w:p>
    <w:p w:rsidR="003B27FE" w:rsidRPr="00CF3673" w:rsidRDefault="003B27FE" w:rsidP="001E664B">
      <w:pPr>
        <w:pStyle w:val="MainText"/>
        <w:rPr>
          <w:lang w:val="pt-PT"/>
        </w:rPr>
      </w:pPr>
    </w:p>
    <w:p w:rsidR="003403C4" w:rsidRPr="00CF3673" w:rsidRDefault="003403C4" w:rsidP="00D65B3B">
      <w:pPr>
        <w:pStyle w:val="MainText"/>
        <w:rPr>
          <w:lang w:val="pt-PT"/>
        </w:rPr>
      </w:pPr>
    </w:p>
    <w:p w:rsidR="003403C4" w:rsidRPr="00CF3673" w:rsidRDefault="003403C4" w:rsidP="00D65B3B">
      <w:pPr>
        <w:pStyle w:val="MainText"/>
        <w:rPr>
          <w:lang w:val="pt-PT"/>
        </w:rPr>
      </w:pPr>
      <w:r w:rsidRPr="00CF3673">
        <w:rPr>
          <w:lang w:val="pt-PT"/>
        </w:rPr>
        <w:lastRenderedPageBreak/>
        <w:t xml:space="preserve">A tabela 7.1 </w:t>
      </w:r>
      <w:r w:rsidR="004660D2" w:rsidRPr="00CF3673">
        <w:rPr>
          <w:lang w:val="pt-PT"/>
        </w:rPr>
        <w:t xml:space="preserve">mostra a matriz de transição das exportações em 2006 e 2012. Existe uma flutuação das exportações das empresas: 9 das 13 empresas que exportaram em 2006 não o fizeram em 2012 (69%). Quando questionadas porque não exportaram em 2012, 5 das 9 empresas afirmaram que não era parte da estratégia de exportação das empresas. Por outro lado, 6 empresas estão presentemente a exportar, e que não o terão feito em 2006. Isto sugere que os exportadores manufactureiros moçambicanos- pelo menos na nossa amostra- </w:t>
      </w:r>
      <w:r w:rsidR="00442972" w:rsidRPr="00CF3673">
        <w:rPr>
          <w:lang w:val="pt-PT"/>
        </w:rPr>
        <w:t xml:space="preserve">não são necessariamente “nascidos globais” (empresas </w:t>
      </w:r>
      <w:r w:rsidR="006A4724" w:rsidRPr="00CF3673">
        <w:rPr>
          <w:lang w:val="pt-PT"/>
        </w:rPr>
        <w:t>estabelecidas</w:t>
      </w:r>
      <w:r w:rsidR="00442972" w:rsidRPr="00CF3673">
        <w:rPr>
          <w:lang w:val="pt-PT"/>
        </w:rPr>
        <w:t xml:space="preserve"> com propósito para exportarem, veja </w:t>
      </w:r>
      <w:proofErr w:type="spellStart"/>
      <w:r w:rsidR="00442972" w:rsidRPr="00CF3673">
        <w:rPr>
          <w:lang w:val="pt-PT"/>
        </w:rPr>
        <w:t>Rennie</w:t>
      </w:r>
      <w:proofErr w:type="spellEnd"/>
      <w:r w:rsidR="00442972" w:rsidRPr="00CF3673">
        <w:rPr>
          <w:lang w:val="pt-PT"/>
        </w:rPr>
        <w:t>, 1993), mas elas pode dum momento para outro tornar-se ou não exportadores. Isto contraria os resultados dos resultados anteriores, onde as empresas manufactureiras tendem a nascer globais. Existe uma ligeira tendência de as empresas que pararam de exportar ser dominadas por poucos trabalhadores presentemente do que em 2006 e para as empresas que iniciaram as exportações terem mais trabalhadores, mas o número de observações é tão pequena que nada decisivo pode ser concluído.</w:t>
      </w:r>
    </w:p>
    <w:p w:rsidR="00D9270B" w:rsidRPr="00CF3673" w:rsidRDefault="00E333A2" w:rsidP="00F41831">
      <w:pPr>
        <w:pStyle w:val="TableTitle"/>
        <w:rPr>
          <w:lang w:val="pt-PT"/>
        </w:rPr>
      </w:pPr>
      <w:bookmarkStart w:id="37" w:name="_Toc360720479"/>
      <w:r w:rsidRPr="00CF3673">
        <w:rPr>
          <w:lang w:val="pt-PT"/>
        </w:rPr>
        <w:t>Tab</w:t>
      </w:r>
      <w:r w:rsidR="00442972" w:rsidRPr="00CF3673">
        <w:rPr>
          <w:lang w:val="pt-PT"/>
        </w:rPr>
        <w:t>ela</w:t>
      </w:r>
      <w:r w:rsidR="00D9270B" w:rsidRPr="00CF3673">
        <w:rPr>
          <w:lang w:val="pt-PT"/>
        </w:rPr>
        <w:t xml:space="preserve"> </w:t>
      </w:r>
      <w:r w:rsidR="004D1585" w:rsidRPr="00CF3673">
        <w:rPr>
          <w:lang w:val="pt-PT"/>
        </w:rPr>
        <w:t>7</w:t>
      </w:r>
      <w:r w:rsidR="00D9270B" w:rsidRPr="00CF3673">
        <w:rPr>
          <w:lang w:val="pt-PT"/>
        </w:rPr>
        <w:t>.1</w:t>
      </w:r>
      <w:r w:rsidR="003B376C" w:rsidRPr="00CF3673">
        <w:rPr>
          <w:lang w:val="pt-PT"/>
        </w:rPr>
        <w:t xml:space="preserve">: </w:t>
      </w:r>
      <w:r w:rsidR="00442972" w:rsidRPr="00CF3673">
        <w:rPr>
          <w:lang w:val="pt-PT"/>
        </w:rPr>
        <w:t>Matriz de transição das exportações</w:t>
      </w:r>
      <w:r w:rsidR="00DD3347" w:rsidRPr="00CF3673">
        <w:rPr>
          <w:lang w:val="pt-PT"/>
        </w:rPr>
        <w:t>, 2006-2011</w:t>
      </w:r>
      <w:bookmarkEnd w:id="37"/>
    </w:p>
    <w:tbl>
      <w:tblPr>
        <w:tblStyle w:val="StandardTable"/>
        <w:tblW w:w="0" w:type="auto"/>
        <w:jc w:val="center"/>
        <w:tblLook w:val="04A0" w:firstRow="1" w:lastRow="0" w:firstColumn="1" w:lastColumn="0" w:noHBand="0" w:noVBand="1"/>
      </w:tblPr>
      <w:tblGrid>
        <w:gridCol w:w="2302"/>
        <w:gridCol w:w="2302"/>
        <w:gridCol w:w="1924"/>
        <w:gridCol w:w="642"/>
      </w:tblGrid>
      <w:tr w:rsidR="00442972" w:rsidRPr="00CF3673" w:rsidTr="00F50C5F">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noWrap/>
            <w:hideMark/>
          </w:tcPr>
          <w:p w:rsidR="00851CFB" w:rsidRPr="00CF3673" w:rsidRDefault="00851CFB" w:rsidP="00A77833">
            <w:pPr>
              <w:rPr>
                <w:rFonts w:ascii="Calibri" w:eastAsia="Times New Roman" w:hAnsi="Calibri" w:cs="Times New Roman"/>
                <w:color w:val="000000"/>
                <w:lang w:eastAsia="zh-CN"/>
              </w:rPr>
            </w:pPr>
          </w:p>
        </w:tc>
        <w:tc>
          <w:tcPr>
            <w:tcW w:w="0" w:type="auto"/>
            <w:noWrap/>
            <w:hideMark/>
          </w:tcPr>
          <w:p w:rsidR="00851CFB" w:rsidRPr="00CF3673" w:rsidRDefault="00442972" w:rsidP="00442972">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Não exportaram em 2012</w:t>
            </w:r>
          </w:p>
        </w:tc>
        <w:tc>
          <w:tcPr>
            <w:tcW w:w="0" w:type="auto"/>
          </w:tcPr>
          <w:p w:rsidR="00851CFB" w:rsidRPr="00CF3673" w:rsidRDefault="00851CFB" w:rsidP="00442972">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Export</w:t>
            </w:r>
            <w:r w:rsidR="00442972" w:rsidRPr="00CF3673">
              <w:rPr>
                <w:rFonts w:ascii="Calibri" w:eastAsia="Times New Roman" w:hAnsi="Calibri" w:cs="Times New Roman"/>
                <w:color w:val="000000"/>
                <w:lang w:eastAsia="zh-CN"/>
              </w:rPr>
              <w:t xml:space="preserve">aram em </w:t>
            </w:r>
            <w:r w:rsidRPr="00CF3673">
              <w:rPr>
                <w:rFonts w:ascii="Calibri" w:eastAsia="Times New Roman" w:hAnsi="Calibri" w:cs="Times New Roman"/>
                <w:color w:val="000000"/>
                <w:lang w:eastAsia="zh-CN"/>
              </w:rPr>
              <w:t>2012</w:t>
            </w:r>
          </w:p>
        </w:tc>
        <w:tc>
          <w:tcPr>
            <w:tcW w:w="0" w:type="auto"/>
            <w:noWrap/>
            <w:hideMark/>
          </w:tcPr>
          <w:p w:rsidR="00851CFB" w:rsidRPr="00CF3673" w:rsidRDefault="00851CFB" w:rsidP="00A77833">
            <w:pPr>
              <w:rPr>
                <w:rFonts w:ascii="Calibri" w:eastAsia="Times New Roman" w:hAnsi="Calibri" w:cs="Times New Roman"/>
                <w:color w:val="000000"/>
                <w:lang w:eastAsia="zh-CN"/>
              </w:rPr>
            </w:pPr>
          </w:p>
        </w:tc>
      </w:tr>
      <w:tr w:rsidR="00442972" w:rsidRPr="00CF3673" w:rsidTr="00F50C5F">
        <w:trPr>
          <w:trHeight w:val="300"/>
          <w:jc w:val="center"/>
        </w:trPr>
        <w:tc>
          <w:tcPr>
            <w:tcW w:w="0" w:type="auto"/>
            <w:noWrap/>
            <w:hideMark/>
          </w:tcPr>
          <w:p w:rsidR="00845CEB" w:rsidRPr="00CF3673" w:rsidRDefault="00442972" w:rsidP="00442972">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 xml:space="preserve">Não exportaram em </w:t>
            </w:r>
            <w:r w:rsidR="00845CEB" w:rsidRPr="00CF3673">
              <w:rPr>
                <w:rFonts w:ascii="Calibri" w:eastAsia="Times New Roman" w:hAnsi="Calibri" w:cs="Times New Roman"/>
                <w:color w:val="000000"/>
                <w:lang w:eastAsia="zh-CN"/>
              </w:rPr>
              <w:t>2006</w:t>
            </w:r>
          </w:p>
        </w:tc>
        <w:tc>
          <w:tcPr>
            <w:tcW w:w="0" w:type="auto"/>
            <w:noWrap/>
            <w:hideMark/>
          </w:tcPr>
          <w:p w:rsidR="00845CEB" w:rsidRPr="00CF3673" w:rsidRDefault="003B27FE" w:rsidP="00845CEB">
            <w:pPr>
              <w:jc w:val="center"/>
            </w:pPr>
            <w:r w:rsidRPr="00CF3673">
              <w:t>197</w:t>
            </w:r>
          </w:p>
        </w:tc>
        <w:tc>
          <w:tcPr>
            <w:tcW w:w="0" w:type="auto"/>
            <w:noWrap/>
            <w:hideMark/>
          </w:tcPr>
          <w:p w:rsidR="00845CEB" w:rsidRPr="00CF3673" w:rsidRDefault="00845CEB" w:rsidP="00845CEB">
            <w:pPr>
              <w:jc w:val="center"/>
            </w:pPr>
            <w:r w:rsidRPr="00CF3673">
              <w:t>6</w:t>
            </w:r>
          </w:p>
        </w:tc>
        <w:tc>
          <w:tcPr>
            <w:tcW w:w="0" w:type="auto"/>
            <w:noWrap/>
            <w:hideMark/>
          </w:tcPr>
          <w:p w:rsidR="00845CEB" w:rsidRPr="00CF3673" w:rsidRDefault="003B27FE" w:rsidP="00845CEB">
            <w:pPr>
              <w:jc w:val="center"/>
            </w:pPr>
            <w:r w:rsidRPr="00CF3673">
              <w:t>203</w:t>
            </w:r>
          </w:p>
        </w:tc>
      </w:tr>
      <w:tr w:rsidR="00442972" w:rsidRPr="00CF3673" w:rsidTr="00F50C5F">
        <w:trPr>
          <w:trHeight w:val="300"/>
          <w:jc w:val="center"/>
        </w:trPr>
        <w:tc>
          <w:tcPr>
            <w:tcW w:w="0" w:type="auto"/>
            <w:noWrap/>
            <w:hideMark/>
          </w:tcPr>
          <w:p w:rsidR="00845CEB" w:rsidRPr="00CF3673" w:rsidRDefault="00442972" w:rsidP="00851CFB">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845CEB" w:rsidRPr="00CF3673">
              <w:rPr>
                <w:rFonts w:ascii="Calibri" w:eastAsia="Times New Roman" w:hAnsi="Calibri" w:cs="Times New Roman"/>
                <w:color w:val="000000"/>
                <w:lang w:eastAsia="zh-CN"/>
              </w:rPr>
              <w:t>)</w:t>
            </w:r>
          </w:p>
        </w:tc>
        <w:tc>
          <w:tcPr>
            <w:tcW w:w="0" w:type="auto"/>
            <w:noWrap/>
            <w:hideMark/>
          </w:tcPr>
          <w:p w:rsidR="00845CEB" w:rsidRPr="00CF3673" w:rsidRDefault="00F50C5F" w:rsidP="00845CEB">
            <w:pPr>
              <w:jc w:val="center"/>
            </w:pPr>
            <w:r w:rsidRPr="00CF3673">
              <w:t>(</w:t>
            </w:r>
            <w:r w:rsidR="003B27FE" w:rsidRPr="00CF3673">
              <w:t>97.0</w:t>
            </w:r>
            <w:r w:rsidRPr="00CF3673">
              <w:t>)</w:t>
            </w:r>
          </w:p>
        </w:tc>
        <w:tc>
          <w:tcPr>
            <w:tcW w:w="0" w:type="auto"/>
            <w:noWrap/>
            <w:hideMark/>
          </w:tcPr>
          <w:p w:rsidR="00845CEB" w:rsidRPr="00CF3673" w:rsidRDefault="00F50C5F" w:rsidP="003B27FE">
            <w:pPr>
              <w:jc w:val="center"/>
            </w:pPr>
            <w:r w:rsidRPr="00CF3673">
              <w:t>(</w:t>
            </w:r>
            <w:r w:rsidR="003B27FE" w:rsidRPr="00CF3673">
              <w:t>3</w:t>
            </w:r>
            <w:r w:rsidR="004C36C2" w:rsidRPr="00CF3673">
              <w:t>.</w:t>
            </w:r>
            <w:r w:rsidR="003B27FE" w:rsidRPr="00CF3673">
              <w:t>0</w:t>
            </w:r>
            <w:r w:rsidRPr="00CF3673">
              <w:t>)</w:t>
            </w:r>
          </w:p>
        </w:tc>
        <w:tc>
          <w:tcPr>
            <w:tcW w:w="0" w:type="auto"/>
            <w:noWrap/>
            <w:hideMark/>
          </w:tcPr>
          <w:p w:rsidR="00845CEB" w:rsidRPr="00CF3673" w:rsidRDefault="00F50C5F" w:rsidP="00845CEB">
            <w:pPr>
              <w:jc w:val="center"/>
            </w:pPr>
            <w:r w:rsidRPr="00CF3673">
              <w:t>(</w:t>
            </w:r>
            <w:r w:rsidR="00845CEB" w:rsidRPr="00CF3673">
              <w:t>100</w:t>
            </w:r>
            <w:r w:rsidRPr="00CF3673">
              <w:t>)</w:t>
            </w:r>
          </w:p>
        </w:tc>
      </w:tr>
      <w:tr w:rsidR="00442972" w:rsidRPr="00CF3673" w:rsidTr="00F50C5F">
        <w:trPr>
          <w:trHeight w:val="300"/>
          <w:jc w:val="center"/>
        </w:trPr>
        <w:tc>
          <w:tcPr>
            <w:tcW w:w="0" w:type="auto"/>
            <w:tcBorders>
              <w:bottom w:val="nil"/>
            </w:tcBorders>
            <w:noWrap/>
            <w:hideMark/>
          </w:tcPr>
          <w:p w:rsidR="00845CEB" w:rsidRPr="00CF3673" w:rsidRDefault="00845CEB" w:rsidP="00442972">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Export</w:t>
            </w:r>
            <w:r w:rsidR="00442972" w:rsidRPr="00CF3673">
              <w:rPr>
                <w:rFonts w:ascii="Calibri" w:eastAsia="Times New Roman" w:hAnsi="Calibri" w:cs="Times New Roman"/>
                <w:color w:val="000000"/>
                <w:lang w:eastAsia="zh-CN"/>
              </w:rPr>
              <w:t xml:space="preserve">aram </w:t>
            </w:r>
            <w:r w:rsidRPr="00CF3673">
              <w:rPr>
                <w:rFonts w:ascii="Calibri" w:eastAsia="Times New Roman" w:hAnsi="Calibri" w:cs="Times New Roman"/>
                <w:color w:val="000000"/>
                <w:lang w:eastAsia="zh-CN"/>
              </w:rPr>
              <w:t>in 2006</w:t>
            </w:r>
          </w:p>
        </w:tc>
        <w:tc>
          <w:tcPr>
            <w:tcW w:w="0" w:type="auto"/>
            <w:tcBorders>
              <w:bottom w:val="nil"/>
            </w:tcBorders>
            <w:noWrap/>
            <w:hideMark/>
          </w:tcPr>
          <w:p w:rsidR="00845CEB" w:rsidRPr="00CF3673" w:rsidRDefault="00845CEB" w:rsidP="00845CEB">
            <w:pPr>
              <w:jc w:val="center"/>
            </w:pPr>
            <w:r w:rsidRPr="00CF3673">
              <w:t>9</w:t>
            </w:r>
          </w:p>
        </w:tc>
        <w:tc>
          <w:tcPr>
            <w:tcW w:w="0" w:type="auto"/>
            <w:tcBorders>
              <w:bottom w:val="nil"/>
            </w:tcBorders>
            <w:noWrap/>
            <w:hideMark/>
          </w:tcPr>
          <w:p w:rsidR="00845CEB" w:rsidRPr="00CF3673" w:rsidRDefault="00845CEB" w:rsidP="00845CEB">
            <w:pPr>
              <w:jc w:val="center"/>
            </w:pPr>
            <w:r w:rsidRPr="00CF3673">
              <w:t>4</w:t>
            </w:r>
          </w:p>
        </w:tc>
        <w:tc>
          <w:tcPr>
            <w:tcW w:w="0" w:type="auto"/>
            <w:tcBorders>
              <w:bottom w:val="nil"/>
            </w:tcBorders>
            <w:noWrap/>
            <w:hideMark/>
          </w:tcPr>
          <w:p w:rsidR="00845CEB" w:rsidRPr="00CF3673" w:rsidRDefault="00845CEB" w:rsidP="00845CEB">
            <w:pPr>
              <w:jc w:val="center"/>
            </w:pPr>
            <w:r w:rsidRPr="00CF3673">
              <w:t>13</w:t>
            </w:r>
          </w:p>
        </w:tc>
      </w:tr>
      <w:tr w:rsidR="00442972" w:rsidRPr="00CF3673" w:rsidTr="00F50C5F">
        <w:trPr>
          <w:trHeight w:val="300"/>
          <w:jc w:val="center"/>
        </w:trPr>
        <w:tc>
          <w:tcPr>
            <w:tcW w:w="0" w:type="auto"/>
            <w:tcBorders>
              <w:top w:val="nil"/>
              <w:bottom w:val="single" w:sz="4" w:space="0" w:color="auto"/>
            </w:tcBorders>
            <w:noWrap/>
            <w:hideMark/>
          </w:tcPr>
          <w:p w:rsidR="00845CEB" w:rsidRPr="00CF3673" w:rsidRDefault="00845CEB" w:rsidP="00442972">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442972" w:rsidRPr="00CF3673">
              <w:rPr>
                <w:rFonts w:ascii="Calibri" w:eastAsia="Times New Roman" w:hAnsi="Calibri" w:cs="Times New Roman"/>
                <w:color w:val="000000"/>
                <w:lang w:eastAsia="zh-CN"/>
              </w:rPr>
              <w:t>%</w:t>
            </w:r>
            <w:r w:rsidRPr="00CF3673">
              <w:rPr>
                <w:rFonts w:ascii="Calibri" w:eastAsia="Times New Roman" w:hAnsi="Calibri" w:cs="Times New Roman"/>
                <w:color w:val="000000"/>
                <w:lang w:eastAsia="zh-CN"/>
              </w:rPr>
              <w:t>)</w:t>
            </w:r>
          </w:p>
        </w:tc>
        <w:tc>
          <w:tcPr>
            <w:tcW w:w="0" w:type="auto"/>
            <w:tcBorders>
              <w:top w:val="nil"/>
              <w:bottom w:val="single" w:sz="4" w:space="0" w:color="auto"/>
            </w:tcBorders>
            <w:noWrap/>
            <w:hideMark/>
          </w:tcPr>
          <w:p w:rsidR="00845CEB" w:rsidRPr="00CF3673" w:rsidRDefault="00F50C5F" w:rsidP="00845CEB">
            <w:pPr>
              <w:jc w:val="center"/>
            </w:pPr>
            <w:r w:rsidRPr="00CF3673">
              <w:t>(</w:t>
            </w:r>
            <w:r w:rsidR="004C36C2" w:rsidRPr="00CF3673">
              <w:t>69.2</w:t>
            </w:r>
            <w:r w:rsidRPr="00CF3673">
              <w:t>)</w:t>
            </w:r>
          </w:p>
        </w:tc>
        <w:tc>
          <w:tcPr>
            <w:tcW w:w="0" w:type="auto"/>
            <w:tcBorders>
              <w:top w:val="nil"/>
              <w:bottom w:val="single" w:sz="4" w:space="0" w:color="auto"/>
            </w:tcBorders>
            <w:noWrap/>
            <w:hideMark/>
          </w:tcPr>
          <w:p w:rsidR="00845CEB" w:rsidRPr="00CF3673" w:rsidRDefault="00F50C5F" w:rsidP="00845CEB">
            <w:pPr>
              <w:jc w:val="center"/>
            </w:pPr>
            <w:r w:rsidRPr="00CF3673">
              <w:t>(</w:t>
            </w:r>
            <w:r w:rsidR="004C36C2" w:rsidRPr="00CF3673">
              <w:t>30.8</w:t>
            </w:r>
            <w:r w:rsidRPr="00CF3673">
              <w:t>)</w:t>
            </w:r>
          </w:p>
        </w:tc>
        <w:tc>
          <w:tcPr>
            <w:tcW w:w="0" w:type="auto"/>
            <w:tcBorders>
              <w:top w:val="nil"/>
              <w:bottom w:val="single" w:sz="4" w:space="0" w:color="auto"/>
            </w:tcBorders>
            <w:noWrap/>
            <w:hideMark/>
          </w:tcPr>
          <w:p w:rsidR="00845CEB" w:rsidRPr="00CF3673" w:rsidRDefault="00F50C5F" w:rsidP="00845CEB">
            <w:pPr>
              <w:jc w:val="center"/>
            </w:pPr>
            <w:r w:rsidRPr="00CF3673">
              <w:t>(</w:t>
            </w:r>
            <w:r w:rsidR="00845CEB" w:rsidRPr="00CF3673">
              <w:t>100</w:t>
            </w:r>
            <w:r w:rsidRPr="00CF3673">
              <w:t>)</w:t>
            </w:r>
          </w:p>
        </w:tc>
      </w:tr>
      <w:tr w:rsidR="00442972" w:rsidRPr="00CF3673" w:rsidTr="00F50C5F">
        <w:trPr>
          <w:trHeight w:val="300"/>
          <w:jc w:val="center"/>
        </w:trPr>
        <w:tc>
          <w:tcPr>
            <w:tcW w:w="0" w:type="auto"/>
            <w:tcBorders>
              <w:top w:val="single" w:sz="4" w:space="0" w:color="auto"/>
            </w:tcBorders>
            <w:noWrap/>
            <w:hideMark/>
          </w:tcPr>
          <w:p w:rsidR="00845CEB" w:rsidRPr="00CF3673" w:rsidRDefault="00845CEB" w:rsidP="00845CEB">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Total</w:t>
            </w:r>
          </w:p>
        </w:tc>
        <w:tc>
          <w:tcPr>
            <w:tcW w:w="0" w:type="auto"/>
            <w:tcBorders>
              <w:top w:val="single" w:sz="4" w:space="0" w:color="auto"/>
            </w:tcBorders>
            <w:noWrap/>
            <w:hideMark/>
          </w:tcPr>
          <w:p w:rsidR="00845CEB" w:rsidRPr="00CF3673" w:rsidRDefault="00845CEB" w:rsidP="003B27FE">
            <w:pPr>
              <w:jc w:val="center"/>
            </w:pPr>
            <w:r w:rsidRPr="00CF3673">
              <w:t>20</w:t>
            </w:r>
            <w:r w:rsidR="003B27FE" w:rsidRPr="00CF3673">
              <w:t>6</w:t>
            </w:r>
          </w:p>
        </w:tc>
        <w:tc>
          <w:tcPr>
            <w:tcW w:w="0" w:type="auto"/>
            <w:tcBorders>
              <w:top w:val="single" w:sz="4" w:space="0" w:color="auto"/>
            </w:tcBorders>
            <w:noWrap/>
            <w:hideMark/>
          </w:tcPr>
          <w:p w:rsidR="00845CEB" w:rsidRPr="00CF3673" w:rsidRDefault="00845CEB" w:rsidP="00845CEB">
            <w:pPr>
              <w:jc w:val="center"/>
            </w:pPr>
            <w:r w:rsidRPr="00CF3673">
              <w:t>10</w:t>
            </w:r>
          </w:p>
        </w:tc>
        <w:tc>
          <w:tcPr>
            <w:tcW w:w="0" w:type="auto"/>
            <w:tcBorders>
              <w:top w:val="single" w:sz="4" w:space="0" w:color="auto"/>
            </w:tcBorders>
            <w:noWrap/>
            <w:hideMark/>
          </w:tcPr>
          <w:p w:rsidR="00845CEB" w:rsidRPr="00CF3673" w:rsidRDefault="00845CEB" w:rsidP="003B27FE">
            <w:pPr>
              <w:jc w:val="center"/>
            </w:pPr>
            <w:r w:rsidRPr="00CF3673">
              <w:t>21</w:t>
            </w:r>
            <w:r w:rsidR="003B27FE" w:rsidRPr="00CF3673">
              <w:t>6</w:t>
            </w:r>
          </w:p>
        </w:tc>
      </w:tr>
      <w:tr w:rsidR="00442972" w:rsidRPr="00CF3673" w:rsidTr="00F50C5F">
        <w:trPr>
          <w:trHeight w:val="300"/>
          <w:jc w:val="center"/>
        </w:trPr>
        <w:tc>
          <w:tcPr>
            <w:tcW w:w="0" w:type="auto"/>
            <w:tcBorders>
              <w:bottom w:val="double" w:sz="4" w:space="0" w:color="auto"/>
            </w:tcBorders>
            <w:noWrap/>
            <w:hideMark/>
          </w:tcPr>
          <w:p w:rsidR="00845CEB" w:rsidRPr="00CF3673" w:rsidRDefault="00442972" w:rsidP="00442972">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845CEB" w:rsidRPr="00CF3673">
              <w:rPr>
                <w:rFonts w:ascii="Calibri" w:eastAsia="Times New Roman" w:hAnsi="Calibri" w:cs="Times New Roman"/>
                <w:color w:val="000000"/>
                <w:lang w:eastAsia="zh-CN"/>
              </w:rPr>
              <w:t>)</w:t>
            </w:r>
          </w:p>
        </w:tc>
        <w:tc>
          <w:tcPr>
            <w:tcW w:w="0" w:type="auto"/>
            <w:tcBorders>
              <w:bottom w:val="double" w:sz="4" w:space="0" w:color="auto"/>
            </w:tcBorders>
            <w:noWrap/>
            <w:hideMark/>
          </w:tcPr>
          <w:p w:rsidR="00845CEB" w:rsidRPr="00CF3673" w:rsidRDefault="00F50C5F" w:rsidP="00845CEB">
            <w:pPr>
              <w:jc w:val="center"/>
            </w:pPr>
            <w:r w:rsidRPr="00CF3673">
              <w:t>(</w:t>
            </w:r>
            <w:r w:rsidR="004C36C2" w:rsidRPr="00CF3673">
              <w:t>95.4</w:t>
            </w:r>
            <w:r w:rsidRPr="00CF3673">
              <w:t>)</w:t>
            </w:r>
          </w:p>
        </w:tc>
        <w:tc>
          <w:tcPr>
            <w:tcW w:w="0" w:type="auto"/>
            <w:tcBorders>
              <w:bottom w:val="double" w:sz="4" w:space="0" w:color="auto"/>
            </w:tcBorders>
            <w:noWrap/>
            <w:hideMark/>
          </w:tcPr>
          <w:p w:rsidR="00845CEB" w:rsidRPr="00CF3673" w:rsidRDefault="00F50C5F" w:rsidP="00845CEB">
            <w:pPr>
              <w:jc w:val="center"/>
            </w:pPr>
            <w:r w:rsidRPr="00CF3673">
              <w:t>(</w:t>
            </w:r>
            <w:r w:rsidR="004C36C2" w:rsidRPr="00CF3673">
              <w:t>4.6</w:t>
            </w:r>
            <w:r w:rsidRPr="00CF3673">
              <w:t>)</w:t>
            </w:r>
          </w:p>
        </w:tc>
        <w:tc>
          <w:tcPr>
            <w:tcW w:w="0" w:type="auto"/>
            <w:tcBorders>
              <w:bottom w:val="double" w:sz="4" w:space="0" w:color="auto"/>
            </w:tcBorders>
            <w:noWrap/>
            <w:hideMark/>
          </w:tcPr>
          <w:p w:rsidR="00845CEB" w:rsidRPr="00CF3673" w:rsidRDefault="00F50C5F" w:rsidP="00845CEB">
            <w:pPr>
              <w:jc w:val="center"/>
            </w:pPr>
            <w:r w:rsidRPr="00CF3673">
              <w:t>(</w:t>
            </w:r>
            <w:r w:rsidR="00845CEB" w:rsidRPr="00CF3673">
              <w:t>100</w:t>
            </w:r>
            <w:r w:rsidRPr="00CF3673">
              <w:t>)</w:t>
            </w:r>
          </w:p>
        </w:tc>
      </w:tr>
      <w:tr w:rsidR="00442972" w:rsidRPr="00CF3673" w:rsidTr="00F50C5F">
        <w:trPr>
          <w:trHeight w:val="300"/>
          <w:jc w:val="center"/>
        </w:trPr>
        <w:tc>
          <w:tcPr>
            <w:tcW w:w="0" w:type="auto"/>
            <w:gridSpan w:val="4"/>
            <w:tcBorders>
              <w:top w:val="double" w:sz="4" w:space="0" w:color="auto"/>
              <w:bottom w:val="nil"/>
            </w:tcBorders>
            <w:noWrap/>
          </w:tcPr>
          <w:p w:rsidR="009B4A16" w:rsidRPr="00CF3673" w:rsidRDefault="009B4A16" w:rsidP="00442972">
            <w:pPr>
              <w:pStyle w:val="Tablenote"/>
              <w:rPr>
                <w:b/>
                <w:lang w:val="pt-PT"/>
              </w:rPr>
            </w:pPr>
            <w:r w:rsidRPr="00CF3673">
              <w:rPr>
                <w:b/>
                <w:lang w:val="pt-PT"/>
              </w:rPr>
              <w:t>Not</w:t>
            </w:r>
            <w:r w:rsidR="00442972" w:rsidRPr="00CF3673">
              <w:rPr>
                <w:b/>
                <w:lang w:val="pt-PT"/>
              </w:rPr>
              <w:t>a</w:t>
            </w:r>
            <w:r w:rsidRPr="00CF3673">
              <w:rPr>
                <w:b/>
                <w:lang w:val="pt-PT"/>
              </w:rPr>
              <w:t>:</w:t>
            </w:r>
            <w:r w:rsidR="00F50C5F" w:rsidRPr="00CF3673">
              <w:rPr>
                <w:lang w:val="pt-PT"/>
              </w:rPr>
              <w:t xml:space="preserve"> </w:t>
            </w:r>
            <w:r w:rsidR="006A4724" w:rsidRPr="00CF3673">
              <w:rPr>
                <w:lang w:val="pt-PT"/>
              </w:rPr>
              <w:t>Número</w:t>
            </w:r>
            <w:r w:rsidR="00442972" w:rsidRPr="00CF3673">
              <w:rPr>
                <w:lang w:val="pt-PT"/>
              </w:rPr>
              <w:t xml:space="preserve"> em </w:t>
            </w:r>
            <w:r w:rsidR="006A4724" w:rsidRPr="00CF3673">
              <w:rPr>
                <w:lang w:val="pt-PT"/>
              </w:rPr>
              <w:t>parêntesis</w:t>
            </w:r>
            <w:r w:rsidR="00442972" w:rsidRPr="00CF3673">
              <w:rPr>
                <w:lang w:val="pt-PT"/>
              </w:rPr>
              <w:t xml:space="preserve"> indica percentagens</w:t>
            </w:r>
          </w:p>
        </w:tc>
      </w:tr>
      <w:tr w:rsidR="00442972" w:rsidRPr="00CF3673" w:rsidTr="00F50C5F">
        <w:trPr>
          <w:trHeight w:val="300"/>
          <w:jc w:val="center"/>
        </w:trPr>
        <w:tc>
          <w:tcPr>
            <w:tcW w:w="0" w:type="auto"/>
            <w:gridSpan w:val="4"/>
            <w:tcBorders>
              <w:top w:val="nil"/>
              <w:bottom w:val="nil"/>
            </w:tcBorders>
            <w:noWrap/>
          </w:tcPr>
          <w:p w:rsidR="009B4A16" w:rsidRPr="00CF3673" w:rsidRDefault="00442972" w:rsidP="00442972">
            <w:pPr>
              <w:pStyle w:val="Tablenote"/>
              <w:rPr>
                <w:b/>
                <w:lang w:val="pt-PT"/>
              </w:rPr>
            </w:pPr>
            <w:r w:rsidRPr="00CF3673">
              <w:rPr>
                <w:b/>
                <w:lang w:val="pt-PT"/>
              </w:rPr>
              <w:t>Fonte</w:t>
            </w:r>
            <w:r w:rsidR="009B4A16" w:rsidRPr="00CF3673">
              <w:rPr>
                <w:b/>
                <w:lang w:val="pt-PT"/>
              </w:rPr>
              <w:t>:</w:t>
            </w:r>
            <w:r w:rsidR="009B4A16" w:rsidRPr="00CF3673">
              <w:rPr>
                <w:lang w:val="pt-PT"/>
              </w:rPr>
              <w:t xml:space="preserve"> </w:t>
            </w:r>
            <w:r w:rsidR="006A4724" w:rsidRPr="00CF3673">
              <w:rPr>
                <w:lang w:val="pt-PT"/>
              </w:rPr>
              <w:t>Cálculo</w:t>
            </w:r>
            <w:r w:rsidRPr="00CF3673">
              <w:rPr>
                <w:lang w:val="pt-PT"/>
              </w:rPr>
              <w:t xml:space="preserve"> dos autores com base no </w:t>
            </w:r>
            <w:r w:rsidR="009B4A16" w:rsidRPr="00CF3673">
              <w:rPr>
                <w:lang w:val="pt-PT"/>
              </w:rPr>
              <w:t xml:space="preserve">IIM 2012, DNEAP (2006) </w:t>
            </w:r>
            <w:r w:rsidRPr="00CF3673">
              <w:rPr>
                <w:lang w:val="pt-PT"/>
              </w:rPr>
              <w:t>e</w:t>
            </w:r>
            <w:r w:rsidR="009B4A16" w:rsidRPr="00CF3673">
              <w:rPr>
                <w:lang w:val="pt-PT"/>
              </w:rPr>
              <w:t xml:space="preserve"> ICA (2009).</w:t>
            </w:r>
          </w:p>
        </w:tc>
      </w:tr>
    </w:tbl>
    <w:p w:rsidR="00851CFB" w:rsidRPr="00CF3673" w:rsidRDefault="00851CFB" w:rsidP="001E664B">
      <w:pPr>
        <w:pStyle w:val="MainText"/>
        <w:rPr>
          <w:lang w:val="pt-PT"/>
        </w:rPr>
      </w:pPr>
    </w:p>
    <w:p w:rsidR="00B506D2" w:rsidRPr="00CF3673" w:rsidRDefault="00B506D2" w:rsidP="0021396C">
      <w:pPr>
        <w:pStyle w:val="MainText"/>
        <w:rPr>
          <w:lang w:val="pt-PT"/>
        </w:rPr>
      </w:pPr>
      <w:r w:rsidRPr="00CF3673">
        <w:rPr>
          <w:lang w:val="pt-PT"/>
        </w:rPr>
        <w:t xml:space="preserve">Algumas características dos exportadores são apresentadas na tabela 7.2. Em média, os exportadores exportam 43% de todas as vendas directamente e 8% indirectamente. </w:t>
      </w:r>
    </w:p>
    <w:p w:rsidR="00B506D2" w:rsidRPr="00CF3673" w:rsidRDefault="00E333A2" w:rsidP="00F41831">
      <w:pPr>
        <w:pStyle w:val="TableTitle"/>
        <w:rPr>
          <w:lang w:val="pt-PT"/>
        </w:rPr>
      </w:pPr>
      <w:bookmarkStart w:id="38" w:name="_Toc360720480"/>
      <w:r w:rsidRPr="00CF3673">
        <w:rPr>
          <w:lang w:val="pt-PT"/>
        </w:rPr>
        <w:t>Tab</w:t>
      </w:r>
      <w:r w:rsidR="00B506D2" w:rsidRPr="00CF3673">
        <w:rPr>
          <w:lang w:val="pt-PT"/>
        </w:rPr>
        <w:t>ela</w:t>
      </w:r>
      <w:r w:rsidR="00825B0C" w:rsidRPr="00CF3673">
        <w:rPr>
          <w:lang w:val="pt-PT"/>
        </w:rPr>
        <w:t xml:space="preserve"> </w:t>
      </w:r>
      <w:r w:rsidR="004D1585" w:rsidRPr="00CF3673">
        <w:rPr>
          <w:lang w:val="pt-PT"/>
        </w:rPr>
        <w:t>7</w:t>
      </w:r>
      <w:r w:rsidR="00825B0C" w:rsidRPr="00CF3673">
        <w:rPr>
          <w:lang w:val="pt-PT"/>
        </w:rPr>
        <w:t>.</w:t>
      </w:r>
      <w:r w:rsidR="006D5241" w:rsidRPr="00CF3673">
        <w:rPr>
          <w:lang w:val="pt-PT"/>
        </w:rPr>
        <w:t>2</w:t>
      </w:r>
      <w:r w:rsidR="00825B0C" w:rsidRPr="00CF3673">
        <w:rPr>
          <w:lang w:val="pt-PT"/>
        </w:rPr>
        <w:t xml:space="preserve">: </w:t>
      </w:r>
      <w:r w:rsidR="006A4724" w:rsidRPr="00CF3673">
        <w:rPr>
          <w:lang w:val="pt-PT"/>
        </w:rPr>
        <w:t>Características</w:t>
      </w:r>
      <w:r w:rsidR="00B506D2" w:rsidRPr="00CF3673">
        <w:rPr>
          <w:lang w:val="pt-PT"/>
        </w:rPr>
        <w:t xml:space="preserve"> do Exportador</w:t>
      </w:r>
    </w:p>
    <w:bookmarkEnd w:id="38"/>
    <w:tbl>
      <w:tblPr>
        <w:tblStyle w:val="StandardTable"/>
        <w:tblW w:w="0" w:type="auto"/>
        <w:jc w:val="center"/>
        <w:tblLayout w:type="fixed"/>
        <w:tblLook w:val="04E0" w:firstRow="1" w:lastRow="1" w:firstColumn="1" w:lastColumn="0" w:noHBand="0" w:noVBand="1"/>
      </w:tblPr>
      <w:tblGrid>
        <w:gridCol w:w="4053"/>
        <w:gridCol w:w="2097"/>
      </w:tblGrid>
      <w:tr w:rsidR="001D1964" w:rsidRPr="00CF3673" w:rsidTr="00F201FC">
        <w:trPr>
          <w:cnfStyle w:val="100000000000" w:firstRow="1" w:lastRow="0" w:firstColumn="0" w:lastColumn="0" w:oddVBand="0" w:evenVBand="0" w:oddHBand="0" w:evenHBand="0" w:firstRowFirstColumn="0" w:firstRowLastColumn="0" w:lastRowFirstColumn="0" w:lastRowLastColumn="0"/>
          <w:trHeight w:val="300"/>
          <w:jc w:val="center"/>
        </w:trPr>
        <w:tc>
          <w:tcPr>
            <w:tcW w:w="4053" w:type="dxa"/>
            <w:noWrap/>
          </w:tcPr>
          <w:p w:rsidR="001D1964" w:rsidRPr="00CF3673" w:rsidRDefault="001D1964" w:rsidP="001D1964">
            <w:pPr>
              <w:rPr>
                <w:rFonts w:ascii="Calibri" w:eastAsia="Times New Roman" w:hAnsi="Calibri" w:cs="Times New Roman"/>
                <w:lang w:eastAsia="zh-CN"/>
              </w:rPr>
            </w:pPr>
          </w:p>
        </w:tc>
        <w:tc>
          <w:tcPr>
            <w:tcW w:w="2097" w:type="dxa"/>
            <w:noWrap/>
            <w:hideMark/>
          </w:tcPr>
          <w:p w:rsidR="001D1964" w:rsidRPr="00CF3673" w:rsidRDefault="00291E20" w:rsidP="00291E20">
            <w:pPr>
              <w:jc w:val="center"/>
              <w:rPr>
                <w:rFonts w:ascii="Calibri" w:eastAsia="Times New Roman" w:hAnsi="Calibri" w:cs="Times New Roman"/>
                <w:lang w:eastAsia="zh-CN"/>
              </w:rPr>
            </w:pPr>
            <w:r w:rsidRPr="00CF3673">
              <w:rPr>
                <w:rFonts w:ascii="Calibri" w:eastAsia="Times New Roman" w:hAnsi="Calibri" w:cs="Times New Roman"/>
                <w:lang w:eastAsia="zh-CN"/>
              </w:rPr>
              <w:t>% das vendas</w:t>
            </w:r>
          </w:p>
        </w:tc>
      </w:tr>
      <w:tr w:rsidR="009169D8" w:rsidRPr="00CF3673" w:rsidTr="00F201FC">
        <w:trPr>
          <w:trHeight w:val="300"/>
          <w:jc w:val="center"/>
        </w:trPr>
        <w:tc>
          <w:tcPr>
            <w:tcW w:w="4053" w:type="dxa"/>
            <w:tcBorders>
              <w:bottom w:val="nil"/>
            </w:tcBorders>
            <w:noWrap/>
            <w:hideMark/>
          </w:tcPr>
          <w:p w:rsidR="009169D8" w:rsidRPr="00CF3673" w:rsidRDefault="00291E20" w:rsidP="00291E20">
            <w:pPr>
              <w:rPr>
                <w:rFonts w:ascii="Calibri" w:eastAsia="Times New Roman" w:hAnsi="Calibri" w:cs="Times New Roman"/>
                <w:lang w:eastAsia="zh-CN"/>
              </w:rPr>
            </w:pPr>
            <w:r w:rsidRPr="00CF3673">
              <w:rPr>
                <w:rFonts w:ascii="Calibri" w:eastAsia="Times New Roman" w:hAnsi="Calibri" w:cs="Times New Roman"/>
                <w:lang w:eastAsia="zh-CN"/>
              </w:rPr>
              <w:t>E</w:t>
            </w:r>
            <w:r w:rsidR="009169D8" w:rsidRPr="00CF3673">
              <w:rPr>
                <w:rFonts w:ascii="Calibri" w:eastAsia="Times New Roman" w:hAnsi="Calibri" w:cs="Times New Roman"/>
                <w:lang w:eastAsia="zh-CN"/>
              </w:rPr>
              <w:t>xport</w:t>
            </w:r>
            <w:r w:rsidRPr="00CF3673">
              <w:rPr>
                <w:rFonts w:ascii="Calibri" w:eastAsia="Times New Roman" w:hAnsi="Calibri" w:cs="Times New Roman"/>
                <w:lang w:eastAsia="zh-CN"/>
              </w:rPr>
              <w:t>ações directas</w:t>
            </w:r>
          </w:p>
        </w:tc>
        <w:tc>
          <w:tcPr>
            <w:tcW w:w="2097" w:type="dxa"/>
            <w:tcBorders>
              <w:bottom w:val="nil"/>
            </w:tcBorders>
            <w:noWrap/>
            <w:hideMark/>
          </w:tcPr>
          <w:p w:rsidR="009169D8" w:rsidRPr="00CF3673" w:rsidRDefault="009169D8" w:rsidP="009169D8">
            <w:pPr>
              <w:jc w:val="center"/>
            </w:pPr>
            <w:r w:rsidRPr="00CF3673">
              <w:t>43.4</w:t>
            </w:r>
          </w:p>
        </w:tc>
      </w:tr>
      <w:tr w:rsidR="009169D8" w:rsidRPr="00CF3673" w:rsidTr="00F201FC">
        <w:trPr>
          <w:trHeight w:val="300"/>
          <w:jc w:val="center"/>
        </w:trPr>
        <w:tc>
          <w:tcPr>
            <w:tcW w:w="4053" w:type="dxa"/>
            <w:tcBorders>
              <w:top w:val="nil"/>
              <w:bottom w:val="nil"/>
            </w:tcBorders>
            <w:noWrap/>
            <w:hideMark/>
          </w:tcPr>
          <w:p w:rsidR="009169D8" w:rsidRPr="00CF3673" w:rsidRDefault="00291E20" w:rsidP="00291E20">
            <w:pPr>
              <w:rPr>
                <w:rFonts w:ascii="Calibri" w:eastAsia="Times New Roman" w:hAnsi="Calibri" w:cs="Times New Roman"/>
                <w:lang w:eastAsia="zh-CN"/>
              </w:rPr>
            </w:pPr>
            <w:r w:rsidRPr="00CF3673">
              <w:rPr>
                <w:rFonts w:ascii="Calibri" w:eastAsia="Times New Roman" w:hAnsi="Calibri" w:cs="Times New Roman"/>
                <w:lang w:eastAsia="zh-CN"/>
              </w:rPr>
              <w:t>Exportações Indirectas</w:t>
            </w:r>
          </w:p>
        </w:tc>
        <w:tc>
          <w:tcPr>
            <w:tcW w:w="2097" w:type="dxa"/>
            <w:tcBorders>
              <w:top w:val="nil"/>
              <w:bottom w:val="nil"/>
            </w:tcBorders>
            <w:noWrap/>
            <w:hideMark/>
          </w:tcPr>
          <w:p w:rsidR="009169D8" w:rsidRPr="00CF3673" w:rsidRDefault="009169D8" w:rsidP="009169D8">
            <w:pPr>
              <w:jc w:val="center"/>
            </w:pPr>
            <w:r w:rsidRPr="00CF3673">
              <w:t>7.5</w:t>
            </w:r>
          </w:p>
        </w:tc>
      </w:tr>
      <w:tr w:rsidR="009169D8" w:rsidRPr="00CF3673" w:rsidTr="00F201FC">
        <w:trPr>
          <w:trHeight w:val="300"/>
          <w:jc w:val="center"/>
        </w:trPr>
        <w:tc>
          <w:tcPr>
            <w:tcW w:w="4053" w:type="dxa"/>
            <w:tcBorders>
              <w:top w:val="nil"/>
              <w:bottom w:val="single" w:sz="4" w:space="0" w:color="auto"/>
            </w:tcBorders>
            <w:noWrap/>
          </w:tcPr>
          <w:p w:rsidR="009169D8" w:rsidRPr="00CF3673" w:rsidRDefault="009169D8" w:rsidP="001D1964">
            <w:pPr>
              <w:rPr>
                <w:rFonts w:ascii="Calibri" w:eastAsia="Times New Roman" w:hAnsi="Calibri" w:cs="Times New Roman"/>
                <w:lang w:eastAsia="zh-CN"/>
              </w:rPr>
            </w:pPr>
          </w:p>
        </w:tc>
        <w:tc>
          <w:tcPr>
            <w:tcW w:w="2097" w:type="dxa"/>
            <w:tcBorders>
              <w:top w:val="nil"/>
              <w:bottom w:val="single" w:sz="4" w:space="0" w:color="auto"/>
            </w:tcBorders>
            <w:noWrap/>
          </w:tcPr>
          <w:p w:rsidR="009169D8" w:rsidRPr="00CF3673" w:rsidRDefault="009169D8" w:rsidP="009169D8">
            <w:pPr>
              <w:jc w:val="center"/>
              <w:rPr>
                <w:rFonts w:ascii="Calibri" w:eastAsia="Times New Roman" w:hAnsi="Calibri" w:cs="Times New Roman"/>
                <w:lang w:eastAsia="zh-CN"/>
              </w:rPr>
            </w:pPr>
          </w:p>
        </w:tc>
      </w:tr>
      <w:tr w:rsidR="003D4D52" w:rsidRPr="00CF3673" w:rsidTr="00F201FC">
        <w:trPr>
          <w:trHeight w:val="300"/>
          <w:jc w:val="center"/>
        </w:trPr>
        <w:tc>
          <w:tcPr>
            <w:tcW w:w="4053" w:type="dxa"/>
            <w:tcBorders>
              <w:top w:val="nil"/>
              <w:bottom w:val="single" w:sz="4" w:space="0" w:color="auto"/>
            </w:tcBorders>
            <w:noWrap/>
          </w:tcPr>
          <w:p w:rsidR="003D4D52" w:rsidRPr="00CF3673" w:rsidRDefault="003D4D52" w:rsidP="001D1964">
            <w:pPr>
              <w:rPr>
                <w:rFonts w:ascii="Calibri" w:eastAsia="Times New Roman" w:hAnsi="Calibri" w:cs="Times New Roman"/>
                <w:lang w:eastAsia="zh-CN"/>
              </w:rPr>
            </w:pPr>
          </w:p>
        </w:tc>
        <w:tc>
          <w:tcPr>
            <w:tcW w:w="2097" w:type="dxa"/>
            <w:tcBorders>
              <w:top w:val="nil"/>
              <w:bottom w:val="single" w:sz="4" w:space="0" w:color="auto"/>
            </w:tcBorders>
            <w:noWrap/>
          </w:tcPr>
          <w:p w:rsidR="003D4D52" w:rsidRPr="00CF3673" w:rsidRDefault="001E4FDA" w:rsidP="001E4FDA">
            <w:pPr>
              <w:jc w:val="center"/>
              <w:rPr>
                <w:rFonts w:ascii="Calibri" w:eastAsia="Times New Roman" w:hAnsi="Calibri" w:cs="Times New Roman"/>
                <w:lang w:eastAsia="zh-CN"/>
              </w:rPr>
            </w:pPr>
            <w:r w:rsidRPr="00CF3673">
              <w:rPr>
                <w:rFonts w:ascii="Calibri" w:eastAsia="Times New Roman" w:hAnsi="Calibri" w:cs="Times New Roman"/>
                <w:lang w:eastAsia="zh-CN"/>
              </w:rPr>
              <w:t>% das empresas exportadoras</w:t>
            </w:r>
          </w:p>
        </w:tc>
      </w:tr>
      <w:tr w:rsidR="009169D8" w:rsidRPr="00CF3673" w:rsidTr="00F201FC">
        <w:trPr>
          <w:trHeight w:val="300"/>
          <w:jc w:val="center"/>
        </w:trPr>
        <w:tc>
          <w:tcPr>
            <w:tcW w:w="4053" w:type="dxa"/>
            <w:tcBorders>
              <w:top w:val="single" w:sz="4" w:space="0" w:color="auto"/>
            </w:tcBorders>
            <w:noWrap/>
          </w:tcPr>
          <w:p w:rsidR="009169D8" w:rsidRPr="00CF3673" w:rsidRDefault="001E4FDA" w:rsidP="001E4FDA">
            <w:pPr>
              <w:rPr>
                <w:rFonts w:ascii="Calibri" w:eastAsia="Times New Roman" w:hAnsi="Calibri" w:cs="Times New Roman"/>
                <w:lang w:eastAsia="zh-CN"/>
              </w:rPr>
            </w:pPr>
            <w:r w:rsidRPr="00CF3673">
              <w:rPr>
                <w:rFonts w:ascii="Calibri" w:eastAsia="Times New Roman" w:hAnsi="Calibri" w:cs="Times New Roman"/>
                <w:lang w:eastAsia="zh-CN"/>
              </w:rPr>
              <w:t xml:space="preserve">Ordem de Exportação </w:t>
            </w:r>
            <w:r w:rsidR="009169D8" w:rsidRPr="00CF3673">
              <w:rPr>
                <w:rFonts w:ascii="Calibri" w:eastAsia="Times New Roman" w:hAnsi="Calibri" w:cs="Times New Roman"/>
                <w:lang w:eastAsia="zh-CN"/>
              </w:rPr>
              <w:t>Rece</w:t>
            </w:r>
            <w:r w:rsidRPr="00CF3673">
              <w:rPr>
                <w:rFonts w:ascii="Calibri" w:eastAsia="Times New Roman" w:hAnsi="Calibri" w:cs="Times New Roman"/>
                <w:lang w:eastAsia="zh-CN"/>
              </w:rPr>
              <w:t>bida</w:t>
            </w:r>
          </w:p>
        </w:tc>
        <w:tc>
          <w:tcPr>
            <w:tcW w:w="2097" w:type="dxa"/>
            <w:tcBorders>
              <w:top w:val="single" w:sz="4" w:space="0" w:color="auto"/>
            </w:tcBorders>
            <w:noWrap/>
          </w:tcPr>
          <w:p w:rsidR="009169D8" w:rsidRPr="00CF3673" w:rsidRDefault="009169D8" w:rsidP="009169D8">
            <w:pPr>
              <w:jc w:val="center"/>
            </w:pPr>
            <w:r w:rsidRPr="00CF3673">
              <w:t>63.6</w:t>
            </w:r>
          </w:p>
        </w:tc>
      </w:tr>
      <w:tr w:rsidR="009169D8" w:rsidRPr="00CF3673" w:rsidTr="00F201FC">
        <w:trPr>
          <w:trHeight w:val="300"/>
          <w:jc w:val="center"/>
        </w:trPr>
        <w:tc>
          <w:tcPr>
            <w:tcW w:w="4053" w:type="dxa"/>
            <w:noWrap/>
            <w:hideMark/>
          </w:tcPr>
          <w:p w:rsidR="009169D8" w:rsidRPr="00CF3673" w:rsidRDefault="001E4FDA" w:rsidP="001E4FDA">
            <w:pPr>
              <w:rPr>
                <w:rFonts w:ascii="Calibri" w:eastAsia="Times New Roman" w:hAnsi="Calibri" w:cs="Times New Roman"/>
                <w:lang w:eastAsia="zh-CN"/>
              </w:rPr>
            </w:pPr>
            <w:r w:rsidRPr="00CF3673">
              <w:rPr>
                <w:rFonts w:ascii="Calibri" w:eastAsia="Times New Roman" w:hAnsi="Calibri" w:cs="Times New Roman"/>
                <w:lang w:eastAsia="zh-CN"/>
              </w:rPr>
              <w:t xml:space="preserve">Empresas que experimentaram </w:t>
            </w:r>
            <w:proofErr w:type="spellStart"/>
            <w:r w:rsidRPr="00CF3673">
              <w:rPr>
                <w:rFonts w:ascii="Calibri" w:eastAsia="Times New Roman" w:hAnsi="Calibri" w:cs="Times New Roman"/>
                <w:lang w:eastAsia="zh-CN"/>
              </w:rPr>
              <w:t>transf</w:t>
            </w:r>
            <w:proofErr w:type="spellEnd"/>
            <w:r w:rsidRPr="00CF3673">
              <w:rPr>
                <w:rFonts w:ascii="Calibri" w:eastAsia="Times New Roman" w:hAnsi="Calibri" w:cs="Times New Roman"/>
                <w:lang w:eastAsia="zh-CN"/>
              </w:rPr>
              <w:t xml:space="preserve"> técnica do comprador</w:t>
            </w:r>
          </w:p>
        </w:tc>
        <w:tc>
          <w:tcPr>
            <w:tcW w:w="2097" w:type="dxa"/>
            <w:noWrap/>
            <w:hideMark/>
          </w:tcPr>
          <w:p w:rsidR="009169D8" w:rsidRPr="00CF3673" w:rsidRDefault="009169D8" w:rsidP="009169D8">
            <w:pPr>
              <w:jc w:val="center"/>
            </w:pPr>
            <w:r w:rsidRPr="00CF3673">
              <w:t>27.3</w:t>
            </w:r>
          </w:p>
        </w:tc>
      </w:tr>
      <w:tr w:rsidR="009169D8" w:rsidRPr="00CF3673" w:rsidTr="00F201FC">
        <w:trPr>
          <w:trHeight w:val="300"/>
          <w:jc w:val="center"/>
        </w:trPr>
        <w:tc>
          <w:tcPr>
            <w:tcW w:w="4053" w:type="dxa"/>
            <w:noWrap/>
            <w:hideMark/>
          </w:tcPr>
          <w:p w:rsidR="009169D8" w:rsidRPr="00CF3673" w:rsidRDefault="001E4FDA" w:rsidP="001E4FDA">
            <w:pPr>
              <w:rPr>
                <w:rFonts w:ascii="Calibri" w:eastAsia="Times New Roman" w:hAnsi="Calibri" w:cs="Times New Roman"/>
                <w:lang w:eastAsia="zh-CN"/>
              </w:rPr>
            </w:pPr>
            <w:r w:rsidRPr="00CF3673">
              <w:rPr>
                <w:rFonts w:ascii="Calibri" w:eastAsia="Times New Roman" w:hAnsi="Calibri" w:cs="Times New Roman"/>
                <w:lang w:eastAsia="zh-CN"/>
              </w:rPr>
              <w:t>Empresas com certificado de origem</w:t>
            </w:r>
          </w:p>
        </w:tc>
        <w:tc>
          <w:tcPr>
            <w:tcW w:w="2097" w:type="dxa"/>
            <w:noWrap/>
            <w:hideMark/>
          </w:tcPr>
          <w:p w:rsidR="009169D8" w:rsidRPr="00CF3673" w:rsidRDefault="009169D8" w:rsidP="009169D8">
            <w:pPr>
              <w:jc w:val="center"/>
            </w:pPr>
            <w:r w:rsidRPr="00CF3673">
              <w:t>68.2</w:t>
            </w:r>
          </w:p>
        </w:tc>
      </w:tr>
      <w:tr w:rsidR="009169D8" w:rsidRPr="00CF3673" w:rsidTr="00F201FC">
        <w:trPr>
          <w:trHeight w:val="300"/>
          <w:jc w:val="center"/>
        </w:trPr>
        <w:tc>
          <w:tcPr>
            <w:tcW w:w="4053" w:type="dxa"/>
            <w:tcBorders>
              <w:bottom w:val="double" w:sz="4" w:space="0" w:color="auto"/>
            </w:tcBorders>
            <w:noWrap/>
            <w:hideMark/>
          </w:tcPr>
          <w:p w:rsidR="009169D8" w:rsidRPr="00CF3673" w:rsidRDefault="00F201FC" w:rsidP="001E4FDA">
            <w:pPr>
              <w:rPr>
                <w:rFonts w:ascii="Calibri" w:eastAsia="Times New Roman" w:hAnsi="Calibri" w:cs="Times New Roman"/>
                <w:lang w:eastAsia="zh-CN"/>
              </w:rPr>
            </w:pPr>
            <w:r w:rsidRPr="00CF3673">
              <w:rPr>
                <w:rFonts w:ascii="Calibri" w:eastAsia="Times New Roman" w:hAnsi="Calibri" w:cs="Times New Roman"/>
                <w:lang w:eastAsia="zh-CN"/>
              </w:rPr>
              <w:lastRenderedPageBreak/>
              <w:t>N</w:t>
            </w:r>
            <w:r w:rsidR="001E4FDA" w:rsidRPr="00CF3673">
              <w:rPr>
                <w:rFonts w:ascii="Calibri" w:eastAsia="Times New Roman" w:hAnsi="Calibri" w:cs="Times New Roman"/>
                <w:lang w:eastAsia="zh-CN"/>
              </w:rPr>
              <w:t>r</w:t>
            </w:r>
            <w:r w:rsidRPr="00CF3673">
              <w:rPr>
                <w:rFonts w:ascii="Calibri" w:eastAsia="Times New Roman" w:hAnsi="Calibri" w:cs="Times New Roman"/>
                <w:lang w:eastAsia="zh-CN"/>
              </w:rPr>
              <w:t>.</w:t>
            </w:r>
            <w:r w:rsidR="001E4FDA" w:rsidRPr="00CF3673">
              <w:rPr>
                <w:rFonts w:ascii="Calibri" w:eastAsia="Times New Roman" w:hAnsi="Calibri" w:cs="Times New Roman"/>
                <w:lang w:eastAsia="zh-CN"/>
              </w:rPr>
              <w:t>de observações</w:t>
            </w:r>
          </w:p>
        </w:tc>
        <w:tc>
          <w:tcPr>
            <w:tcW w:w="2097" w:type="dxa"/>
            <w:tcBorders>
              <w:bottom w:val="double" w:sz="4" w:space="0" w:color="auto"/>
            </w:tcBorders>
            <w:noWrap/>
            <w:hideMark/>
          </w:tcPr>
          <w:p w:rsidR="009169D8" w:rsidRPr="00CF3673" w:rsidRDefault="009169D8" w:rsidP="009169D8">
            <w:pPr>
              <w:jc w:val="center"/>
            </w:pPr>
            <w:r w:rsidRPr="00CF3673">
              <w:t>22</w:t>
            </w:r>
          </w:p>
        </w:tc>
      </w:tr>
      <w:tr w:rsidR="009B4A16" w:rsidRPr="00CF3673" w:rsidTr="00F201FC">
        <w:trPr>
          <w:trHeight w:val="300"/>
          <w:jc w:val="center"/>
        </w:trPr>
        <w:tc>
          <w:tcPr>
            <w:tcW w:w="6150" w:type="dxa"/>
            <w:gridSpan w:val="2"/>
            <w:tcBorders>
              <w:top w:val="double" w:sz="4" w:space="0" w:color="auto"/>
              <w:bottom w:val="nil"/>
            </w:tcBorders>
            <w:noWrap/>
          </w:tcPr>
          <w:p w:rsidR="009B4A16" w:rsidRPr="00CF3673" w:rsidRDefault="009B4A16" w:rsidP="00FA2B33">
            <w:pPr>
              <w:pStyle w:val="Tablenote"/>
              <w:rPr>
                <w:b/>
                <w:lang w:val="pt-PT"/>
              </w:rPr>
            </w:pPr>
            <w:r w:rsidRPr="00CF3673">
              <w:rPr>
                <w:b/>
                <w:lang w:val="pt-PT"/>
              </w:rPr>
              <w:t>Not</w:t>
            </w:r>
            <w:r w:rsidR="001E4FDA" w:rsidRPr="00CF3673">
              <w:rPr>
                <w:b/>
                <w:lang w:val="pt-PT"/>
              </w:rPr>
              <w:t>a</w:t>
            </w:r>
            <w:r w:rsidRPr="00CF3673">
              <w:rPr>
                <w:b/>
                <w:lang w:val="pt-PT"/>
              </w:rPr>
              <w:t>:</w:t>
            </w:r>
            <w:r w:rsidRPr="00CF3673">
              <w:rPr>
                <w:lang w:val="pt-PT"/>
              </w:rPr>
              <w:t xml:space="preserve"> </w:t>
            </w:r>
            <w:r w:rsidR="001E4FDA" w:rsidRPr="00CF3673">
              <w:rPr>
                <w:lang w:val="pt-PT"/>
              </w:rPr>
              <w:t>a primeira parte da tabela alista a média das contribuições das vendas exportadas pelos</w:t>
            </w:r>
            <w:r w:rsidR="00FA2B33" w:rsidRPr="00CF3673">
              <w:rPr>
                <w:lang w:val="pt-PT"/>
              </w:rPr>
              <w:t xml:space="preserve"> exportadores</w:t>
            </w:r>
            <w:r w:rsidR="00F201FC" w:rsidRPr="00CF3673">
              <w:rPr>
                <w:lang w:val="pt-PT"/>
              </w:rPr>
              <w:t>.</w:t>
            </w:r>
            <w:r w:rsidR="001E4FDA" w:rsidRPr="00CF3673">
              <w:rPr>
                <w:lang w:val="pt-PT"/>
              </w:rPr>
              <w:t xml:space="preserve"> Número</w:t>
            </w:r>
            <w:r w:rsidRPr="00CF3673">
              <w:rPr>
                <w:lang w:val="pt-PT"/>
              </w:rPr>
              <w:t xml:space="preserve"> </w:t>
            </w:r>
            <w:r w:rsidR="001E4FDA" w:rsidRPr="00CF3673">
              <w:rPr>
                <w:lang w:val="pt-PT"/>
              </w:rPr>
              <w:t>de</w:t>
            </w:r>
            <w:r w:rsidRPr="00CF3673">
              <w:rPr>
                <w:lang w:val="pt-PT"/>
              </w:rPr>
              <w:t xml:space="preserve"> observa</w:t>
            </w:r>
            <w:r w:rsidR="001E4FDA" w:rsidRPr="00CF3673">
              <w:rPr>
                <w:lang w:val="pt-PT"/>
              </w:rPr>
              <w:t>ções</w:t>
            </w:r>
            <w:r w:rsidRPr="00CF3673">
              <w:rPr>
                <w:lang w:val="pt-PT"/>
              </w:rPr>
              <w:t>: 22.</w:t>
            </w:r>
          </w:p>
        </w:tc>
      </w:tr>
      <w:tr w:rsidR="009B4A16" w:rsidRPr="00CF3673" w:rsidTr="00F201FC">
        <w:trPr>
          <w:cnfStyle w:val="010000000000" w:firstRow="0" w:lastRow="1" w:firstColumn="0" w:lastColumn="0" w:oddVBand="0" w:evenVBand="0" w:oddHBand="0" w:evenHBand="0" w:firstRowFirstColumn="0" w:firstRowLastColumn="0" w:lastRowFirstColumn="0" w:lastRowLastColumn="0"/>
          <w:trHeight w:val="300"/>
          <w:jc w:val="center"/>
        </w:trPr>
        <w:tc>
          <w:tcPr>
            <w:tcW w:w="6150" w:type="dxa"/>
            <w:gridSpan w:val="2"/>
            <w:tcBorders>
              <w:top w:val="nil"/>
              <w:bottom w:val="nil"/>
            </w:tcBorders>
            <w:noWrap/>
          </w:tcPr>
          <w:p w:rsidR="009B4A16" w:rsidRPr="00CF3673" w:rsidRDefault="006A4724" w:rsidP="001E4FDA">
            <w:pPr>
              <w:pStyle w:val="Tablenote"/>
              <w:rPr>
                <w:b/>
                <w:lang w:val="pt-PT"/>
              </w:rPr>
            </w:pPr>
            <w:r w:rsidRPr="00CF3673">
              <w:rPr>
                <w:b/>
                <w:lang w:val="pt-PT"/>
              </w:rPr>
              <w:t>Fonte:</w:t>
            </w:r>
            <w:r w:rsidR="009B4A16" w:rsidRPr="00CF3673">
              <w:rPr>
                <w:b/>
                <w:lang w:val="pt-PT"/>
              </w:rPr>
              <w:t>:</w:t>
            </w:r>
            <w:r w:rsidR="009B4A16" w:rsidRPr="00CF3673">
              <w:rPr>
                <w:lang w:val="pt-PT"/>
              </w:rPr>
              <w:t xml:space="preserve"> </w:t>
            </w:r>
            <w:r w:rsidRPr="00CF3673">
              <w:rPr>
                <w:lang w:val="pt-PT"/>
              </w:rPr>
              <w:t>Cálculos</w:t>
            </w:r>
            <w:r w:rsidR="001E4FDA" w:rsidRPr="00CF3673">
              <w:rPr>
                <w:lang w:val="pt-PT"/>
              </w:rPr>
              <w:t xml:space="preserve"> dos autores usando </w:t>
            </w:r>
            <w:r w:rsidR="009B4A16" w:rsidRPr="00CF3673">
              <w:rPr>
                <w:lang w:val="pt-PT"/>
              </w:rPr>
              <w:t>IIM 2012.</w:t>
            </w:r>
          </w:p>
        </w:tc>
      </w:tr>
    </w:tbl>
    <w:p w:rsidR="00633881" w:rsidRPr="00CF3673" w:rsidRDefault="00633881">
      <w:pPr>
        <w:rPr>
          <w:b/>
        </w:rPr>
      </w:pPr>
    </w:p>
    <w:p w:rsidR="0079099E" w:rsidRPr="00CF3673" w:rsidRDefault="00FA2B33" w:rsidP="0079099E">
      <w:pPr>
        <w:pStyle w:val="MainText"/>
        <w:rPr>
          <w:lang w:val="pt-PT"/>
        </w:rPr>
      </w:pPr>
      <w:r w:rsidRPr="00CF3673">
        <w:rPr>
          <w:lang w:val="pt-PT"/>
        </w:rPr>
        <w:t xml:space="preserve">7 </w:t>
      </w:r>
      <w:r w:rsidR="007D5D3B" w:rsidRPr="00CF3673">
        <w:rPr>
          <w:lang w:val="pt-PT"/>
        </w:rPr>
        <w:t>Empresas</w:t>
      </w:r>
      <w:r w:rsidRPr="00CF3673">
        <w:rPr>
          <w:lang w:val="pt-PT"/>
        </w:rPr>
        <w:t xml:space="preserve"> (ou</w:t>
      </w:r>
      <w:r w:rsidR="007D5D3B" w:rsidRPr="00CF3673">
        <w:rPr>
          <w:lang w:val="pt-PT"/>
        </w:rPr>
        <w:t xml:space="preserve"> seja</w:t>
      </w:r>
      <w:r w:rsidRPr="00CF3673">
        <w:rPr>
          <w:lang w:val="pt-PT"/>
        </w:rPr>
        <w:t xml:space="preserve"> 32% dos exportadores) exportaram 90% ou mais das suas produções. Quase 2/3 </w:t>
      </w:r>
      <w:r w:rsidR="003102DC" w:rsidRPr="00CF3673">
        <w:rPr>
          <w:lang w:val="pt-PT"/>
        </w:rPr>
        <w:t>receberam especificações, desenho ou material for produção de exportações, 27% receberam transferência</w:t>
      </w:r>
      <w:r w:rsidR="007D5D3B" w:rsidRPr="00CF3673">
        <w:rPr>
          <w:lang w:val="pt-PT"/>
        </w:rPr>
        <w:t>s</w:t>
      </w:r>
      <w:r w:rsidR="003102DC" w:rsidRPr="00CF3673">
        <w:rPr>
          <w:lang w:val="pt-PT"/>
        </w:rPr>
        <w:t xml:space="preserve"> de tecnologias dum comprador, e 68% dos exportadores tiveram certificado de origem. </w:t>
      </w:r>
      <w:r w:rsidR="007D5D3B" w:rsidRPr="00CF3673">
        <w:rPr>
          <w:lang w:val="pt-PT"/>
        </w:rPr>
        <w:t>1/3</w:t>
      </w:r>
      <w:r w:rsidR="003102DC" w:rsidRPr="00CF3673">
        <w:rPr>
          <w:lang w:val="pt-PT"/>
        </w:rPr>
        <w:t xml:space="preserve"> das empresas disseram a china é o importante destino das exportações enquanto </w:t>
      </w:r>
      <w:r w:rsidR="007D5D3B" w:rsidRPr="00CF3673">
        <w:rPr>
          <w:lang w:val="pt-PT"/>
        </w:rPr>
        <w:t xml:space="preserve">¼ </w:t>
      </w:r>
      <w:r w:rsidR="00E91C96" w:rsidRPr="00CF3673">
        <w:rPr>
          <w:lang w:val="pt-PT"/>
        </w:rPr>
        <w:t>indicaram a Africa do Sul. O resto das empresas indicaram que exportam para outros países africanos, uma indicou a India e apenas uma indicou um país europe</w:t>
      </w:r>
      <w:r w:rsidR="006A4724" w:rsidRPr="00CF3673">
        <w:rPr>
          <w:lang w:val="pt-PT"/>
        </w:rPr>
        <w:t>u</w:t>
      </w:r>
      <w:r w:rsidR="00E91C96" w:rsidRPr="00CF3673">
        <w:rPr>
          <w:lang w:val="pt-PT"/>
        </w:rPr>
        <w:t xml:space="preserve"> (Reino Unido). Mais ainda, os países destas manufacturas compram diferentes tipos de produtos. Como sugere a tabela 7.3, existe uma </w:t>
      </w:r>
      <w:r w:rsidR="0079099E" w:rsidRPr="00CF3673">
        <w:rPr>
          <w:lang w:val="pt-PT"/>
        </w:rPr>
        <w:t>característica</w:t>
      </w:r>
      <w:r w:rsidR="00E91C96" w:rsidRPr="00CF3673">
        <w:rPr>
          <w:lang w:val="pt-PT"/>
        </w:rPr>
        <w:t xml:space="preserve"> comum no sentido de que no sector do processamento da madeira para Asia enquanto os alimentos e os produtos</w:t>
      </w:r>
      <w:r w:rsidR="0079099E" w:rsidRPr="00CF3673">
        <w:rPr>
          <w:lang w:val="pt-PT"/>
        </w:rPr>
        <w:t xml:space="preserve"> fabricados de metal são exportados para os países vizinhos do continente africano.</w:t>
      </w:r>
    </w:p>
    <w:p w:rsidR="0079099E" w:rsidRPr="00CF3673" w:rsidRDefault="0079099E" w:rsidP="0021396C">
      <w:pPr>
        <w:pStyle w:val="MainText"/>
        <w:rPr>
          <w:lang w:val="pt-PT"/>
        </w:rPr>
      </w:pPr>
      <w:r w:rsidRPr="00CF3673">
        <w:rPr>
          <w:lang w:val="pt-PT"/>
        </w:rPr>
        <w:t xml:space="preserve">É um resultado comum na literatura que sugere que as empresas exportadoras são mais produtiva que as não exportadoras (veja por exemplo </w:t>
      </w:r>
      <w:proofErr w:type="spellStart"/>
      <w:r w:rsidRPr="00CF3673">
        <w:rPr>
          <w:lang w:val="pt-PT"/>
        </w:rPr>
        <w:t>Bigsten</w:t>
      </w:r>
      <w:proofErr w:type="spellEnd"/>
      <w:r w:rsidRPr="00CF3673">
        <w:rPr>
          <w:lang w:val="pt-PT"/>
        </w:rPr>
        <w:t xml:space="preserve"> </w:t>
      </w:r>
      <w:proofErr w:type="spellStart"/>
      <w:r w:rsidRPr="00CF3673">
        <w:rPr>
          <w:lang w:val="pt-PT"/>
        </w:rPr>
        <w:t>et</w:t>
      </w:r>
      <w:proofErr w:type="spellEnd"/>
      <w:r w:rsidRPr="00CF3673">
        <w:rPr>
          <w:lang w:val="pt-PT"/>
        </w:rPr>
        <w:t xml:space="preserve"> al,. 2004). Esta constatação é muitas vezes decomposta em dois diferentes efeitos: i) Empresas mais eficientes se auto-escolhem para a exportação e ii) as empresas se tornam mais eficientes com as exportações (o efeito “aprender exportando”). As empresas exportadoras nesta amostra tem maiores lucros por cada trabalhador do que as empresas não exportadoras e mas também experimentaram um alto nível de lucro por trabalhador, mas o resultando é baseado em poucas observações o que torna-se difícil tirar uma conclusão decisiva.</w:t>
      </w:r>
    </w:p>
    <w:p w:rsidR="001A7676" w:rsidRPr="00CF3673" w:rsidRDefault="006A4724" w:rsidP="00F41831">
      <w:pPr>
        <w:pStyle w:val="TableTitle"/>
        <w:rPr>
          <w:lang w:val="pt-PT"/>
        </w:rPr>
      </w:pPr>
      <w:bookmarkStart w:id="39" w:name="_Toc360720481"/>
      <w:r w:rsidRPr="00CF3673">
        <w:rPr>
          <w:lang w:val="pt-PT"/>
        </w:rPr>
        <w:t>Tabela</w:t>
      </w:r>
      <w:r w:rsidR="006D5241" w:rsidRPr="00CF3673">
        <w:rPr>
          <w:lang w:val="pt-PT"/>
        </w:rPr>
        <w:t xml:space="preserve"> </w:t>
      </w:r>
      <w:r w:rsidR="004D1585" w:rsidRPr="00CF3673">
        <w:rPr>
          <w:lang w:val="pt-PT"/>
        </w:rPr>
        <w:t>7</w:t>
      </w:r>
      <w:r w:rsidR="00215639" w:rsidRPr="00CF3673">
        <w:rPr>
          <w:lang w:val="pt-PT"/>
        </w:rPr>
        <w:t xml:space="preserve">.3: </w:t>
      </w:r>
      <w:r w:rsidR="001A7676" w:rsidRPr="00CF3673">
        <w:rPr>
          <w:lang w:val="pt-PT"/>
        </w:rPr>
        <w:t>Os sectores de exportação por destino das exportações e número das empresas</w:t>
      </w:r>
    </w:p>
    <w:bookmarkEnd w:id="39"/>
    <w:tbl>
      <w:tblPr>
        <w:tblStyle w:val="StandardTable"/>
        <w:tblW w:w="0" w:type="auto"/>
        <w:jc w:val="center"/>
        <w:tblLayout w:type="fixed"/>
        <w:tblLook w:val="04A0" w:firstRow="1" w:lastRow="0" w:firstColumn="1" w:lastColumn="0" w:noHBand="0" w:noVBand="1"/>
      </w:tblPr>
      <w:tblGrid>
        <w:gridCol w:w="2355"/>
        <w:gridCol w:w="424"/>
        <w:gridCol w:w="345"/>
        <w:gridCol w:w="345"/>
        <w:gridCol w:w="552"/>
        <w:gridCol w:w="799"/>
        <w:gridCol w:w="1501"/>
        <w:gridCol w:w="628"/>
      </w:tblGrid>
      <w:tr w:rsidR="003816D4" w:rsidRPr="00CF3673" w:rsidTr="006D4043">
        <w:trPr>
          <w:cnfStyle w:val="100000000000" w:firstRow="1" w:lastRow="0" w:firstColumn="0" w:lastColumn="0" w:oddVBand="0" w:evenVBand="0" w:oddHBand="0" w:evenHBand="0" w:firstRowFirstColumn="0" w:firstRowLastColumn="0" w:lastRowFirstColumn="0" w:lastRowLastColumn="0"/>
          <w:trHeight w:val="300"/>
          <w:jc w:val="center"/>
        </w:trPr>
        <w:tc>
          <w:tcPr>
            <w:tcW w:w="2355" w:type="dxa"/>
            <w:tcBorders>
              <w:bottom w:val="nil"/>
            </w:tcBorders>
            <w:noWrap/>
            <w:hideMark/>
          </w:tcPr>
          <w:p w:rsidR="003816D4" w:rsidRPr="00CF3673" w:rsidRDefault="003816D4" w:rsidP="006D5241">
            <w:pPr>
              <w:rPr>
                <w:rFonts w:ascii="Calibri" w:eastAsia="Times New Roman" w:hAnsi="Calibri" w:cs="Times New Roman"/>
                <w:color w:val="000000"/>
                <w:lang w:eastAsia="zh-CN"/>
              </w:rPr>
            </w:pPr>
          </w:p>
        </w:tc>
        <w:tc>
          <w:tcPr>
            <w:tcW w:w="769" w:type="dxa"/>
            <w:gridSpan w:val="2"/>
          </w:tcPr>
          <w:p w:rsidR="003816D4" w:rsidRPr="00CF3673" w:rsidRDefault="003816D4" w:rsidP="003816D4">
            <w:pPr>
              <w:rPr>
                <w:rFonts w:ascii="Calibri" w:eastAsia="Times New Roman" w:hAnsi="Calibri" w:cs="Times New Roman"/>
                <w:color w:val="000000"/>
                <w:lang w:eastAsia="zh-CN"/>
              </w:rPr>
            </w:pPr>
          </w:p>
        </w:tc>
        <w:tc>
          <w:tcPr>
            <w:tcW w:w="3825" w:type="dxa"/>
            <w:gridSpan w:val="5"/>
            <w:noWrap/>
            <w:hideMark/>
          </w:tcPr>
          <w:p w:rsidR="003816D4" w:rsidRPr="00CF3673" w:rsidRDefault="001A7676" w:rsidP="001A7676">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 xml:space="preserve">Destino das </w:t>
            </w:r>
            <w:r w:rsidR="003816D4" w:rsidRPr="00CF3673">
              <w:rPr>
                <w:rFonts w:ascii="Calibri" w:eastAsia="Times New Roman" w:hAnsi="Calibri" w:cs="Times New Roman"/>
                <w:color w:val="000000"/>
                <w:lang w:eastAsia="zh-CN"/>
              </w:rPr>
              <w:t>Export</w:t>
            </w:r>
            <w:r w:rsidRPr="00CF3673">
              <w:rPr>
                <w:rFonts w:ascii="Calibri" w:eastAsia="Times New Roman" w:hAnsi="Calibri" w:cs="Times New Roman"/>
                <w:color w:val="000000"/>
                <w:lang w:eastAsia="zh-CN"/>
              </w:rPr>
              <w:t xml:space="preserve">ações </w:t>
            </w:r>
          </w:p>
        </w:tc>
      </w:tr>
      <w:tr w:rsidR="003816D4" w:rsidRPr="00CF3673" w:rsidTr="006D4043">
        <w:trPr>
          <w:trHeight w:val="300"/>
          <w:jc w:val="center"/>
        </w:trPr>
        <w:tc>
          <w:tcPr>
            <w:tcW w:w="2355" w:type="dxa"/>
            <w:tcBorders>
              <w:top w:val="nil"/>
              <w:bottom w:val="single" w:sz="4" w:space="0" w:color="auto"/>
            </w:tcBorders>
            <w:noWrap/>
            <w:hideMark/>
          </w:tcPr>
          <w:p w:rsidR="003816D4" w:rsidRPr="00CF3673" w:rsidRDefault="003816D4" w:rsidP="006D5241">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Sector</w:t>
            </w:r>
          </w:p>
        </w:tc>
        <w:tc>
          <w:tcPr>
            <w:tcW w:w="424" w:type="dxa"/>
            <w:tcBorders>
              <w:top w:val="single" w:sz="4" w:space="0" w:color="auto"/>
              <w:bottom w:val="single" w:sz="4" w:space="0" w:color="auto"/>
            </w:tcBorders>
            <w:noWrap/>
            <w:hideMark/>
          </w:tcPr>
          <w:p w:rsidR="003816D4" w:rsidRPr="00CF3673" w:rsidRDefault="003816D4" w:rsidP="006D5241">
            <w:pPr>
              <w:jc w:val="right"/>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SA</w:t>
            </w:r>
          </w:p>
        </w:tc>
        <w:tc>
          <w:tcPr>
            <w:tcW w:w="690" w:type="dxa"/>
            <w:gridSpan w:val="2"/>
            <w:tcBorders>
              <w:top w:val="single" w:sz="4" w:space="0" w:color="auto"/>
              <w:bottom w:val="single" w:sz="4" w:space="0" w:color="auto"/>
            </w:tcBorders>
            <w:noWrap/>
            <w:hideMark/>
          </w:tcPr>
          <w:p w:rsidR="003816D4" w:rsidRPr="00CF3673" w:rsidRDefault="003816D4" w:rsidP="006D5241">
            <w:pPr>
              <w:jc w:val="right"/>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Africa</w:t>
            </w:r>
          </w:p>
        </w:tc>
        <w:tc>
          <w:tcPr>
            <w:tcW w:w="552" w:type="dxa"/>
            <w:tcBorders>
              <w:top w:val="single" w:sz="4" w:space="0" w:color="auto"/>
              <w:bottom w:val="single" w:sz="4" w:space="0" w:color="auto"/>
            </w:tcBorders>
            <w:noWrap/>
            <w:hideMark/>
          </w:tcPr>
          <w:p w:rsidR="003816D4" w:rsidRPr="00CF3673" w:rsidRDefault="003816D4" w:rsidP="006D5241">
            <w:pPr>
              <w:jc w:val="right"/>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Asia</w:t>
            </w:r>
          </w:p>
        </w:tc>
        <w:tc>
          <w:tcPr>
            <w:tcW w:w="799" w:type="dxa"/>
            <w:tcBorders>
              <w:top w:val="single" w:sz="4" w:space="0" w:color="auto"/>
              <w:bottom w:val="single" w:sz="4" w:space="0" w:color="auto"/>
            </w:tcBorders>
            <w:noWrap/>
            <w:hideMark/>
          </w:tcPr>
          <w:p w:rsidR="003816D4" w:rsidRPr="00CF3673" w:rsidRDefault="003816D4" w:rsidP="001A7676">
            <w:pPr>
              <w:jc w:val="right"/>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Europ</w:t>
            </w:r>
            <w:r w:rsidR="001A7676" w:rsidRPr="00CF3673">
              <w:rPr>
                <w:rFonts w:ascii="Calibri" w:eastAsia="Times New Roman" w:hAnsi="Calibri" w:cs="Times New Roman"/>
                <w:color w:val="000000"/>
                <w:lang w:eastAsia="zh-CN"/>
              </w:rPr>
              <w:t>a</w:t>
            </w:r>
          </w:p>
        </w:tc>
        <w:tc>
          <w:tcPr>
            <w:tcW w:w="1501" w:type="dxa"/>
            <w:tcBorders>
              <w:top w:val="single" w:sz="4" w:space="0" w:color="auto"/>
              <w:bottom w:val="single" w:sz="4" w:space="0" w:color="auto"/>
            </w:tcBorders>
          </w:tcPr>
          <w:p w:rsidR="003816D4" w:rsidRPr="00CF3673" w:rsidRDefault="001A7676" w:rsidP="001A7676">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Exportações Indirectas</w:t>
            </w:r>
          </w:p>
        </w:tc>
        <w:tc>
          <w:tcPr>
            <w:tcW w:w="628" w:type="dxa"/>
            <w:tcBorders>
              <w:top w:val="single" w:sz="4" w:space="0" w:color="auto"/>
              <w:bottom w:val="single" w:sz="4" w:space="0" w:color="auto"/>
            </w:tcBorders>
            <w:noWrap/>
            <w:hideMark/>
          </w:tcPr>
          <w:p w:rsidR="003816D4" w:rsidRPr="00CF3673" w:rsidRDefault="003816D4" w:rsidP="006D5241">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Total</w:t>
            </w:r>
          </w:p>
        </w:tc>
      </w:tr>
      <w:tr w:rsidR="003816D4" w:rsidRPr="00CF3673" w:rsidTr="006D4043">
        <w:trPr>
          <w:trHeight w:val="300"/>
          <w:jc w:val="center"/>
        </w:trPr>
        <w:tc>
          <w:tcPr>
            <w:tcW w:w="2355" w:type="dxa"/>
            <w:tcBorders>
              <w:top w:val="single" w:sz="4" w:space="0" w:color="auto"/>
            </w:tcBorders>
            <w:noWrap/>
            <w:hideMark/>
          </w:tcPr>
          <w:p w:rsidR="003816D4" w:rsidRPr="00CF3673" w:rsidRDefault="001A7676" w:rsidP="001A7676">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Alimentação e Bebidas</w:t>
            </w:r>
          </w:p>
        </w:tc>
        <w:tc>
          <w:tcPr>
            <w:tcW w:w="424" w:type="dxa"/>
            <w:tcBorders>
              <w:top w:val="sing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w:t>
            </w:r>
          </w:p>
        </w:tc>
        <w:tc>
          <w:tcPr>
            <w:tcW w:w="690" w:type="dxa"/>
            <w:gridSpan w:val="2"/>
            <w:tcBorders>
              <w:top w:val="sing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w:t>
            </w:r>
          </w:p>
        </w:tc>
        <w:tc>
          <w:tcPr>
            <w:tcW w:w="552" w:type="dxa"/>
            <w:tcBorders>
              <w:top w:val="sing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w:t>
            </w:r>
          </w:p>
        </w:tc>
        <w:tc>
          <w:tcPr>
            <w:tcW w:w="799" w:type="dxa"/>
            <w:tcBorders>
              <w:top w:val="sing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w:t>
            </w:r>
          </w:p>
        </w:tc>
        <w:tc>
          <w:tcPr>
            <w:tcW w:w="1501" w:type="dxa"/>
            <w:tcBorders>
              <w:top w:val="single" w:sz="4" w:space="0" w:color="auto"/>
            </w:tcBorders>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w:t>
            </w:r>
          </w:p>
        </w:tc>
        <w:tc>
          <w:tcPr>
            <w:tcW w:w="628" w:type="dxa"/>
            <w:tcBorders>
              <w:top w:val="sing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5</w:t>
            </w:r>
          </w:p>
        </w:tc>
      </w:tr>
      <w:tr w:rsidR="003816D4" w:rsidRPr="00CF3673" w:rsidTr="006D4043">
        <w:trPr>
          <w:trHeight w:val="300"/>
          <w:jc w:val="center"/>
        </w:trPr>
        <w:tc>
          <w:tcPr>
            <w:tcW w:w="2355" w:type="dxa"/>
            <w:noWrap/>
            <w:hideMark/>
          </w:tcPr>
          <w:p w:rsidR="003816D4" w:rsidRPr="00CF3673" w:rsidRDefault="006A4724" w:rsidP="001A7676">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Têxteis</w:t>
            </w:r>
          </w:p>
        </w:tc>
        <w:tc>
          <w:tcPr>
            <w:tcW w:w="424" w:type="dxa"/>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w:t>
            </w:r>
          </w:p>
        </w:tc>
        <w:tc>
          <w:tcPr>
            <w:tcW w:w="690" w:type="dxa"/>
            <w:gridSpan w:val="2"/>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w:t>
            </w:r>
          </w:p>
        </w:tc>
        <w:tc>
          <w:tcPr>
            <w:tcW w:w="552" w:type="dxa"/>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w:t>
            </w:r>
          </w:p>
        </w:tc>
        <w:tc>
          <w:tcPr>
            <w:tcW w:w="799" w:type="dxa"/>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w:t>
            </w:r>
          </w:p>
        </w:tc>
        <w:tc>
          <w:tcPr>
            <w:tcW w:w="1501" w:type="dxa"/>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w:t>
            </w:r>
          </w:p>
        </w:tc>
        <w:tc>
          <w:tcPr>
            <w:tcW w:w="628" w:type="dxa"/>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3</w:t>
            </w:r>
          </w:p>
        </w:tc>
      </w:tr>
      <w:tr w:rsidR="003816D4" w:rsidRPr="00CF3673" w:rsidTr="006D4043">
        <w:trPr>
          <w:trHeight w:val="300"/>
          <w:jc w:val="center"/>
        </w:trPr>
        <w:tc>
          <w:tcPr>
            <w:tcW w:w="2355" w:type="dxa"/>
            <w:noWrap/>
            <w:hideMark/>
          </w:tcPr>
          <w:p w:rsidR="003816D4" w:rsidRPr="00CF3673" w:rsidRDefault="001A7676" w:rsidP="006D5241">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Madeira</w:t>
            </w:r>
          </w:p>
        </w:tc>
        <w:tc>
          <w:tcPr>
            <w:tcW w:w="424" w:type="dxa"/>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w:t>
            </w:r>
          </w:p>
        </w:tc>
        <w:tc>
          <w:tcPr>
            <w:tcW w:w="690" w:type="dxa"/>
            <w:gridSpan w:val="2"/>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w:t>
            </w:r>
          </w:p>
        </w:tc>
        <w:tc>
          <w:tcPr>
            <w:tcW w:w="552" w:type="dxa"/>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4</w:t>
            </w:r>
          </w:p>
        </w:tc>
        <w:tc>
          <w:tcPr>
            <w:tcW w:w="799" w:type="dxa"/>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w:t>
            </w:r>
          </w:p>
        </w:tc>
        <w:tc>
          <w:tcPr>
            <w:tcW w:w="1501" w:type="dxa"/>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w:t>
            </w:r>
          </w:p>
        </w:tc>
        <w:tc>
          <w:tcPr>
            <w:tcW w:w="628" w:type="dxa"/>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5</w:t>
            </w:r>
          </w:p>
        </w:tc>
      </w:tr>
      <w:tr w:rsidR="003816D4" w:rsidRPr="00CF3673" w:rsidTr="006D4043">
        <w:trPr>
          <w:trHeight w:val="300"/>
          <w:jc w:val="center"/>
        </w:trPr>
        <w:tc>
          <w:tcPr>
            <w:tcW w:w="2355" w:type="dxa"/>
            <w:tcBorders>
              <w:bottom w:val="nil"/>
            </w:tcBorders>
            <w:noWrap/>
            <w:hideMark/>
          </w:tcPr>
          <w:p w:rsidR="003816D4" w:rsidRPr="00CF3673" w:rsidRDefault="001A7676" w:rsidP="001A7676">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Produtos f</w:t>
            </w:r>
            <w:r w:rsidR="003816D4" w:rsidRPr="00CF3673">
              <w:rPr>
                <w:rFonts w:ascii="Calibri" w:eastAsia="Times New Roman" w:hAnsi="Calibri" w:cs="Times New Roman"/>
                <w:color w:val="000000"/>
                <w:lang w:eastAsia="zh-CN"/>
              </w:rPr>
              <w:t>abric</w:t>
            </w:r>
            <w:r w:rsidRPr="00CF3673">
              <w:rPr>
                <w:rFonts w:ascii="Calibri" w:eastAsia="Times New Roman" w:hAnsi="Calibri" w:cs="Times New Roman"/>
                <w:color w:val="000000"/>
                <w:lang w:eastAsia="zh-CN"/>
              </w:rPr>
              <w:t>ados de metal</w:t>
            </w:r>
          </w:p>
        </w:tc>
        <w:tc>
          <w:tcPr>
            <w:tcW w:w="424" w:type="dxa"/>
            <w:tcBorders>
              <w:bottom w:val="nil"/>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w:t>
            </w:r>
          </w:p>
        </w:tc>
        <w:tc>
          <w:tcPr>
            <w:tcW w:w="690" w:type="dxa"/>
            <w:gridSpan w:val="2"/>
            <w:tcBorders>
              <w:bottom w:val="nil"/>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w:t>
            </w:r>
          </w:p>
        </w:tc>
        <w:tc>
          <w:tcPr>
            <w:tcW w:w="552" w:type="dxa"/>
            <w:tcBorders>
              <w:bottom w:val="nil"/>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w:t>
            </w:r>
          </w:p>
        </w:tc>
        <w:tc>
          <w:tcPr>
            <w:tcW w:w="799" w:type="dxa"/>
            <w:tcBorders>
              <w:bottom w:val="nil"/>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w:t>
            </w:r>
          </w:p>
        </w:tc>
        <w:tc>
          <w:tcPr>
            <w:tcW w:w="1501" w:type="dxa"/>
            <w:tcBorders>
              <w:bottom w:val="nil"/>
            </w:tcBorders>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w:t>
            </w:r>
          </w:p>
        </w:tc>
        <w:tc>
          <w:tcPr>
            <w:tcW w:w="628" w:type="dxa"/>
            <w:tcBorders>
              <w:bottom w:val="nil"/>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5</w:t>
            </w:r>
          </w:p>
        </w:tc>
      </w:tr>
      <w:tr w:rsidR="003816D4" w:rsidRPr="00CF3673" w:rsidTr="006D4043">
        <w:trPr>
          <w:trHeight w:val="300"/>
          <w:jc w:val="center"/>
        </w:trPr>
        <w:tc>
          <w:tcPr>
            <w:tcW w:w="2355" w:type="dxa"/>
            <w:tcBorders>
              <w:top w:val="nil"/>
              <w:bottom w:val="single" w:sz="4" w:space="0" w:color="auto"/>
            </w:tcBorders>
            <w:noWrap/>
            <w:hideMark/>
          </w:tcPr>
          <w:p w:rsidR="003816D4" w:rsidRPr="00CF3673" w:rsidRDefault="001A7676" w:rsidP="006D5241">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Outro</w:t>
            </w:r>
          </w:p>
        </w:tc>
        <w:tc>
          <w:tcPr>
            <w:tcW w:w="424" w:type="dxa"/>
            <w:tcBorders>
              <w:top w:val="nil"/>
              <w:bottom w:val="sing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w:t>
            </w:r>
          </w:p>
        </w:tc>
        <w:tc>
          <w:tcPr>
            <w:tcW w:w="690" w:type="dxa"/>
            <w:gridSpan w:val="2"/>
            <w:tcBorders>
              <w:top w:val="nil"/>
              <w:bottom w:val="sing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w:t>
            </w:r>
          </w:p>
        </w:tc>
        <w:tc>
          <w:tcPr>
            <w:tcW w:w="552" w:type="dxa"/>
            <w:tcBorders>
              <w:top w:val="nil"/>
              <w:bottom w:val="sing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w:t>
            </w:r>
          </w:p>
        </w:tc>
        <w:tc>
          <w:tcPr>
            <w:tcW w:w="799" w:type="dxa"/>
            <w:tcBorders>
              <w:top w:val="nil"/>
              <w:bottom w:val="sing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0</w:t>
            </w:r>
          </w:p>
        </w:tc>
        <w:tc>
          <w:tcPr>
            <w:tcW w:w="1501" w:type="dxa"/>
            <w:tcBorders>
              <w:top w:val="nil"/>
              <w:bottom w:val="single" w:sz="4" w:space="0" w:color="auto"/>
            </w:tcBorders>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w:t>
            </w:r>
          </w:p>
        </w:tc>
        <w:tc>
          <w:tcPr>
            <w:tcW w:w="628" w:type="dxa"/>
            <w:tcBorders>
              <w:top w:val="nil"/>
              <w:bottom w:val="sing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4</w:t>
            </w:r>
          </w:p>
        </w:tc>
      </w:tr>
      <w:tr w:rsidR="003816D4" w:rsidRPr="00CF3673" w:rsidTr="006D4043">
        <w:trPr>
          <w:trHeight w:val="300"/>
          <w:jc w:val="center"/>
        </w:trPr>
        <w:tc>
          <w:tcPr>
            <w:tcW w:w="2355" w:type="dxa"/>
            <w:tcBorders>
              <w:top w:val="single" w:sz="4" w:space="0" w:color="auto"/>
              <w:bottom w:val="double" w:sz="4" w:space="0" w:color="auto"/>
            </w:tcBorders>
            <w:noWrap/>
            <w:hideMark/>
          </w:tcPr>
          <w:p w:rsidR="003816D4" w:rsidRPr="00CF3673" w:rsidRDefault="003816D4" w:rsidP="006D5241">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Total</w:t>
            </w:r>
          </w:p>
        </w:tc>
        <w:tc>
          <w:tcPr>
            <w:tcW w:w="424" w:type="dxa"/>
            <w:tcBorders>
              <w:top w:val="single" w:sz="4" w:space="0" w:color="auto"/>
              <w:bottom w:val="doub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4</w:t>
            </w:r>
          </w:p>
        </w:tc>
        <w:tc>
          <w:tcPr>
            <w:tcW w:w="690" w:type="dxa"/>
            <w:gridSpan w:val="2"/>
            <w:tcBorders>
              <w:top w:val="single" w:sz="4" w:space="0" w:color="auto"/>
              <w:bottom w:val="doub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4</w:t>
            </w:r>
          </w:p>
        </w:tc>
        <w:tc>
          <w:tcPr>
            <w:tcW w:w="552" w:type="dxa"/>
            <w:tcBorders>
              <w:top w:val="single" w:sz="4" w:space="0" w:color="auto"/>
              <w:bottom w:val="doub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6</w:t>
            </w:r>
          </w:p>
        </w:tc>
        <w:tc>
          <w:tcPr>
            <w:tcW w:w="799" w:type="dxa"/>
            <w:tcBorders>
              <w:top w:val="single" w:sz="4" w:space="0" w:color="auto"/>
              <w:bottom w:val="doub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1</w:t>
            </w:r>
          </w:p>
        </w:tc>
        <w:tc>
          <w:tcPr>
            <w:tcW w:w="1501" w:type="dxa"/>
            <w:tcBorders>
              <w:top w:val="single" w:sz="4" w:space="0" w:color="auto"/>
              <w:bottom w:val="double" w:sz="4" w:space="0" w:color="auto"/>
            </w:tcBorders>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7</w:t>
            </w:r>
          </w:p>
        </w:tc>
        <w:tc>
          <w:tcPr>
            <w:tcW w:w="628" w:type="dxa"/>
            <w:tcBorders>
              <w:top w:val="single" w:sz="4" w:space="0" w:color="auto"/>
              <w:bottom w:val="double" w:sz="4" w:space="0" w:color="auto"/>
            </w:tcBorders>
            <w:noWrap/>
            <w:hideMark/>
          </w:tcPr>
          <w:p w:rsidR="003816D4" w:rsidRPr="00CF3673" w:rsidRDefault="003816D4" w:rsidP="003816D4">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22</w:t>
            </w:r>
          </w:p>
        </w:tc>
      </w:tr>
      <w:tr w:rsidR="006D4043" w:rsidRPr="00CF3673" w:rsidTr="006D4043">
        <w:trPr>
          <w:trHeight w:val="300"/>
          <w:jc w:val="center"/>
        </w:trPr>
        <w:tc>
          <w:tcPr>
            <w:tcW w:w="6949" w:type="dxa"/>
            <w:gridSpan w:val="8"/>
            <w:tcBorders>
              <w:top w:val="double" w:sz="4" w:space="0" w:color="auto"/>
              <w:bottom w:val="nil"/>
            </w:tcBorders>
            <w:noWrap/>
          </w:tcPr>
          <w:p w:rsidR="006D4043" w:rsidRPr="00CF3673" w:rsidRDefault="00AA6904" w:rsidP="001A7676">
            <w:pPr>
              <w:pStyle w:val="Tablenote"/>
              <w:rPr>
                <w:b/>
                <w:lang w:val="pt-PT"/>
              </w:rPr>
            </w:pPr>
            <w:r w:rsidRPr="00CF3673">
              <w:rPr>
                <w:b/>
                <w:lang w:val="pt-PT"/>
              </w:rPr>
              <w:t>Nota</w:t>
            </w:r>
            <w:r w:rsidR="006D4043" w:rsidRPr="00CF3673">
              <w:rPr>
                <w:b/>
                <w:lang w:val="pt-PT"/>
              </w:rPr>
              <w:t>:</w:t>
            </w:r>
            <w:r w:rsidR="006D4043" w:rsidRPr="00CF3673">
              <w:rPr>
                <w:lang w:val="pt-PT"/>
              </w:rPr>
              <w:t xml:space="preserve"> </w:t>
            </w:r>
            <w:r w:rsidR="001A7676" w:rsidRPr="00CF3673">
              <w:rPr>
                <w:lang w:val="pt-PT"/>
              </w:rPr>
              <w:t xml:space="preserve">7 empresas exportaram indirectamente, e como tal não </w:t>
            </w:r>
            <w:r w:rsidR="006A4724" w:rsidRPr="00CF3673">
              <w:rPr>
                <w:lang w:val="pt-PT"/>
              </w:rPr>
              <w:t>poderão</w:t>
            </w:r>
            <w:r w:rsidR="001A7676" w:rsidRPr="00CF3673">
              <w:rPr>
                <w:lang w:val="pt-PT"/>
              </w:rPr>
              <w:t xml:space="preserve"> indicar o principal destino das exportações</w:t>
            </w:r>
            <w:r w:rsidR="006D4043" w:rsidRPr="00CF3673">
              <w:rPr>
                <w:lang w:val="pt-PT"/>
              </w:rPr>
              <w:t>.</w:t>
            </w:r>
          </w:p>
        </w:tc>
      </w:tr>
      <w:tr w:rsidR="006D4043" w:rsidRPr="00CF3673" w:rsidTr="006D4043">
        <w:trPr>
          <w:trHeight w:val="300"/>
          <w:jc w:val="center"/>
        </w:trPr>
        <w:tc>
          <w:tcPr>
            <w:tcW w:w="6949" w:type="dxa"/>
            <w:gridSpan w:val="8"/>
            <w:tcBorders>
              <w:top w:val="nil"/>
              <w:bottom w:val="nil"/>
            </w:tcBorders>
            <w:noWrap/>
          </w:tcPr>
          <w:p w:rsidR="006D4043" w:rsidRPr="00CF3673" w:rsidRDefault="001A7676" w:rsidP="00AA6904">
            <w:pPr>
              <w:pStyle w:val="Tablenote"/>
              <w:rPr>
                <w:b/>
                <w:lang w:val="pt-PT"/>
              </w:rPr>
            </w:pPr>
            <w:r w:rsidRPr="00CF3673">
              <w:rPr>
                <w:b/>
                <w:lang w:val="pt-PT"/>
              </w:rPr>
              <w:t>Fonte</w:t>
            </w:r>
            <w:r w:rsidR="006D4043" w:rsidRPr="00CF3673">
              <w:rPr>
                <w:b/>
                <w:lang w:val="pt-PT"/>
              </w:rPr>
              <w:t>:</w:t>
            </w:r>
            <w:r w:rsidR="006D4043" w:rsidRPr="00CF3673">
              <w:rPr>
                <w:lang w:val="pt-PT"/>
              </w:rPr>
              <w:t xml:space="preserve"> </w:t>
            </w:r>
            <w:r w:rsidR="006A4724" w:rsidRPr="00CF3673">
              <w:rPr>
                <w:lang w:val="pt-PT"/>
              </w:rPr>
              <w:t>Cálculos</w:t>
            </w:r>
            <w:r w:rsidR="00AA6904" w:rsidRPr="00CF3673">
              <w:rPr>
                <w:lang w:val="pt-PT"/>
              </w:rPr>
              <w:t xml:space="preserve"> com base no </w:t>
            </w:r>
            <w:r w:rsidR="006D4043" w:rsidRPr="00CF3673">
              <w:rPr>
                <w:lang w:val="pt-PT"/>
              </w:rPr>
              <w:t>IIM 2012.</w:t>
            </w:r>
          </w:p>
        </w:tc>
      </w:tr>
    </w:tbl>
    <w:p w:rsidR="00372EED" w:rsidRPr="00CF3673" w:rsidRDefault="00372EED" w:rsidP="00D9270B"/>
    <w:p w:rsidR="00AA6904" w:rsidRPr="00CF3673" w:rsidRDefault="00AA6904" w:rsidP="00633881">
      <w:pPr>
        <w:pStyle w:val="MainText"/>
        <w:rPr>
          <w:lang w:val="pt-PT"/>
        </w:rPr>
      </w:pPr>
    </w:p>
    <w:p w:rsidR="00AA6904" w:rsidRPr="00CF3673" w:rsidRDefault="00AA6904" w:rsidP="00633881">
      <w:pPr>
        <w:pStyle w:val="MainText"/>
        <w:rPr>
          <w:lang w:val="pt-PT"/>
        </w:rPr>
      </w:pPr>
      <w:r w:rsidRPr="00CF3673">
        <w:rPr>
          <w:lang w:val="pt-PT"/>
        </w:rPr>
        <w:t xml:space="preserve">Relativamente ao crescimento do emprego, na nossa amostra as empresas exportadoras não diferem tanto das empresas não exportadoras; no período 2009-2011, as medias empresas não exportadoras tiveram uma média de crescimento de 6% enquanto as </w:t>
      </w:r>
      <w:r w:rsidR="000B11B9" w:rsidRPr="00CF3673">
        <w:rPr>
          <w:lang w:val="pt-PT"/>
        </w:rPr>
        <w:t>medias empresas exportadoras tiveram uma média de crescimento de exportações de 0%. Esta imagem não altera qualitativamente se se considerar o período de 2006-2011.</w:t>
      </w:r>
    </w:p>
    <w:p w:rsidR="000B11B9" w:rsidRPr="00CF3673" w:rsidRDefault="00EA588E" w:rsidP="00633881">
      <w:pPr>
        <w:pStyle w:val="MainText"/>
        <w:rPr>
          <w:lang w:val="pt-PT"/>
        </w:rPr>
      </w:pPr>
      <w:r w:rsidRPr="00CF3673">
        <w:rPr>
          <w:lang w:val="pt-PT"/>
        </w:rPr>
        <w:t xml:space="preserve">Como se explica que poucas empresas manufactureiras exportem dado o efeito positivo que nos exportadores? Em primeiro lugar, as exportações podem não ser parte da </w:t>
      </w:r>
      <w:r w:rsidR="006A4724" w:rsidRPr="00CF3673">
        <w:rPr>
          <w:lang w:val="pt-PT"/>
        </w:rPr>
        <w:t>estratégia</w:t>
      </w:r>
      <w:r w:rsidRPr="00CF3673">
        <w:rPr>
          <w:lang w:val="pt-PT"/>
        </w:rPr>
        <w:t xml:space="preserve"> das empresas. Se as empresas estão orientadas para o mercado local, especialmente se os seus produtos apropriados para ser transportados (pão </w:t>
      </w:r>
      <w:r w:rsidR="006A4724" w:rsidRPr="00CF3673">
        <w:rPr>
          <w:lang w:val="pt-PT"/>
        </w:rPr>
        <w:t>perecido</w:t>
      </w:r>
      <w:r w:rsidRPr="00CF3673">
        <w:rPr>
          <w:lang w:val="pt-PT"/>
        </w:rPr>
        <w:t xml:space="preserve">, tijolos pesados), as exportações podem a partida estar fora da mesa. Para 67% das empresas na amostra, não exportar é uma </w:t>
      </w:r>
      <w:r w:rsidR="006A4724" w:rsidRPr="00CF3673">
        <w:rPr>
          <w:lang w:val="pt-PT"/>
        </w:rPr>
        <w:t>estratégia</w:t>
      </w:r>
      <w:r w:rsidRPr="00CF3673">
        <w:rPr>
          <w:lang w:val="pt-PT"/>
        </w:rPr>
        <w:t xml:space="preserve"> deliberada. Esta percentagem não difere tanto para as empresas de diferentes tamanhos. </w:t>
      </w:r>
      <w:r w:rsidR="005F13F8" w:rsidRPr="00CF3673">
        <w:rPr>
          <w:lang w:val="pt-PT"/>
        </w:rPr>
        <w:t xml:space="preserve">Contudo, existe uma variação significativa ao longo das cidades, como pode se notar na figura 7.2. Em Nacala, </w:t>
      </w:r>
      <w:proofErr w:type="spellStart"/>
      <w:r w:rsidR="005F13F8" w:rsidRPr="00CF3673">
        <w:rPr>
          <w:lang w:val="pt-PT"/>
        </w:rPr>
        <w:t>Xai-Xai</w:t>
      </w:r>
      <w:proofErr w:type="spellEnd"/>
      <w:r w:rsidR="005F13F8" w:rsidRPr="00CF3673">
        <w:rPr>
          <w:lang w:val="pt-PT"/>
        </w:rPr>
        <w:t xml:space="preserve"> e </w:t>
      </w:r>
      <w:proofErr w:type="spellStart"/>
      <w:r w:rsidR="006A4724" w:rsidRPr="00CF3673">
        <w:rPr>
          <w:lang w:val="pt-PT"/>
        </w:rPr>
        <w:t>Chókwe</w:t>
      </w:r>
      <w:proofErr w:type="spellEnd"/>
      <w:r w:rsidR="005F13F8" w:rsidRPr="00CF3673">
        <w:rPr>
          <w:lang w:val="pt-PT"/>
        </w:rPr>
        <w:t xml:space="preserve">, praticamente todas empresas não exportadoras não consideram a exportação como parte da sua </w:t>
      </w:r>
      <w:r w:rsidR="006A4724" w:rsidRPr="00CF3673">
        <w:rPr>
          <w:lang w:val="pt-PT"/>
        </w:rPr>
        <w:t>estratégia</w:t>
      </w:r>
      <w:r w:rsidR="005F13F8" w:rsidRPr="00CF3673">
        <w:rPr>
          <w:lang w:val="pt-PT"/>
        </w:rPr>
        <w:t xml:space="preserve">, notando que o actual potencial de exportação não explorado tem a ver com os procedimentos actuais. Em outras cidades incluindo as quatro grandes cidades (Maputo, Matola, Beira e Nampula), existe um enorme potencial </w:t>
      </w:r>
      <w:r w:rsidR="00FA493E" w:rsidRPr="00CF3673">
        <w:rPr>
          <w:lang w:val="pt-PT"/>
        </w:rPr>
        <w:t xml:space="preserve">inexplorado (as empresas não exploradoras indicam que a razão para não exportarem é o facto de tal não ser parte da </w:t>
      </w:r>
      <w:r w:rsidR="006A4724" w:rsidRPr="00CF3673">
        <w:rPr>
          <w:lang w:val="pt-PT"/>
        </w:rPr>
        <w:t>estratégia</w:t>
      </w:r>
      <w:r w:rsidR="00FA493E" w:rsidRPr="00CF3673">
        <w:rPr>
          <w:lang w:val="pt-PT"/>
        </w:rPr>
        <w:t xml:space="preserve"> da empresa)</w:t>
      </w:r>
      <w:r w:rsidR="005F13F8" w:rsidRPr="00CF3673">
        <w:rPr>
          <w:lang w:val="pt-PT"/>
        </w:rPr>
        <w:t xml:space="preserve"> </w:t>
      </w:r>
    </w:p>
    <w:p w:rsidR="00EE4890" w:rsidRPr="00CF3673" w:rsidRDefault="00EE4890" w:rsidP="00F41831">
      <w:pPr>
        <w:pStyle w:val="FigureTitle"/>
        <w:rPr>
          <w:lang w:val="pt-PT"/>
        </w:rPr>
      </w:pPr>
      <w:bookmarkStart w:id="40" w:name="_Toc360720519"/>
      <w:r w:rsidRPr="00CF3673">
        <w:rPr>
          <w:lang w:val="pt-PT"/>
        </w:rPr>
        <w:t>Figur</w:t>
      </w:r>
      <w:r w:rsidR="00FA493E" w:rsidRPr="00CF3673">
        <w:rPr>
          <w:lang w:val="pt-PT"/>
        </w:rPr>
        <w:t>a</w:t>
      </w:r>
      <w:r w:rsidRPr="00CF3673">
        <w:rPr>
          <w:lang w:val="pt-PT"/>
        </w:rPr>
        <w:t xml:space="preserve"> </w:t>
      </w:r>
      <w:r w:rsidR="004D1585" w:rsidRPr="00CF3673">
        <w:rPr>
          <w:lang w:val="pt-PT"/>
        </w:rPr>
        <w:t>7</w:t>
      </w:r>
      <w:r w:rsidRPr="00CF3673">
        <w:rPr>
          <w:lang w:val="pt-PT"/>
        </w:rPr>
        <w:t>.</w:t>
      </w:r>
      <w:r w:rsidR="00F01103" w:rsidRPr="00CF3673">
        <w:rPr>
          <w:lang w:val="pt-PT"/>
        </w:rPr>
        <w:t>2</w:t>
      </w:r>
      <w:r w:rsidRPr="00CF3673">
        <w:rPr>
          <w:lang w:val="pt-PT"/>
        </w:rPr>
        <w:t xml:space="preserve">: </w:t>
      </w:r>
      <w:r w:rsidR="00FA493E" w:rsidRPr="00CF3673">
        <w:rPr>
          <w:lang w:val="pt-PT"/>
        </w:rPr>
        <w:t xml:space="preserve">Participação das </w:t>
      </w:r>
      <w:r w:rsidR="003A53A9" w:rsidRPr="00CF3673">
        <w:rPr>
          <w:lang w:val="pt-PT"/>
        </w:rPr>
        <w:t>empresas que</w:t>
      </w:r>
      <w:r w:rsidR="00FA493E" w:rsidRPr="00CF3673">
        <w:rPr>
          <w:lang w:val="pt-PT"/>
        </w:rPr>
        <w:t xml:space="preserve"> referem a exportação não é parte da sua </w:t>
      </w:r>
      <w:r w:rsidR="006A4724" w:rsidRPr="00CF3673">
        <w:rPr>
          <w:lang w:val="pt-PT"/>
        </w:rPr>
        <w:t>estratégia</w:t>
      </w:r>
      <w:r w:rsidR="007B25F0" w:rsidRPr="00CF3673">
        <w:rPr>
          <w:lang w:val="pt-PT"/>
        </w:rPr>
        <w:t xml:space="preserve">, </w:t>
      </w:r>
      <w:r w:rsidR="00FA493E" w:rsidRPr="00CF3673">
        <w:rPr>
          <w:lang w:val="pt-PT"/>
        </w:rPr>
        <w:t>% das não-</w:t>
      </w:r>
      <w:bookmarkEnd w:id="40"/>
      <w:r w:rsidR="006A4724" w:rsidRPr="00CF3673">
        <w:rPr>
          <w:lang w:val="pt-PT"/>
        </w:rPr>
        <w:t>exportadoras</w:t>
      </w:r>
    </w:p>
    <w:p w:rsidR="009E6474" w:rsidRPr="00CF3673" w:rsidRDefault="009E6474" w:rsidP="007B25F0">
      <w:pPr>
        <w:spacing w:after="0"/>
        <w:jc w:val="center"/>
      </w:pPr>
      <w:r w:rsidRPr="00CF3673">
        <w:rPr>
          <w:noProof/>
          <w:lang w:val="en-US"/>
        </w:rPr>
        <w:drawing>
          <wp:inline distT="0" distB="0" distL="0" distR="0" wp14:anchorId="6B4814EF" wp14:editId="4757FE19">
            <wp:extent cx="4572000" cy="274320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bl>
      <w:tblPr>
        <w:tblStyle w:val="SrensTable"/>
        <w:tblpPr w:leftFromText="141" w:rightFromText="141" w:vertAnchor="text" w:horzAnchor="page" w:tblpX="2355" w:tblpY="70"/>
        <w:tblW w:w="7479" w:type="dxa"/>
        <w:tblLook w:val="04A0" w:firstRow="1" w:lastRow="0" w:firstColumn="1" w:lastColumn="0" w:noHBand="0" w:noVBand="1"/>
      </w:tblPr>
      <w:tblGrid>
        <w:gridCol w:w="7479"/>
      </w:tblGrid>
      <w:tr w:rsidR="007B25F0" w:rsidRPr="00CF3673" w:rsidTr="00FA553A">
        <w:trPr>
          <w:trHeight w:val="387"/>
        </w:trPr>
        <w:tc>
          <w:tcPr>
            <w:tcW w:w="7479" w:type="dxa"/>
          </w:tcPr>
          <w:p w:rsidR="007B25F0" w:rsidRPr="00CF3673" w:rsidRDefault="007B25F0" w:rsidP="00FA493E">
            <w:pPr>
              <w:pStyle w:val="Tablenote"/>
              <w:rPr>
                <w:b/>
                <w:lang w:val="pt-PT"/>
              </w:rPr>
            </w:pPr>
            <w:r w:rsidRPr="00CF3673">
              <w:rPr>
                <w:b/>
                <w:lang w:val="pt-PT"/>
              </w:rPr>
              <w:lastRenderedPageBreak/>
              <w:t>Not</w:t>
            </w:r>
            <w:r w:rsidR="00FA493E" w:rsidRPr="00CF3673">
              <w:rPr>
                <w:b/>
                <w:lang w:val="pt-PT"/>
              </w:rPr>
              <w:t>a</w:t>
            </w:r>
            <w:r w:rsidRPr="00CF3673">
              <w:rPr>
                <w:b/>
                <w:lang w:val="pt-PT"/>
              </w:rPr>
              <w:t>:</w:t>
            </w:r>
            <w:r w:rsidRPr="00CF3673">
              <w:rPr>
                <w:lang w:val="pt-PT"/>
              </w:rPr>
              <w:t xml:space="preserve"> </w:t>
            </w:r>
            <w:r w:rsidR="00FA493E" w:rsidRPr="00CF3673">
              <w:rPr>
                <w:lang w:val="pt-PT"/>
              </w:rPr>
              <w:t>Apenas mostra empresas que não exportam</w:t>
            </w:r>
            <w:r w:rsidR="00FA553A" w:rsidRPr="00CF3673">
              <w:rPr>
                <w:lang w:val="pt-PT"/>
              </w:rPr>
              <w:t xml:space="preserve">. </w:t>
            </w:r>
            <w:r w:rsidR="00623A76" w:rsidRPr="00CF3673">
              <w:rPr>
                <w:lang w:val="pt-PT"/>
              </w:rPr>
              <w:t>Número</w:t>
            </w:r>
            <w:r w:rsidR="00FA493E" w:rsidRPr="00CF3673">
              <w:rPr>
                <w:lang w:val="pt-PT"/>
              </w:rPr>
              <w:t xml:space="preserve"> de observações</w:t>
            </w:r>
            <w:r w:rsidRPr="00CF3673">
              <w:rPr>
                <w:lang w:val="pt-PT"/>
              </w:rPr>
              <w:t>: 734 (</w:t>
            </w:r>
            <w:r w:rsidR="00FA493E" w:rsidRPr="00CF3673">
              <w:rPr>
                <w:lang w:val="pt-PT"/>
              </w:rPr>
              <w:t>5 em falta</w:t>
            </w:r>
            <w:r w:rsidRPr="00CF3673">
              <w:rPr>
                <w:lang w:val="pt-PT"/>
              </w:rPr>
              <w:t>).</w:t>
            </w:r>
          </w:p>
        </w:tc>
      </w:tr>
      <w:tr w:rsidR="007B25F0" w:rsidRPr="00CF3673" w:rsidTr="00FA553A">
        <w:trPr>
          <w:trHeight w:val="387"/>
        </w:trPr>
        <w:tc>
          <w:tcPr>
            <w:tcW w:w="7479" w:type="dxa"/>
          </w:tcPr>
          <w:p w:rsidR="007B25F0" w:rsidRPr="00CF3673" w:rsidRDefault="006A4724" w:rsidP="00FA493E">
            <w:pPr>
              <w:pStyle w:val="Tablenote"/>
              <w:rPr>
                <w:b/>
                <w:lang w:val="pt-PT"/>
              </w:rPr>
            </w:pPr>
            <w:r w:rsidRPr="00CF3673">
              <w:rPr>
                <w:b/>
                <w:lang w:val="pt-PT"/>
              </w:rPr>
              <w:t>Fonte:</w:t>
            </w:r>
            <w:r w:rsidR="007B25F0" w:rsidRPr="00CF3673">
              <w:rPr>
                <w:b/>
                <w:lang w:val="pt-PT"/>
              </w:rPr>
              <w:t>:</w:t>
            </w:r>
            <w:r w:rsidR="007B25F0" w:rsidRPr="00CF3673">
              <w:rPr>
                <w:lang w:val="pt-PT"/>
              </w:rPr>
              <w:t xml:space="preserve"> </w:t>
            </w:r>
            <w:r w:rsidRPr="00CF3673">
              <w:rPr>
                <w:lang w:val="pt-PT"/>
              </w:rPr>
              <w:t>Cálculos</w:t>
            </w:r>
            <w:r w:rsidR="00FA493E" w:rsidRPr="00CF3673">
              <w:rPr>
                <w:lang w:val="pt-PT"/>
              </w:rPr>
              <w:t xml:space="preserve"> dos autores com base no </w:t>
            </w:r>
            <w:r w:rsidR="007B25F0" w:rsidRPr="00CF3673">
              <w:rPr>
                <w:lang w:val="pt-PT"/>
              </w:rPr>
              <w:t>IIM 2012.</w:t>
            </w:r>
          </w:p>
        </w:tc>
      </w:tr>
    </w:tbl>
    <w:p w:rsidR="00ED2FC5" w:rsidRPr="00CF3673" w:rsidRDefault="00ED2FC5" w:rsidP="00A93F3A">
      <w:pPr>
        <w:pStyle w:val="Tablenote"/>
        <w:rPr>
          <w:lang w:val="pt-PT"/>
        </w:rPr>
      </w:pPr>
    </w:p>
    <w:p w:rsidR="007B25F0" w:rsidRPr="00CF3673" w:rsidRDefault="007B25F0" w:rsidP="001E664B">
      <w:pPr>
        <w:pStyle w:val="MainText"/>
        <w:rPr>
          <w:lang w:val="pt-PT"/>
        </w:rPr>
      </w:pPr>
    </w:p>
    <w:p w:rsidR="00A63612" w:rsidRPr="00CF3673" w:rsidRDefault="003A53A9" w:rsidP="00BC0ABE">
      <w:pPr>
        <w:pStyle w:val="MainText"/>
        <w:rPr>
          <w:lang w:val="pt-PT"/>
        </w:rPr>
      </w:pPr>
      <w:r w:rsidRPr="00CF3673">
        <w:rPr>
          <w:lang w:val="pt-PT"/>
        </w:rPr>
        <w:t xml:space="preserve">Para conhecer as empresas que gostariam de </w:t>
      </w:r>
      <w:r w:rsidR="006A4724" w:rsidRPr="00CF3673">
        <w:rPr>
          <w:lang w:val="pt-PT"/>
        </w:rPr>
        <w:t>exportar</w:t>
      </w:r>
      <w:r w:rsidRPr="00CF3673">
        <w:rPr>
          <w:lang w:val="pt-PT"/>
        </w:rPr>
        <w:t xml:space="preserve"> estão constrangidas em assim proceder, a tabela 7.4 considera as empresas que referem a exportação como n</w:t>
      </w:r>
      <w:r w:rsidRPr="00CF3673">
        <w:rPr>
          <w:lang w:val="pt-PT"/>
        </w:rPr>
        <w:tab/>
      </w:r>
      <w:proofErr w:type="spellStart"/>
      <w:r w:rsidRPr="00CF3673">
        <w:rPr>
          <w:lang w:val="pt-PT"/>
        </w:rPr>
        <w:t>ão</w:t>
      </w:r>
      <w:proofErr w:type="spellEnd"/>
      <w:r w:rsidRPr="00CF3673">
        <w:rPr>
          <w:lang w:val="pt-PT"/>
        </w:rPr>
        <w:t xml:space="preserve"> sendo parte da sua </w:t>
      </w:r>
      <w:r w:rsidR="006A4724" w:rsidRPr="00CF3673">
        <w:rPr>
          <w:lang w:val="pt-PT"/>
        </w:rPr>
        <w:t>estratégia</w:t>
      </w:r>
      <w:r w:rsidRPr="00CF3673">
        <w:rPr>
          <w:lang w:val="pt-PT"/>
        </w:rPr>
        <w:t xml:space="preserve">, alistando as razões </w:t>
      </w:r>
      <w:r w:rsidR="00BC0ABE" w:rsidRPr="00CF3673">
        <w:rPr>
          <w:lang w:val="pt-PT"/>
        </w:rPr>
        <w:t xml:space="preserve">dadas pela não </w:t>
      </w:r>
      <w:r w:rsidR="006A4724" w:rsidRPr="00CF3673">
        <w:rPr>
          <w:lang w:val="pt-PT"/>
        </w:rPr>
        <w:t>exportação</w:t>
      </w:r>
      <w:r w:rsidR="00BC0ABE" w:rsidRPr="00CF3673">
        <w:rPr>
          <w:lang w:val="pt-PT"/>
        </w:rPr>
        <w:t xml:space="preserve">. A falta de informação sobre potenciais mercados posiciona-se como principal e serio constrangimento para a maioria dos grupos, sugerindo a existência de </w:t>
      </w:r>
      <w:r w:rsidR="006A4724" w:rsidRPr="00CF3673">
        <w:rPr>
          <w:lang w:val="pt-PT"/>
        </w:rPr>
        <w:t>deficit</w:t>
      </w:r>
      <w:r w:rsidR="00BC0ABE" w:rsidRPr="00CF3673">
        <w:rPr>
          <w:lang w:val="pt-PT"/>
        </w:rPr>
        <w:t xml:space="preserve"> de informação para os potenciais exportadores </w:t>
      </w:r>
      <w:r w:rsidR="006A4724" w:rsidRPr="00CF3673">
        <w:rPr>
          <w:lang w:val="pt-PT"/>
        </w:rPr>
        <w:t>moçambicanos</w:t>
      </w:r>
      <w:r w:rsidR="00BC0ABE" w:rsidRPr="00CF3673">
        <w:rPr>
          <w:lang w:val="pt-PT"/>
        </w:rPr>
        <w:t xml:space="preserve">. Julgando pelo </w:t>
      </w:r>
      <w:r w:rsidR="00201409" w:rsidRPr="00CF3673">
        <w:rPr>
          <w:lang w:val="pt-PT"/>
        </w:rPr>
        <w:t>número</w:t>
      </w:r>
      <w:r w:rsidR="00BC0ABE" w:rsidRPr="00CF3673">
        <w:rPr>
          <w:lang w:val="pt-PT"/>
        </w:rPr>
        <w:t xml:space="preserve"> de empresas que indicaram </w:t>
      </w:r>
      <w:r w:rsidR="00201409" w:rsidRPr="00CF3673">
        <w:rPr>
          <w:lang w:val="pt-PT"/>
        </w:rPr>
        <w:t xml:space="preserve">esta como a razão para não exportar, este problema parece ter sido agravado desde 2006 (DNEAP, 2006). Este poderia ser o papel do Instituto para a promoção de exportações (IPEX). Com alguma </w:t>
      </w:r>
      <w:r w:rsidR="006A4724" w:rsidRPr="00CF3673">
        <w:rPr>
          <w:lang w:val="pt-PT"/>
        </w:rPr>
        <w:t>surpresa</w:t>
      </w:r>
      <w:r w:rsidR="00201409" w:rsidRPr="00CF3673">
        <w:rPr>
          <w:lang w:val="pt-PT"/>
        </w:rPr>
        <w:t xml:space="preserve">, as </w:t>
      </w:r>
      <w:r w:rsidR="006A4724" w:rsidRPr="00CF3673">
        <w:rPr>
          <w:lang w:val="pt-PT"/>
        </w:rPr>
        <w:t>microempresas</w:t>
      </w:r>
      <w:r w:rsidR="00201409" w:rsidRPr="00CF3673">
        <w:rPr>
          <w:lang w:val="pt-PT"/>
        </w:rPr>
        <w:t xml:space="preserve"> e empresas informais posiciona</w:t>
      </w:r>
      <w:r w:rsidR="00BA336C" w:rsidRPr="00CF3673">
        <w:rPr>
          <w:lang w:val="pt-PT"/>
        </w:rPr>
        <w:t xml:space="preserve">ram o elevado </w:t>
      </w:r>
      <w:r w:rsidR="006A4724" w:rsidRPr="00CF3673">
        <w:rPr>
          <w:lang w:val="pt-PT"/>
        </w:rPr>
        <w:t>padrão</w:t>
      </w:r>
      <w:r w:rsidR="00BA336C" w:rsidRPr="00CF3673">
        <w:rPr>
          <w:lang w:val="pt-PT"/>
        </w:rPr>
        <w:t xml:space="preserve"> de produtos como principal constrangimento, sugerindo que estas empresas são improváveis exportadores num futuro próximo. As media-empresas e as empresas detidas por estrangeiros estão constrangidas sobretudo </w:t>
      </w:r>
      <w:r w:rsidR="00945881" w:rsidRPr="00CF3673">
        <w:rPr>
          <w:lang w:val="pt-PT"/>
        </w:rPr>
        <w:t>com</w:t>
      </w:r>
      <w:r w:rsidR="00BA336C" w:rsidRPr="00CF3673">
        <w:rPr>
          <w:lang w:val="pt-PT"/>
        </w:rPr>
        <w:t xml:space="preserve"> elevado custo de estabelecer canais de distribuição, que se reflectem nos elevados custos de transacção. Altas tarifas e as barreiras não-tarifarias constituem o principal constrangimento das medias-empresas o que poderia significar preocupação a volta da competitividade.</w:t>
      </w:r>
    </w:p>
    <w:p w:rsidR="00BC62F3" w:rsidRPr="00CF3673" w:rsidRDefault="00E333A2" w:rsidP="00F41831">
      <w:pPr>
        <w:pStyle w:val="TableTitle"/>
        <w:rPr>
          <w:lang w:val="pt-PT"/>
        </w:rPr>
      </w:pPr>
      <w:bookmarkStart w:id="41" w:name="_Toc360720482"/>
      <w:r w:rsidRPr="00CF3673">
        <w:rPr>
          <w:lang w:val="pt-PT"/>
        </w:rPr>
        <w:t>Tab</w:t>
      </w:r>
      <w:r w:rsidR="00945881" w:rsidRPr="00CF3673">
        <w:rPr>
          <w:lang w:val="pt-PT"/>
        </w:rPr>
        <w:t>ela</w:t>
      </w:r>
      <w:r w:rsidR="00BC62F3" w:rsidRPr="00CF3673">
        <w:rPr>
          <w:lang w:val="pt-PT"/>
        </w:rPr>
        <w:t xml:space="preserve"> </w:t>
      </w:r>
      <w:r w:rsidR="004D1585" w:rsidRPr="00CF3673">
        <w:rPr>
          <w:lang w:val="pt-PT"/>
        </w:rPr>
        <w:t>7</w:t>
      </w:r>
      <w:r w:rsidR="00BC62F3" w:rsidRPr="00CF3673">
        <w:rPr>
          <w:lang w:val="pt-PT"/>
        </w:rPr>
        <w:t>.</w:t>
      </w:r>
      <w:r w:rsidR="007B25F0" w:rsidRPr="00CF3673">
        <w:rPr>
          <w:lang w:val="pt-PT"/>
        </w:rPr>
        <w:t>4</w:t>
      </w:r>
      <w:r w:rsidR="00215639" w:rsidRPr="00CF3673">
        <w:rPr>
          <w:lang w:val="pt-PT"/>
        </w:rPr>
        <w:t xml:space="preserve">: </w:t>
      </w:r>
      <w:r w:rsidR="00945881" w:rsidRPr="00CF3673">
        <w:rPr>
          <w:lang w:val="pt-PT"/>
        </w:rPr>
        <w:t xml:space="preserve">Razões para não </w:t>
      </w:r>
      <w:r w:rsidR="006A4724" w:rsidRPr="00CF3673">
        <w:rPr>
          <w:lang w:val="pt-PT"/>
        </w:rPr>
        <w:t>exportar</w:t>
      </w:r>
      <w:r w:rsidR="00945881" w:rsidRPr="00CF3673">
        <w:rPr>
          <w:lang w:val="pt-PT"/>
        </w:rPr>
        <w:t xml:space="preserve"> por tipo de empresa, %</w:t>
      </w:r>
      <w:r w:rsidR="00532F9B" w:rsidRPr="00CF3673">
        <w:rPr>
          <w:lang w:val="pt-PT"/>
        </w:rPr>
        <w:t>.</w:t>
      </w:r>
      <w:bookmarkEnd w:id="41"/>
    </w:p>
    <w:tbl>
      <w:tblPr>
        <w:tblStyle w:val="StandardTable"/>
        <w:tblW w:w="0" w:type="auto"/>
        <w:jc w:val="center"/>
        <w:tblLayout w:type="fixed"/>
        <w:tblLook w:val="04E0" w:firstRow="1" w:lastRow="1" w:firstColumn="1" w:lastColumn="0" w:noHBand="0" w:noVBand="1"/>
      </w:tblPr>
      <w:tblGrid>
        <w:gridCol w:w="4026"/>
        <w:gridCol w:w="571"/>
        <w:gridCol w:w="693"/>
        <w:gridCol w:w="656"/>
        <w:gridCol w:w="903"/>
        <w:gridCol w:w="910"/>
        <w:gridCol w:w="785"/>
      </w:tblGrid>
      <w:tr w:rsidR="006C20F6" w:rsidRPr="00CF3673" w:rsidTr="001C71D6">
        <w:trPr>
          <w:cnfStyle w:val="100000000000" w:firstRow="1" w:lastRow="0" w:firstColumn="0" w:lastColumn="0" w:oddVBand="0" w:evenVBand="0" w:oddHBand="0" w:evenHBand="0" w:firstRowFirstColumn="0" w:firstRowLastColumn="0" w:lastRowFirstColumn="0" w:lastRowLastColumn="0"/>
          <w:trHeight w:val="330"/>
          <w:jc w:val="center"/>
        </w:trPr>
        <w:tc>
          <w:tcPr>
            <w:tcW w:w="4026" w:type="dxa"/>
            <w:noWrap/>
            <w:hideMark/>
          </w:tcPr>
          <w:p w:rsidR="006C20F6" w:rsidRPr="00CF3673" w:rsidRDefault="006C20F6" w:rsidP="007B25F0">
            <w:pPr>
              <w:jc w:val="center"/>
              <w:rPr>
                <w:rFonts w:ascii="Calibri" w:eastAsia="Times New Roman" w:hAnsi="Calibri" w:cs="Times New Roman"/>
                <w:szCs w:val="20"/>
                <w:lang w:eastAsia="zh-CN"/>
              </w:rPr>
            </w:pPr>
          </w:p>
        </w:tc>
        <w:tc>
          <w:tcPr>
            <w:tcW w:w="571" w:type="dxa"/>
            <w:noWrap/>
            <w:hideMark/>
          </w:tcPr>
          <w:p w:rsidR="006C20F6" w:rsidRPr="00CF3673" w:rsidRDefault="00945881" w:rsidP="007B25F0">
            <w:pPr>
              <w:jc w:val="center"/>
              <w:rPr>
                <w:rFonts w:ascii="Calibri" w:eastAsia="Times New Roman" w:hAnsi="Calibri" w:cs="Times New Roman"/>
                <w:szCs w:val="20"/>
                <w:lang w:eastAsia="zh-CN"/>
              </w:rPr>
            </w:pPr>
            <w:r w:rsidRPr="00CF3673">
              <w:rPr>
                <w:rFonts w:ascii="Calibri" w:eastAsia="Times New Roman" w:hAnsi="Calibri" w:cs="Times New Roman"/>
                <w:szCs w:val="20"/>
                <w:lang w:eastAsia="zh-CN"/>
              </w:rPr>
              <w:t>Todas</w:t>
            </w:r>
          </w:p>
        </w:tc>
        <w:tc>
          <w:tcPr>
            <w:tcW w:w="693" w:type="dxa"/>
            <w:noWrap/>
            <w:hideMark/>
          </w:tcPr>
          <w:p w:rsidR="006C20F6" w:rsidRPr="00CF3673" w:rsidRDefault="006C20F6" w:rsidP="007B25F0">
            <w:pPr>
              <w:jc w:val="center"/>
              <w:rPr>
                <w:rFonts w:ascii="Calibri" w:eastAsia="Times New Roman" w:hAnsi="Calibri" w:cs="Times New Roman"/>
                <w:szCs w:val="20"/>
                <w:lang w:eastAsia="zh-CN"/>
              </w:rPr>
            </w:pPr>
            <w:r w:rsidRPr="00CF3673">
              <w:rPr>
                <w:rFonts w:ascii="Calibri" w:eastAsia="Times New Roman" w:hAnsi="Calibri" w:cs="Times New Roman"/>
                <w:szCs w:val="20"/>
                <w:lang w:eastAsia="zh-CN"/>
              </w:rPr>
              <w:t>Micro</w:t>
            </w:r>
          </w:p>
        </w:tc>
        <w:tc>
          <w:tcPr>
            <w:tcW w:w="656" w:type="dxa"/>
            <w:noWrap/>
            <w:hideMark/>
          </w:tcPr>
          <w:p w:rsidR="006C20F6" w:rsidRPr="00CF3673" w:rsidRDefault="00945881" w:rsidP="00945881">
            <w:pPr>
              <w:jc w:val="center"/>
              <w:rPr>
                <w:rFonts w:ascii="Calibri" w:eastAsia="Times New Roman" w:hAnsi="Calibri" w:cs="Times New Roman"/>
                <w:szCs w:val="20"/>
                <w:lang w:eastAsia="zh-CN"/>
              </w:rPr>
            </w:pPr>
            <w:r w:rsidRPr="00CF3673">
              <w:rPr>
                <w:rFonts w:ascii="Calibri" w:eastAsia="Times New Roman" w:hAnsi="Calibri" w:cs="Times New Roman"/>
                <w:szCs w:val="20"/>
                <w:lang w:eastAsia="zh-CN"/>
              </w:rPr>
              <w:t>Pequena</w:t>
            </w:r>
          </w:p>
        </w:tc>
        <w:tc>
          <w:tcPr>
            <w:tcW w:w="903" w:type="dxa"/>
            <w:noWrap/>
            <w:hideMark/>
          </w:tcPr>
          <w:p w:rsidR="006C20F6" w:rsidRPr="00CF3673" w:rsidRDefault="006C20F6" w:rsidP="00945881">
            <w:pPr>
              <w:jc w:val="center"/>
              <w:rPr>
                <w:rFonts w:ascii="Calibri" w:eastAsia="Times New Roman" w:hAnsi="Calibri" w:cs="Times New Roman"/>
                <w:szCs w:val="20"/>
                <w:lang w:eastAsia="zh-CN"/>
              </w:rPr>
            </w:pPr>
            <w:r w:rsidRPr="00CF3673">
              <w:rPr>
                <w:rFonts w:ascii="Calibri" w:eastAsia="Times New Roman" w:hAnsi="Calibri" w:cs="Times New Roman"/>
                <w:szCs w:val="20"/>
                <w:lang w:eastAsia="zh-CN"/>
              </w:rPr>
              <w:t>Medi</w:t>
            </w:r>
            <w:r w:rsidR="00945881" w:rsidRPr="00CF3673">
              <w:rPr>
                <w:rFonts w:ascii="Calibri" w:eastAsia="Times New Roman" w:hAnsi="Calibri" w:cs="Times New Roman"/>
                <w:szCs w:val="20"/>
                <w:lang w:eastAsia="zh-CN"/>
              </w:rPr>
              <w:t>a</w:t>
            </w:r>
          </w:p>
        </w:tc>
        <w:tc>
          <w:tcPr>
            <w:tcW w:w="910" w:type="dxa"/>
            <w:noWrap/>
            <w:hideMark/>
          </w:tcPr>
          <w:p w:rsidR="006C20F6" w:rsidRPr="00CF3673" w:rsidRDefault="007D7439" w:rsidP="007B25F0">
            <w:pPr>
              <w:jc w:val="center"/>
              <w:rPr>
                <w:rFonts w:ascii="Calibri" w:eastAsia="Times New Roman" w:hAnsi="Calibri" w:cs="Times New Roman"/>
                <w:szCs w:val="20"/>
                <w:lang w:eastAsia="zh-CN"/>
              </w:rPr>
            </w:pPr>
            <w:r w:rsidRPr="00CF3673">
              <w:rPr>
                <w:rFonts w:ascii="Calibri" w:eastAsia="Times New Roman" w:hAnsi="Calibri" w:cs="Times New Roman"/>
                <w:szCs w:val="20"/>
                <w:lang w:eastAsia="zh-CN"/>
              </w:rPr>
              <w:t>Informal</w:t>
            </w:r>
          </w:p>
        </w:tc>
        <w:tc>
          <w:tcPr>
            <w:tcW w:w="785" w:type="dxa"/>
            <w:noWrap/>
            <w:hideMark/>
          </w:tcPr>
          <w:p w:rsidR="006C20F6" w:rsidRPr="00CF3673" w:rsidRDefault="00E766FF" w:rsidP="007B25F0">
            <w:pPr>
              <w:jc w:val="center"/>
              <w:rPr>
                <w:rFonts w:ascii="Calibri" w:eastAsia="Times New Roman" w:hAnsi="Calibri" w:cs="Times New Roman"/>
                <w:szCs w:val="20"/>
                <w:lang w:eastAsia="zh-CN"/>
              </w:rPr>
            </w:pPr>
            <w:r w:rsidRPr="00CF3673">
              <w:rPr>
                <w:rFonts w:ascii="Calibri" w:eastAsia="Times New Roman" w:hAnsi="Calibri" w:cs="Times New Roman"/>
                <w:szCs w:val="20"/>
                <w:lang w:eastAsia="zh-CN"/>
              </w:rPr>
              <w:t>Formal</w:t>
            </w:r>
          </w:p>
        </w:tc>
      </w:tr>
      <w:tr w:rsidR="007B25F0" w:rsidRPr="00CF3673" w:rsidTr="001C71D6">
        <w:trPr>
          <w:trHeight w:val="330"/>
          <w:jc w:val="center"/>
        </w:trPr>
        <w:tc>
          <w:tcPr>
            <w:tcW w:w="4026" w:type="dxa"/>
            <w:noWrap/>
            <w:hideMark/>
          </w:tcPr>
          <w:p w:rsidR="007B25F0" w:rsidRPr="00CF3673" w:rsidRDefault="00945881" w:rsidP="00945881">
            <w:pPr>
              <w:rPr>
                <w:rFonts w:ascii="Calibri" w:eastAsia="Times New Roman" w:hAnsi="Calibri" w:cs="Times New Roman"/>
                <w:szCs w:val="20"/>
                <w:lang w:eastAsia="zh-CN"/>
              </w:rPr>
            </w:pPr>
            <w:r w:rsidRPr="00CF3673">
              <w:rPr>
                <w:rFonts w:ascii="Calibri" w:eastAsia="Times New Roman" w:hAnsi="Calibri" w:cs="Times New Roman"/>
                <w:szCs w:val="20"/>
                <w:lang w:eastAsia="zh-CN"/>
              </w:rPr>
              <w:t>Falta de conhecimento sobre potenciais mercados</w:t>
            </w:r>
          </w:p>
        </w:tc>
        <w:tc>
          <w:tcPr>
            <w:tcW w:w="571" w:type="dxa"/>
            <w:noWrap/>
            <w:hideMark/>
          </w:tcPr>
          <w:p w:rsidR="007B25F0" w:rsidRPr="00CF3673" w:rsidRDefault="007B25F0" w:rsidP="001C71D6">
            <w:pPr>
              <w:jc w:val="center"/>
            </w:pPr>
            <w:r w:rsidRPr="00CF3673">
              <w:t>40.0</w:t>
            </w:r>
          </w:p>
        </w:tc>
        <w:tc>
          <w:tcPr>
            <w:tcW w:w="693" w:type="dxa"/>
            <w:noWrap/>
            <w:hideMark/>
          </w:tcPr>
          <w:p w:rsidR="007B25F0" w:rsidRPr="00CF3673" w:rsidRDefault="007B25F0" w:rsidP="001C71D6">
            <w:pPr>
              <w:jc w:val="center"/>
            </w:pPr>
            <w:r w:rsidRPr="00CF3673">
              <w:t>41.2</w:t>
            </w:r>
          </w:p>
        </w:tc>
        <w:tc>
          <w:tcPr>
            <w:tcW w:w="656" w:type="dxa"/>
            <w:noWrap/>
            <w:hideMark/>
          </w:tcPr>
          <w:p w:rsidR="007B25F0" w:rsidRPr="00CF3673" w:rsidRDefault="007B25F0" w:rsidP="001C71D6">
            <w:pPr>
              <w:jc w:val="center"/>
            </w:pPr>
            <w:r w:rsidRPr="00CF3673">
              <w:t>39.6</w:t>
            </w:r>
          </w:p>
        </w:tc>
        <w:tc>
          <w:tcPr>
            <w:tcW w:w="903" w:type="dxa"/>
            <w:noWrap/>
            <w:hideMark/>
          </w:tcPr>
          <w:p w:rsidR="007B25F0" w:rsidRPr="00CF3673" w:rsidRDefault="007B25F0" w:rsidP="001C71D6">
            <w:pPr>
              <w:jc w:val="center"/>
            </w:pPr>
            <w:r w:rsidRPr="00CF3673">
              <w:t>30.0</w:t>
            </w:r>
          </w:p>
        </w:tc>
        <w:tc>
          <w:tcPr>
            <w:tcW w:w="910" w:type="dxa"/>
            <w:noWrap/>
            <w:hideMark/>
          </w:tcPr>
          <w:p w:rsidR="007B25F0" w:rsidRPr="00CF3673" w:rsidRDefault="007B25F0" w:rsidP="001C71D6">
            <w:pPr>
              <w:jc w:val="center"/>
            </w:pPr>
            <w:r w:rsidRPr="00CF3673">
              <w:t>22.7</w:t>
            </w:r>
          </w:p>
        </w:tc>
        <w:tc>
          <w:tcPr>
            <w:tcW w:w="785" w:type="dxa"/>
            <w:noWrap/>
            <w:hideMark/>
          </w:tcPr>
          <w:p w:rsidR="007B25F0" w:rsidRPr="00CF3673" w:rsidRDefault="007B25F0" w:rsidP="001C71D6">
            <w:pPr>
              <w:jc w:val="center"/>
            </w:pPr>
            <w:r w:rsidRPr="00CF3673">
              <w:t>43.8</w:t>
            </w:r>
          </w:p>
        </w:tc>
      </w:tr>
      <w:tr w:rsidR="007B25F0" w:rsidRPr="00CF3673" w:rsidTr="001C71D6">
        <w:trPr>
          <w:trHeight w:val="330"/>
          <w:jc w:val="center"/>
        </w:trPr>
        <w:tc>
          <w:tcPr>
            <w:tcW w:w="4026" w:type="dxa"/>
            <w:noWrap/>
            <w:hideMark/>
          </w:tcPr>
          <w:p w:rsidR="007B25F0" w:rsidRPr="00CF3673" w:rsidRDefault="007B25F0" w:rsidP="00945881">
            <w:pPr>
              <w:rPr>
                <w:rFonts w:ascii="Calibri" w:eastAsia="Times New Roman" w:hAnsi="Calibri" w:cs="Times New Roman"/>
                <w:szCs w:val="20"/>
                <w:lang w:eastAsia="zh-CN"/>
              </w:rPr>
            </w:pPr>
            <w:r w:rsidRPr="00CF3673">
              <w:rPr>
                <w:rFonts w:ascii="Calibri" w:eastAsia="Times New Roman" w:hAnsi="Calibri" w:cs="Times New Roman"/>
                <w:szCs w:val="20"/>
                <w:lang w:eastAsia="zh-CN"/>
              </w:rPr>
              <w:t>C</w:t>
            </w:r>
            <w:r w:rsidR="00945881" w:rsidRPr="00CF3673">
              <w:rPr>
                <w:rFonts w:ascii="Calibri" w:eastAsia="Times New Roman" w:hAnsi="Calibri" w:cs="Times New Roman"/>
                <w:szCs w:val="20"/>
                <w:lang w:eastAsia="zh-CN"/>
              </w:rPr>
              <w:t>usto de obtenção de licença de exportação</w:t>
            </w:r>
          </w:p>
        </w:tc>
        <w:tc>
          <w:tcPr>
            <w:tcW w:w="571" w:type="dxa"/>
            <w:noWrap/>
            <w:hideMark/>
          </w:tcPr>
          <w:p w:rsidR="007B25F0" w:rsidRPr="00CF3673" w:rsidRDefault="007B25F0" w:rsidP="001C71D6">
            <w:pPr>
              <w:jc w:val="center"/>
            </w:pPr>
            <w:r w:rsidRPr="00CF3673">
              <w:t>15.5</w:t>
            </w:r>
          </w:p>
        </w:tc>
        <w:tc>
          <w:tcPr>
            <w:tcW w:w="693" w:type="dxa"/>
            <w:noWrap/>
            <w:hideMark/>
          </w:tcPr>
          <w:p w:rsidR="007B25F0" w:rsidRPr="00CF3673" w:rsidRDefault="007B25F0" w:rsidP="001C71D6">
            <w:pPr>
              <w:jc w:val="center"/>
            </w:pPr>
            <w:r w:rsidRPr="00CF3673">
              <w:t>16.9</w:t>
            </w:r>
          </w:p>
        </w:tc>
        <w:tc>
          <w:tcPr>
            <w:tcW w:w="656" w:type="dxa"/>
            <w:noWrap/>
            <w:hideMark/>
          </w:tcPr>
          <w:p w:rsidR="007B25F0" w:rsidRPr="00CF3673" w:rsidRDefault="007B25F0" w:rsidP="001C71D6">
            <w:pPr>
              <w:jc w:val="center"/>
            </w:pPr>
            <w:r w:rsidRPr="00CF3673">
              <w:t>12.5</w:t>
            </w:r>
          </w:p>
        </w:tc>
        <w:tc>
          <w:tcPr>
            <w:tcW w:w="903" w:type="dxa"/>
            <w:noWrap/>
            <w:hideMark/>
          </w:tcPr>
          <w:p w:rsidR="007B25F0" w:rsidRPr="00CF3673" w:rsidRDefault="007B25F0" w:rsidP="001C71D6">
            <w:pPr>
              <w:jc w:val="center"/>
            </w:pPr>
            <w:r w:rsidRPr="00CF3673">
              <w:t>10.0</w:t>
            </w:r>
          </w:p>
        </w:tc>
        <w:tc>
          <w:tcPr>
            <w:tcW w:w="910" w:type="dxa"/>
            <w:noWrap/>
            <w:hideMark/>
          </w:tcPr>
          <w:p w:rsidR="007B25F0" w:rsidRPr="00CF3673" w:rsidRDefault="007B25F0" w:rsidP="001C71D6">
            <w:pPr>
              <w:jc w:val="center"/>
            </w:pPr>
            <w:r w:rsidRPr="00CF3673">
              <w:t>22.7</w:t>
            </w:r>
          </w:p>
        </w:tc>
        <w:tc>
          <w:tcPr>
            <w:tcW w:w="785" w:type="dxa"/>
            <w:noWrap/>
            <w:hideMark/>
          </w:tcPr>
          <w:p w:rsidR="007B25F0" w:rsidRPr="00CF3673" w:rsidRDefault="007B25F0" w:rsidP="001C71D6">
            <w:pPr>
              <w:jc w:val="center"/>
            </w:pPr>
            <w:r w:rsidRPr="00CF3673">
              <w:t>13.9</w:t>
            </w:r>
          </w:p>
        </w:tc>
      </w:tr>
      <w:tr w:rsidR="007B25F0" w:rsidRPr="00CF3673" w:rsidTr="001C71D6">
        <w:trPr>
          <w:trHeight w:val="330"/>
          <w:jc w:val="center"/>
        </w:trPr>
        <w:tc>
          <w:tcPr>
            <w:tcW w:w="4026" w:type="dxa"/>
            <w:noWrap/>
            <w:hideMark/>
          </w:tcPr>
          <w:p w:rsidR="007B25F0" w:rsidRPr="00CF3673" w:rsidRDefault="00BD609A" w:rsidP="00BD609A">
            <w:pPr>
              <w:rPr>
                <w:rFonts w:ascii="Calibri" w:eastAsia="Times New Roman" w:hAnsi="Calibri" w:cs="Times New Roman"/>
                <w:szCs w:val="20"/>
                <w:lang w:eastAsia="zh-CN"/>
              </w:rPr>
            </w:pPr>
            <w:r w:rsidRPr="00CF3673">
              <w:rPr>
                <w:rFonts w:ascii="Calibri" w:eastAsia="Times New Roman" w:hAnsi="Calibri" w:cs="Times New Roman"/>
                <w:szCs w:val="20"/>
                <w:lang w:eastAsia="zh-CN"/>
              </w:rPr>
              <w:t>Custo para abertura de canais/pontos de distribuição</w:t>
            </w:r>
          </w:p>
        </w:tc>
        <w:tc>
          <w:tcPr>
            <w:tcW w:w="571" w:type="dxa"/>
            <w:noWrap/>
            <w:hideMark/>
          </w:tcPr>
          <w:p w:rsidR="007B25F0" w:rsidRPr="00CF3673" w:rsidRDefault="007B25F0" w:rsidP="001C71D6">
            <w:pPr>
              <w:jc w:val="center"/>
            </w:pPr>
            <w:r w:rsidRPr="00CF3673">
              <w:t>11.0</w:t>
            </w:r>
          </w:p>
        </w:tc>
        <w:tc>
          <w:tcPr>
            <w:tcW w:w="693" w:type="dxa"/>
            <w:noWrap/>
            <w:hideMark/>
          </w:tcPr>
          <w:p w:rsidR="007B25F0" w:rsidRPr="00CF3673" w:rsidRDefault="007B25F0" w:rsidP="001C71D6">
            <w:pPr>
              <w:jc w:val="center"/>
            </w:pPr>
            <w:r w:rsidRPr="00CF3673">
              <w:t>10.7</w:t>
            </w:r>
          </w:p>
        </w:tc>
        <w:tc>
          <w:tcPr>
            <w:tcW w:w="656" w:type="dxa"/>
            <w:noWrap/>
            <w:hideMark/>
          </w:tcPr>
          <w:p w:rsidR="007B25F0" w:rsidRPr="00CF3673" w:rsidRDefault="007B25F0" w:rsidP="001C71D6">
            <w:pPr>
              <w:jc w:val="center"/>
            </w:pPr>
            <w:r w:rsidRPr="00CF3673">
              <w:t>8.3</w:t>
            </w:r>
          </w:p>
        </w:tc>
        <w:tc>
          <w:tcPr>
            <w:tcW w:w="903" w:type="dxa"/>
            <w:noWrap/>
            <w:hideMark/>
          </w:tcPr>
          <w:p w:rsidR="007B25F0" w:rsidRPr="00CF3673" w:rsidRDefault="007B25F0" w:rsidP="001C71D6">
            <w:pPr>
              <w:jc w:val="center"/>
            </w:pPr>
            <w:r w:rsidRPr="00CF3673">
              <w:t>20.0</w:t>
            </w:r>
          </w:p>
        </w:tc>
        <w:tc>
          <w:tcPr>
            <w:tcW w:w="910" w:type="dxa"/>
            <w:noWrap/>
            <w:hideMark/>
          </w:tcPr>
          <w:p w:rsidR="007B25F0" w:rsidRPr="00CF3673" w:rsidRDefault="007B25F0" w:rsidP="001C71D6">
            <w:pPr>
              <w:jc w:val="center"/>
            </w:pPr>
            <w:r w:rsidRPr="00CF3673">
              <w:t>13.6</w:t>
            </w:r>
          </w:p>
        </w:tc>
        <w:tc>
          <w:tcPr>
            <w:tcW w:w="785" w:type="dxa"/>
            <w:noWrap/>
            <w:hideMark/>
          </w:tcPr>
          <w:p w:rsidR="007B25F0" w:rsidRPr="00CF3673" w:rsidRDefault="007B25F0" w:rsidP="001C71D6">
            <w:pPr>
              <w:jc w:val="center"/>
            </w:pPr>
            <w:r w:rsidRPr="00CF3673">
              <w:t>10.4</w:t>
            </w:r>
          </w:p>
        </w:tc>
      </w:tr>
      <w:tr w:rsidR="007B25F0" w:rsidRPr="00CF3673" w:rsidTr="001C71D6">
        <w:trPr>
          <w:trHeight w:val="330"/>
          <w:jc w:val="center"/>
        </w:trPr>
        <w:tc>
          <w:tcPr>
            <w:tcW w:w="4026" w:type="dxa"/>
            <w:noWrap/>
            <w:hideMark/>
          </w:tcPr>
          <w:p w:rsidR="007B25F0" w:rsidRPr="00CF3673" w:rsidRDefault="00BD609A" w:rsidP="00BD609A">
            <w:pPr>
              <w:rPr>
                <w:rFonts w:ascii="Calibri" w:eastAsia="Times New Roman" w:hAnsi="Calibri" w:cs="Times New Roman"/>
                <w:szCs w:val="20"/>
                <w:lang w:eastAsia="zh-CN"/>
              </w:rPr>
            </w:pPr>
            <w:r w:rsidRPr="00CF3673">
              <w:rPr>
                <w:rFonts w:ascii="Calibri" w:eastAsia="Times New Roman" w:hAnsi="Calibri" w:cs="Times New Roman"/>
                <w:szCs w:val="20"/>
                <w:lang w:eastAsia="zh-CN"/>
              </w:rPr>
              <w:t xml:space="preserve">Altos </w:t>
            </w:r>
            <w:r w:rsidR="006A4724" w:rsidRPr="00CF3673">
              <w:rPr>
                <w:rFonts w:ascii="Calibri" w:eastAsia="Times New Roman" w:hAnsi="Calibri" w:cs="Times New Roman"/>
                <w:szCs w:val="20"/>
                <w:lang w:eastAsia="zh-CN"/>
              </w:rPr>
              <w:t>padrões</w:t>
            </w:r>
            <w:r w:rsidRPr="00CF3673">
              <w:rPr>
                <w:rFonts w:ascii="Calibri" w:eastAsia="Times New Roman" w:hAnsi="Calibri" w:cs="Times New Roman"/>
                <w:szCs w:val="20"/>
                <w:lang w:eastAsia="zh-CN"/>
              </w:rPr>
              <w:t xml:space="preserve"> dos produtos exigidos</w:t>
            </w:r>
          </w:p>
        </w:tc>
        <w:tc>
          <w:tcPr>
            <w:tcW w:w="571" w:type="dxa"/>
            <w:noWrap/>
            <w:hideMark/>
          </w:tcPr>
          <w:p w:rsidR="007B25F0" w:rsidRPr="00CF3673" w:rsidRDefault="007B25F0" w:rsidP="001C71D6">
            <w:pPr>
              <w:jc w:val="center"/>
            </w:pPr>
            <w:r w:rsidRPr="00CF3673">
              <w:t>20.0</w:t>
            </w:r>
          </w:p>
        </w:tc>
        <w:tc>
          <w:tcPr>
            <w:tcW w:w="693" w:type="dxa"/>
            <w:noWrap/>
            <w:hideMark/>
          </w:tcPr>
          <w:p w:rsidR="007B25F0" w:rsidRPr="00CF3673" w:rsidRDefault="007B25F0" w:rsidP="001C71D6">
            <w:pPr>
              <w:jc w:val="center"/>
            </w:pPr>
            <w:r w:rsidRPr="00CF3673">
              <w:t>23.7</w:t>
            </w:r>
          </w:p>
        </w:tc>
        <w:tc>
          <w:tcPr>
            <w:tcW w:w="656" w:type="dxa"/>
            <w:noWrap/>
            <w:hideMark/>
          </w:tcPr>
          <w:p w:rsidR="007B25F0" w:rsidRPr="00CF3673" w:rsidRDefault="007B25F0" w:rsidP="001C71D6">
            <w:pPr>
              <w:jc w:val="center"/>
            </w:pPr>
            <w:r w:rsidRPr="00CF3673">
              <w:t>10.4</w:t>
            </w:r>
          </w:p>
        </w:tc>
        <w:tc>
          <w:tcPr>
            <w:tcW w:w="903" w:type="dxa"/>
            <w:noWrap/>
            <w:hideMark/>
          </w:tcPr>
          <w:p w:rsidR="007B25F0" w:rsidRPr="00CF3673" w:rsidRDefault="007B25F0" w:rsidP="001C71D6">
            <w:pPr>
              <w:jc w:val="center"/>
            </w:pPr>
            <w:r w:rsidRPr="00CF3673">
              <w:t>10.0</w:t>
            </w:r>
          </w:p>
        </w:tc>
        <w:tc>
          <w:tcPr>
            <w:tcW w:w="910" w:type="dxa"/>
            <w:noWrap/>
            <w:hideMark/>
          </w:tcPr>
          <w:p w:rsidR="007B25F0" w:rsidRPr="00CF3673" w:rsidRDefault="007B25F0" w:rsidP="001C71D6">
            <w:pPr>
              <w:jc w:val="center"/>
            </w:pPr>
            <w:r w:rsidRPr="00CF3673">
              <w:t>38.6</w:t>
            </w:r>
          </w:p>
        </w:tc>
        <w:tc>
          <w:tcPr>
            <w:tcW w:w="785" w:type="dxa"/>
            <w:noWrap/>
            <w:hideMark/>
          </w:tcPr>
          <w:p w:rsidR="007B25F0" w:rsidRPr="00CF3673" w:rsidRDefault="007B25F0" w:rsidP="001C71D6">
            <w:pPr>
              <w:jc w:val="center"/>
            </w:pPr>
            <w:r w:rsidRPr="00CF3673">
              <w:t>15.9</w:t>
            </w:r>
          </w:p>
        </w:tc>
      </w:tr>
      <w:tr w:rsidR="007B25F0" w:rsidRPr="00CF3673" w:rsidTr="001C71D6">
        <w:trPr>
          <w:trHeight w:val="330"/>
          <w:jc w:val="center"/>
        </w:trPr>
        <w:tc>
          <w:tcPr>
            <w:tcW w:w="4026" w:type="dxa"/>
            <w:noWrap/>
            <w:hideMark/>
          </w:tcPr>
          <w:p w:rsidR="007B25F0" w:rsidRPr="00CF3673" w:rsidRDefault="00BD609A" w:rsidP="00BD609A">
            <w:pPr>
              <w:rPr>
                <w:rFonts w:ascii="Calibri" w:eastAsia="Times New Roman" w:hAnsi="Calibri" w:cs="Times New Roman"/>
                <w:szCs w:val="20"/>
                <w:lang w:eastAsia="zh-CN"/>
              </w:rPr>
            </w:pPr>
            <w:r w:rsidRPr="00CF3673">
              <w:rPr>
                <w:rFonts w:ascii="Calibri" w:eastAsia="Times New Roman" w:hAnsi="Calibri" w:cs="Times New Roman"/>
                <w:szCs w:val="20"/>
                <w:lang w:eastAsia="zh-CN"/>
              </w:rPr>
              <w:t>Necessidade de aprender os procedimentos burocráticos</w:t>
            </w:r>
          </w:p>
        </w:tc>
        <w:tc>
          <w:tcPr>
            <w:tcW w:w="571" w:type="dxa"/>
            <w:noWrap/>
            <w:hideMark/>
          </w:tcPr>
          <w:p w:rsidR="007B25F0" w:rsidRPr="00CF3673" w:rsidRDefault="007B25F0" w:rsidP="001C71D6">
            <w:pPr>
              <w:jc w:val="center"/>
            </w:pPr>
            <w:r w:rsidRPr="00CF3673">
              <w:t>6.9</w:t>
            </w:r>
          </w:p>
        </w:tc>
        <w:tc>
          <w:tcPr>
            <w:tcW w:w="693" w:type="dxa"/>
            <w:noWrap/>
            <w:hideMark/>
          </w:tcPr>
          <w:p w:rsidR="007B25F0" w:rsidRPr="00CF3673" w:rsidRDefault="007B25F0" w:rsidP="001C71D6">
            <w:pPr>
              <w:jc w:val="center"/>
            </w:pPr>
            <w:r w:rsidRPr="00CF3673">
              <w:t>6.8</w:t>
            </w:r>
          </w:p>
        </w:tc>
        <w:tc>
          <w:tcPr>
            <w:tcW w:w="656" w:type="dxa"/>
            <w:noWrap/>
            <w:hideMark/>
          </w:tcPr>
          <w:p w:rsidR="007B25F0" w:rsidRPr="00CF3673" w:rsidRDefault="007B25F0" w:rsidP="001C71D6">
            <w:pPr>
              <w:jc w:val="center"/>
            </w:pPr>
            <w:r w:rsidRPr="00CF3673">
              <w:t>10.4</w:t>
            </w:r>
          </w:p>
        </w:tc>
        <w:tc>
          <w:tcPr>
            <w:tcW w:w="903" w:type="dxa"/>
            <w:noWrap/>
            <w:hideMark/>
          </w:tcPr>
          <w:p w:rsidR="007B25F0" w:rsidRPr="00CF3673" w:rsidRDefault="007B25F0" w:rsidP="001C71D6">
            <w:pPr>
              <w:jc w:val="center"/>
            </w:pPr>
            <w:r w:rsidRPr="00CF3673">
              <w:t>0.0</w:t>
            </w:r>
          </w:p>
        </w:tc>
        <w:tc>
          <w:tcPr>
            <w:tcW w:w="910" w:type="dxa"/>
            <w:noWrap/>
            <w:hideMark/>
          </w:tcPr>
          <w:p w:rsidR="007B25F0" w:rsidRPr="00CF3673" w:rsidRDefault="007B25F0" w:rsidP="001C71D6">
            <w:pPr>
              <w:jc w:val="center"/>
            </w:pPr>
            <w:r w:rsidRPr="00CF3673">
              <w:t>13.6</w:t>
            </w:r>
          </w:p>
        </w:tc>
        <w:tc>
          <w:tcPr>
            <w:tcW w:w="785" w:type="dxa"/>
            <w:noWrap/>
            <w:hideMark/>
          </w:tcPr>
          <w:p w:rsidR="007B25F0" w:rsidRPr="00CF3673" w:rsidRDefault="007B25F0" w:rsidP="001C71D6">
            <w:pPr>
              <w:jc w:val="center"/>
            </w:pPr>
            <w:r w:rsidRPr="00CF3673">
              <w:t>5.5</w:t>
            </w:r>
          </w:p>
        </w:tc>
      </w:tr>
      <w:tr w:rsidR="007B25F0" w:rsidRPr="00CF3673" w:rsidTr="001C71D6">
        <w:trPr>
          <w:trHeight w:val="330"/>
          <w:jc w:val="center"/>
        </w:trPr>
        <w:tc>
          <w:tcPr>
            <w:tcW w:w="4026" w:type="dxa"/>
            <w:noWrap/>
            <w:hideMark/>
          </w:tcPr>
          <w:p w:rsidR="007B25F0" w:rsidRPr="00CF3673" w:rsidRDefault="00BD609A" w:rsidP="00BD609A">
            <w:pPr>
              <w:rPr>
                <w:rFonts w:ascii="Calibri" w:eastAsia="Times New Roman" w:hAnsi="Calibri" w:cs="Times New Roman"/>
                <w:szCs w:val="20"/>
                <w:lang w:eastAsia="zh-CN"/>
              </w:rPr>
            </w:pPr>
            <w:r w:rsidRPr="00CF3673">
              <w:rPr>
                <w:rFonts w:ascii="Calibri" w:eastAsia="Times New Roman" w:hAnsi="Calibri" w:cs="Times New Roman"/>
                <w:szCs w:val="20"/>
                <w:lang w:eastAsia="zh-CN"/>
              </w:rPr>
              <w:t>Elevados riscos</w:t>
            </w:r>
          </w:p>
        </w:tc>
        <w:tc>
          <w:tcPr>
            <w:tcW w:w="571" w:type="dxa"/>
            <w:noWrap/>
            <w:hideMark/>
          </w:tcPr>
          <w:p w:rsidR="007B25F0" w:rsidRPr="00CF3673" w:rsidRDefault="007B25F0" w:rsidP="001C71D6">
            <w:pPr>
              <w:jc w:val="center"/>
            </w:pPr>
            <w:r w:rsidRPr="00CF3673">
              <w:t>6.5</w:t>
            </w:r>
          </w:p>
        </w:tc>
        <w:tc>
          <w:tcPr>
            <w:tcW w:w="693" w:type="dxa"/>
            <w:noWrap/>
            <w:hideMark/>
          </w:tcPr>
          <w:p w:rsidR="007B25F0" w:rsidRPr="00CF3673" w:rsidRDefault="007B25F0" w:rsidP="001C71D6">
            <w:pPr>
              <w:jc w:val="center"/>
            </w:pPr>
            <w:r w:rsidRPr="00CF3673">
              <w:t>5.6</w:t>
            </w:r>
          </w:p>
        </w:tc>
        <w:tc>
          <w:tcPr>
            <w:tcW w:w="656" w:type="dxa"/>
            <w:noWrap/>
            <w:hideMark/>
          </w:tcPr>
          <w:p w:rsidR="007B25F0" w:rsidRPr="00CF3673" w:rsidRDefault="007B25F0" w:rsidP="001C71D6">
            <w:pPr>
              <w:jc w:val="center"/>
            </w:pPr>
            <w:r w:rsidRPr="00CF3673">
              <w:t>12.5</w:t>
            </w:r>
          </w:p>
        </w:tc>
        <w:tc>
          <w:tcPr>
            <w:tcW w:w="903" w:type="dxa"/>
            <w:noWrap/>
            <w:hideMark/>
          </w:tcPr>
          <w:p w:rsidR="007B25F0" w:rsidRPr="00CF3673" w:rsidRDefault="007B25F0" w:rsidP="001C71D6">
            <w:pPr>
              <w:jc w:val="center"/>
            </w:pPr>
            <w:r w:rsidRPr="00CF3673">
              <w:t>0.0</w:t>
            </w:r>
          </w:p>
        </w:tc>
        <w:tc>
          <w:tcPr>
            <w:tcW w:w="910" w:type="dxa"/>
            <w:noWrap/>
            <w:hideMark/>
          </w:tcPr>
          <w:p w:rsidR="007B25F0" w:rsidRPr="00CF3673" w:rsidRDefault="007B25F0" w:rsidP="001C71D6">
            <w:pPr>
              <w:jc w:val="center"/>
            </w:pPr>
            <w:r w:rsidRPr="00CF3673">
              <w:t>11.4</w:t>
            </w:r>
          </w:p>
        </w:tc>
        <w:tc>
          <w:tcPr>
            <w:tcW w:w="785" w:type="dxa"/>
            <w:noWrap/>
            <w:hideMark/>
          </w:tcPr>
          <w:p w:rsidR="007B25F0" w:rsidRPr="00CF3673" w:rsidRDefault="007B25F0" w:rsidP="001C71D6">
            <w:pPr>
              <w:jc w:val="center"/>
            </w:pPr>
            <w:r w:rsidRPr="00CF3673">
              <w:t>5.5</w:t>
            </w:r>
          </w:p>
        </w:tc>
      </w:tr>
      <w:tr w:rsidR="007B25F0" w:rsidRPr="00CF3673" w:rsidTr="001C71D6">
        <w:trPr>
          <w:trHeight w:val="330"/>
          <w:jc w:val="center"/>
        </w:trPr>
        <w:tc>
          <w:tcPr>
            <w:tcW w:w="4026" w:type="dxa"/>
            <w:noWrap/>
            <w:hideMark/>
          </w:tcPr>
          <w:p w:rsidR="007B25F0" w:rsidRPr="00CF3673" w:rsidRDefault="00BD609A" w:rsidP="00BD609A">
            <w:pPr>
              <w:rPr>
                <w:rFonts w:ascii="Calibri" w:eastAsia="Times New Roman" w:hAnsi="Calibri" w:cs="Times New Roman"/>
                <w:szCs w:val="20"/>
                <w:lang w:eastAsia="zh-CN"/>
              </w:rPr>
            </w:pPr>
            <w:r w:rsidRPr="00CF3673">
              <w:rPr>
                <w:rFonts w:ascii="Calibri" w:eastAsia="Times New Roman" w:hAnsi="Calibri" w:cs="Times New Roman"/>
                <w:szCs w:val="20"/>
                <w:lang w:eastAsia="zh-CN"/>
              </w:rPr>
              <w:t>Barreiras tarifárias nos países de destino</w:t>
            </w:r>
          </w:p>
        </w:tc>
        <w:tc>
          <w:tcPr>
            <w:tcW w:w="571" w:type="dxa"/>
            <w:noWrap/>
            <w:hideMark/>
          </w:tcPr>
          <w:p w:rsidR="007B25F0" w:rsidRPr="00CF3673" w:rsidRDefault="007B25F0" w:rsidP="001C71D6">
            <w:pPr>
              <w:jc w:val="center"/>
            </w:pPr>
            <w:r w:rsidRPr="00CF3673">
              <w:t>3.3</w:t>
            </w:r>
          </w:p>
        </w:tc>
        <w:tc>
          <w:tcPr>
            <w:tcW w:w="693" w:type="dxa"/>
            <w:noWrap/>
            <w:hideMark/>
          </w:tcPr>
          <w:p w:rsidR="007B25F0" w:rsidRPr="00CF3673" w:rsidRDefault="007B25F0" w:rsidP="001C71D6">
            <w:pPr>
              <w:jc w:val="center"/>
            </w:pPr>
            <w:r w:rsidRPr="00CF3673">
              <w:t>1.7</w:t>
            </w:r>
          </w:p>
        </w:tc>
        <w:tc>
          <w:tcPr>
            <w:tcW w:w="656" w:type="dxa"/>
            <w:noWrap/>
            <w:hideMark/>
          </w:tcPr>
          <w:p w:rsidR="007B25F0" w:rsidRPr="00CF3673" w:rsidRDefault="007B25F0" w:rsidP="001C71D6">
            <w:pPr>
              <w:jc w:val="center"/>
            </w:pPr>
            <w:r w:rsidRPr="00CF3673">
              <w:t>4.2</w:t>
            </w:r>
          </w:p>
        </w:tc>
        <w:tc>
          <w:tcPr>
            <w:tcW w:w="903" w:type="dxa"/>
            <w:noWrap/>
            <w:hideMark/>
          </w:tcPr>
          <w:p w:rsidR="007B25F0" w:rsidRPr="00CF3673" w:rsidRDefault="007B25F0" w:rsidP="001C71D6">
            <w:pPr>
              <w:jc w:val="center"/>
            </w:pPr>
            <w:r w:rsidRPr="00CF3673">
              <w:t>15.0</w:t>
            </w:r>
          </w:p>
        </w:tc>
        <w:tc>
          <w:tcPr>
            <w:tcW w:w="910" w:type="dxa"/>
            <w:noWrap/>
            <w:hideMark/>
          </w:tcPr>
          <w:p w:rsidR="007B25F0" w:rsidRPr="00CF3673" w:rsidRDefault="007B25F0" w:rsidP="001C71D6">
            <w:pPr>
              <w:jc w:val="center"/>
            </w:pPr>
            <w:r w:rsidRPr="00CF3673">
              <w:t>0.0</w:t>
            </w:r>
          </w:p>
        </w:tc>
        <w:tc>
          <w:tcPr>
            <w:tcW w:w="785" w:type="dxa"/>
            <w:noWrap/>
            <w:hideMark/>
          </w:tcPr>
          <w:p w:rsidR="007B25F0" w:rsidRPr="00CF3673" w:rsidRDefault="007B25F0" w:rsidP="001C71D6">
            <w:pPr>
              <w:jc w:val="center"/>
            </w:pPr>
            <w:r w:rsidRPr="00CF3673">
              <w:t>4.0</w:t>
            </w:r>
          </w:p>
        </w:tc>
      </w:tr>
      <w:tr w:rsidR="007B25F0" w:rsidRPr="00CF3673" w:rsidTr="001C71D6">
        <w:trPr>
          <w:trHeight w:val="330"/>
          <w:jc w:val="center"/>
        </w:trPr>
        <w:tc>
          <w:tcPr>
            <w:tcW w:w="4026" w:type="dxa"/>
            <w:noWrap/>
            <w:hideMark/>
          </w:tcPr>
          <w:p w:rsidR="007B25F0" w:rsidRPr="00CF3673" w:rsidRDefault="006A4724" w:rsidP="00BD609A">
            <w:pPr>
              <w:rPr>
                <w:rFonts w:ascii="Calibri" w:eastAsia="Times New Roman" w:hAnsi="Calibri" w:cs="Times New Roman"/>
                <w:szCs w:val="20"/>
                <w:lang w:eastAsia="zh-CN"/>
              </w:rPr>
            </w:pPr>
            <w:r w:rsidRPr="00CF3673">
              <w:rPr>
                <w:rFonts w:ascii="Calibri" w:eastAsia="Times New Roman" w:hAnsi="Calibri" w:cs="Times New Roman"/>
                <w:szCs w:val="20"/>
                <w:lang w:eastAsia="zh-CN"/>
              </w:rPr>
              <w:t xml:space="preserve">Regaras de origem </w:t>
            </w:r>
            <w:proofErr w:type="spellStart"/>
            <w:r w:rsidRPr="00CF3673">
              <w:rPr>
                <w:rFonts w:ascii="Calibri" w:eastAsia="Times New Roman" w:hAnsi="Calibri" w:cs="Times New Roman"/>
                <w:szCs w:val="20"/>
                <w:lang w:eastAsia="zh-CN"/>
              </w:rPr>
              <w:t>restri</w:t>
            </w:r>
            <w:r w:rsidR="00BD609A" w:rsidRPr="00CF3673">
              <w:rPr>
                <w:rFonts w:ascii="Calibri" w:eastAsia="Times New Roman" w:hAnsi="Calibri" w:cs="Times New Roman"/>
                <w:szCs w:val="20"/>
                <w:lang w:eastAsia="zh-CN"/>
              </w:rPr>
              <w:t>ctivas</w:t>
            </w:r>
            <w:proofErr w:type="spellEnd"/>
          </w:p>
        </w:tc>
        <w:tc>
          <w:tcPr>
            <w:tcW w:w="571" w:type="dxa"/>
            <w:noWrap/>
            <w:hideMark/>
          </w:tcPr>
          <w:p w:rsidR="007B25F0" w:rsidRPr="00CF3673" w:rsidRDefault="007B25F0" w:rsidP="001C71D6">
            <w:pPr>
              <w:jc w:val="center"/>
            </w:pPr>
            <w:r w:rsidRPr="00CF3673">
              <w:t>2.9</w:t>
            </w:r>
          </w:p>
        </w:tc>
        <w:tc>
          <w:tcPr>
            <w:tcW w:w="693" w:type="dxa"/>
            <w:noWrap/>
            <w:hideMark/>
          </w:tcPr>
          <w:p w:rsidR="007B25F0" w:rsidRPr="00CF3673" w:rsidRDefault="007B25F0" w:rsidP="001C71D6">
            <w:pPr>
              <w:jc w:val="center"/>
            </w:pPr>
            <w:r w:rsidRPr="00CF3673">
              <w:t>0.6</w:t>
            </w:r>
          </w:p>
        </w:tc>
        <w:tc>
          <w:tcPr>
            <w:tcW w:w="656" w:type="dxa"/>
            <w:noWrap/>
            <w:hideMark/>
          </w:tcPr>
          <w:p w:rsidR="007B25F0" w:rsidRPr="00CF3673" w:rsidRDefault="007B25F0" w:rsidP="001C71D6">
            <w:pPr>
              <w:jc w:val="center"/>
            </w:pPr>
            <w:r w:rsidRPr="00CF3673">
              <w:t>12.5</w:t>
            </w:r>
          </w:p>
        </w:tc>
        <w:tc>
          <w:tcPr>
            <w:tcW w:w="903" w:type="dxa"/>
            <w:noWrap/>
            <w:hideMark/>
          </w:tcPr>
          <w:p w:rsidR="007B25F0" w:rsidRPr="00CF3673" w:rsidRDefault="007B25F0" w:rsidP="001C71D6">
            <w:pPr>
              <w:jc w:val="center"/>
            </w:pPr>
            <w:r w:rsidRPr="00CF3673">
              <w:t>0.0</w:t>
            </w:r>
          </w:p>
        </w:tc>
        <w:tc>
          <w:tcPr>
            <w:tcW w:w="910" w:type="dxa"/>
            <w:noWrap/>
            <w:hideMark/>
          </w:tcPr>
          <w:p w:rsidR="007B25F0" w:rsidRPr="00CF3673" w:rsidRDefault="007B25F0" w:rsidP="001C71D6">
            <w:pPr>
              <w:jc w:val="center"/>
            </w:pPr>
            <w:r w:rsidRPr="00CF3673">
              <w:t>2.3</w:t>
            </w:r>
          </w:p>
        </w:tc>
        <w:tc>
          <w:tcPr>
            <w:tcW w:w="785" w:type="dxa"/>
            <w:noWrap/>
            <w:hideMark/>
          </w:tcPr>
          <w:p w:rsidR="007B25F0" w:rsidRPr="00CF3673" w:rsidRDefault="007B25F0" w:rsidP="001C71D6">
            <w:pPr>
              <w:jc w:val="center"/>
            </w:pPr>
            <w:r w:rsidRPr="00CF3673">
              <w:t>3.0</w:t>
            </w:r>
          </w:p>
        </w:tc>
      </w:tr>
      <w:tr w:rsidR="007B25F0" w:rsidRPr="00CF3673" w:rsidTr="001C71D6">
        <w:trPr>
          <w:trHeight w:val="330"/>
          <w:jc w:val="center"/>
        </w:trPr>
        <w:tc>
          <w:tcPr>
            <w:tcW w:w="4026" w:type="dxa"/>
            <w:noWrap/>
            <w:hideMark/>
          </w:tcPr>
          <w:p w:rsidR="007B25F0" w:rsidRPr="00CF3673" w:rsidRDefault="00BD609A" w:rsidP="00BD609A">
            <w:pPr>
              <w:rPr>
                <w:rFonts w:ascii="Calibri" w:eastAsia="Times New Roman" w:hAnsi="Calibri" w:cs="Times New Roman"/>
                <w:szCs w:val="20"/>
                <w:lang w:eastAsia="zh-CN"/>
              </w:rPr>
            </w:pPr>
            <w:r w:rsidRPr="00CF3673">
              <w:rPr>
                <w:rFonts w:ascii="Calibri" w:eastAsia="Times New Roman" w:hAnsi="Calibri" w:cs="Times New Roman"/>
                <w:szCs w:val="20"/>
                <w:lang w:eastAsia="zh-CN"/>
              </w:rPr>
              <w:t>Outras barreiras não-tarifárias nos países de destino</w:t>
            </w:r>
          </w:p>
        </w:tc>
        <w:tc>
          <w:tcPr>
            <w:tcW w:w="571" w:type="dxa"/>
            <w:noWrap/>
            <w:hideMark/>
          </w:tcPr>
          <w:p w:rsidR="007B25F0" w:rsidRPr="00CF3673" w:rsidRDefault="007B25F0" w:rsidP="001C71D6">
            <w:pPr>
              <w:jc w:val="center"/>
            </w:pPr>
            <w:r w:rsidRPr="00CF3673">
              <w:t>2.4</w:t>
            </w:r>
          </w:p>
        </w:tc>
        <w:tc>
          <w:tcPr>
            <w:tcW w:w="693" w:type="dxa"/>
            <w:noWrap/>
            <w:hideMark/>
          </w:tcPr>
          <w:p w:rsidR="007B25F0" w:rsidRPr="00CF3673" w:rsidRDefault="007B25F0" w:rsidP="001C71D6">
            <w:pPr>
              <w:jc w:val="center"/>
            </w:pPr>
            <w:r w:rsidRPr="00CF3673">
              <w:t>1.1</w:t>
            </w:r>
          </w:p>
        </w:tc>
        <w:tc>
          <w:tcPr>
            <w:tcW w:w="656" w:type="dxa"/>
            <w:noWrap/>
            <w:hideMark/>
          </w:tcPr>
          <w:p w:rsidR="007B25F0" w:rsidRPr="00CF3673" w:rsidRDefault="007B25F0" w:rsidP="001C71D6">
            <w:pPr>
              <w:jc w:val="center"/>
            </w:pPr>
            <w:r w:rsidRPr="00CF3673">
              <w:t>4.2</w:t>
            </w:r>
          </w:p>
        </w:tc>
        <w:tc>
          <w:tcPr>
            <w:tcW w:w="903" w:type="dxa"/>
            <w:noWrap/>
            <w:hideMark/>
          </w:tcPr>
          <w:p w:rsidR="007B25F0" w:rsidRPr="00CF3673" w:rsidRDefault="007B25F0" w:rsidP="001C71D6">
            <w:pPr>
              <w:jc w:val="center"/>
            </w:pPr>
            <w:r w:rsidRPr="00CF3673">
              <w:t>10.0</w:t>
            </w:r>
          </w:p>
        </w:tc>
        <w:tc>
          <w:tcPr>
            <w:tcW w:w="910" w:type="dxa"/>
            <w:noWrap/>
            <w:hideMark/>
          </w:tcPr>
          <w:p w:rsidR="007B25F0" w:rsidRPr="00CF3673" w:rsidRDefault="007B25F0" w:rsidP="001C71D6">
            <w:pPr>
              <w:jc w:val="center"/>
            </w:pPr>
            <w:r w:rsidRPr="00CF3673">
              <w:t>2.3</w:t>
            </w:r>
          </w:p>
        </w:tc>
        <w:tc>
          <w:tcPr>
            <w:tcW w:w="785" w:type="dxa"/>
            <w:noWrap/>
            <w:hideMark/>
          </w:tcPr>
          <w:p w:rsidR="007B25F0" w:rsidRPr="00CF3673" w:rsidRDefault="007B25F0" w:rsidP="001C71D6">
            <w:pPr>
              <w:jc w:val="center"/>
            </w:pPr>
            <w:r w:rsidRPr="00CF3673">
              <w:t>2.5</w:t>
            </w:r>
          </w:p>
        </w:tc>
      </w:tr>
      <w:tr w:rsidR="007B25F0" w:rsidRPr="00CF3673" w:rsidTr="001C71D6">
        <w:trPr>
          <w:trHeight w:val="330"/>
          <w:jc w:val="center"/>
        </w:trPr>
        <w:tc>
          <w:tcPr>
            <w:tcW w:w="4026" w:type="dxa"/>
            <w:tcBorders>
              <w:bottom w:val="nil"/>
            </w:tcBorders>
            <w:noWrap/>
            <w:hideMark/>
          </w:tcPr>
          <w:p w:rsidR="007B25F0" w:rsidRPr="00CF3673" w:rsidRDefault="00BD609A" w:rsidP="00BD609A">
            <w:pPr>
              <w:rPr>
                <w:rFonts w:ascii="Calibri" w:eastAsia="Times New Roman" w:hAnsi="Calibri" w:cs="Times New Roman"/>
                <w:szCs w:val="20"/>
                <w:lang w:eastAsia="zh-CN"/>
              </w:rPr>
            </w:pPr>
            <w:r w:rsidRPr="00CF3673">
              <w:rPr>
                <w:rFonts w:ascii="Calibri" w:eastAsia="Times New Roman" w:hAnsi="Calibri" w:cs="Times New Roman"/>
                <w:szCs w:val="20"/>
                <w:lang w:eastAsia="zh-CN"/>
              </w:rPr>
              <w:t>Falta de capacidade</w:t>
            </w:r>
          </w:p>
        </w:tc>
        <w:tc>
          <w:tcPr>
            <w:tcW w:w="571" w:type="dxa"/>
            <w:tcBorders>
              <w:bottom w:val="nil"/>
            </w:tcBorders>
            <w:noWrap/>
            <w:hideMark/>
          </w:tcPr>
          <w:p w:rsidR="007B25F0" w:rsidRPr="00CF3673" w:rsidRDefault="007B25F0" w:rsidP="001C71D6">
            <w:pPr>
              <w:jc w:val="center"/>
            </w:pPr>
            <w:r w:rsidRPr="00CF3673">
              <w:t>14.7</w:t>
            </w:r>
          </w:p>
        </w:tc>
        <w:tc>
          <w:tcPr>
            <w:tcW w:w="693" w:type="dxa"/>
            <w:tcBorders>
              <w:bottom w:val="nil"/>
            </w:tcBorders>
            <w:noWrap/>
            <w:hideMark/>
          </w:tcPr>
          <w:p w:rsidR="007B25F0" w:rsidRPr="00CF3673" w:rsidRDefault="007B25F0" w:rsidP="001C71D6">
            <w:pPr>
              <w:jc w:val="center"/>
            </w:pPr>
            <w:r w:rsidRPr="00CF3673">
              <w:t>14.1</w:t>
            </w:r>
          </w:p>
        </w:tc>
        <w:tc>
          <w:tcPr>
            <w:tcW w:w="656" w:type="dxa"/>
            <w:tcBorders>
              <w:bottom w:val="nil"/>
            </w:tcBorders>
            <w:noWrap/>
            <w:hideMark/>
          </w:tcPr>
          <w:p w:rsidR="007B25F0" w:rsidRPr="00CF3673" w:rsidRDefault="007B25F0" w:rsidP="001C71D6">
            <w:pPr>
              <w:jc w:val="center"/>
            </w:pPr>
            <w:r w:rsidRPr="00CF3673">
              <w:t>14.6</w:t>
            </w:r>
          </w:p>
        </w:tc>
        <w:tc>
          <w:tcPr>
            <w:tcW w:w="903" w:type="dxa"/>
            <w:tcBorders>
              <w:bottom w:val="nil"/>
            </w:tcBorders>
            <w:noWrap/>
            <w:hideMark/>
          </w:tcPr>
          <w:p w:rsidR="007B25F0" w:rsidRPr="00CF3673" w:rsidRDefault="007B25F0" w:rsidP="001C71D6">
            <w:pPr>
              <w:jc w:val="center"/>
            </w:pPr>
            <w:r w:rsidRPr="00CF3673">
              <w:t>20.0</w:t>
            </w:r>
          </w:p>
        </w:tc>
        <w:tc>
          <w:tcPr>
            <w:tcW w:w="910" w:type="dxa"/>
            <w:tcBorders>
              <w:bottom w:val="nil"/>
            </w:tcBorders>
            <w:noWrap/>
            <w:hideMark/>
          </w:tcPr>
          <w:p w:rsidR="007B25F0" w:rsidRPr="00CF3673" w:rsidRDefault="007B25F0" w:rsidP="001C71D6">
            <w:pPr>
              <w:jc w:val="center"/>
            </w:pPr>
            <w:r w:rsidRPr="00CF3673">
              <w:t>20.5</w:t>
            </w:r>
          </w:p>
        </w:tc>
        <w:tc>
          <w:tcPr>
            <w:tcW w:w="785" w:type="dxa"/>
            <w:tcBorders>
              <w:bottom w:val="nil"/>
            </w:tcBorders>
            <w:noWrap/>
            <w:hideMark/>
          </w:tcPr>
          <w:p w:rsidR="007B25F0" w:rsidRPr="00CF3673" w:rsidRDefault="007B25F0" w:rsidP="001C71D6">
            <w:pPr>
              <w:jc w:val="center"/>
            </w:pPr>
            <w:r w:rsidRPr="00CF3673">
              <w:t>13.4</w:t>
            </w:r>
          </w:p>
        </w:tc>
      </w:tr>
      <w:tr w:rsidR="007B25F0" w:rsidRPr="00CF3673" w:rsidTr="001C71D6">
        <w:trPr>
          <w:trHeight w:val="330"/>
          <w:jc w:val="center"/>
        </w:trPr>
        <w:tc>
          <w:tcPr>
            <w:tcW w:w="4026" w:type="dxa"/>
            <w:tcBorders>
              <w:top w:val="nil"/>
              <w:bottom w:val="single" w:sz="4" w:space="0" w:color="auto"/>
            </w:tcBorders>
            <w:noWrap/>
            <w:hideMark/>
          </w:tcPr>
          <w:p w:rsidR="007B25F0" w:rsidRPr="00CF3673" w:rsidRDefault="00BD609A" w:rsidP="00BD609A">
            <w:pPr>
              <w:rPr>
                <w:rFonts w:ascii="Calibri" w:eastAsia="Times New Roman" w:hAnsi="Calibri" w:cs="Times New Roman"/>
                <w:szCs w:val="20"/>
                <w:lang w:eastAsia="zh-CN"/>
              </w:rPr>
            </w:pPr>
            <w:r w:rsidRPr="00CF3673">
              <w:rPr>
                <w:rFonts w:ascii="Calibri" w:eastAsia="Times New Roman" w:hAnsi="Calibri" w:cs="Times New Roman"/>
                <w:szCs w:val="20"/>
                <w:lang w:eastAsia="zh-CN"/>
              </w:rPr>
              <w:t xml:space="preserve">Falta de </w:t>
            </w:r>
            <w:r w:rsidR="007B25F0" w:rsidRPr="00CF3673">
              <w:rPr>
                <w:rFonts w:ascii="Calibri" w:eastAsia="Times New Roman" w:hAnsi="Calibri" w:cs="Times New Roman"/>
                <w:szCs w:val="20"/>
                <w:lang w:eastAsia="zh-CN"/>
              </w:rPr>
              <w:t>demand</w:t>
            </w:r>
            <w:r w:rsidRPr="00CF3673">
              <w:rPr>
                <w:rFonts w:ascii="Calibri" w:eastAsia="Times New Roman" w:hAnsi="Calibri" w:cs="Times New Roman"/>
                <w:szCs w:val="20"/>
                <w:lang w:eastAsia="zh-CN"/>
              </w:rPr>
              <w:t>a</w:t>
            </w:r>
            <w:r w:rsidR="007B25F0" w:rsidRPr="00CF3673">
              <w:rPr>
                <w:rFonts w:ascii="Calibri" w:eastAsia="Times New Roman" w:hAnsi="Calibri" w:cs="Times New Roman"/>
                <w:szCs w:val="20"/>
                <w:lang w:eastAsia="zh-CN"/>
              </w:rPr>
              <w:t xml:space="preserve"> / </w:t>
            </w:r>
            <w:r w:rsidRPr="00CF3673">
              <w:rPr>
                <w:rFonts w:ascii="Calibri" w:eastAsia="Times New Roman" w:hAnsi="Calibri" w:cs="Times New Roman"/>
                <w:szCs w:val="20"/>
                <w:lang w:eastAsia="zh-CN"/>
              </w:rPr>
              <w:t xml:space="preserve">outros </w:t>
            </w:r>
          </w:p>
        </w:tc>
        <w:tc>
          <w:tcPr>
            <w:tcW w:w="571" w:type="dxa"/>
            <w:tcBorders>
              <w:top w:val="nil"/>
              <w:bottom w:val="single" w:sz="4" w:space="0" w:color="auto"/>
            </w:tcBorders>
            <w:noWrap/>
            <w:hideMark/>
          </w:tcPr>
          <w:p w:rsidR="007B25F0" w:rsidRPr="00CF3673" w:rsidRDefault="007B25F0" w:rsidP="001C71D6">
            <w:pPr>
              <w:jc w:val="center"/>
            </w:pPr>
            <w:r w:rsidRPr="00CF3673">
              <w:t>8.2</w:t>
            </w:r>
          </w:p>
        </w:tc>
        <w:tc>
          <w:tcPr>
            <w:tcW w:w="693" w:type="dxa"/>
            <w:tcBorders>
              <w:top w:val="nil"/>
              <w:bottom w:val="single" w:sz="4" w:space="0" w:color="auto"/>
            </w:tcBorders>
            <w:noWrap/>
            <w:hideMark/>
          </w:tcPr>
          <w:p w:rsidR="007B25F0" w:rsidRPr="00CF3673" w:rsidRDefault="007B25F0" w:rsidP="001C71D6">
            <w:pPr>
              <w:jc w:val="center"/>
            </w:pPr>
            <w:r w:rsidRPr="00CF3673">
              <w:t>7.9</w:t>
            </w:r>
          </w:p>
        </w:tc>
        <w:tc>
          <w:tcPr>
            <w:tcW w:w="656" w:type="dxa"/>
            <w:tcBorders>
              <w:top w:val="nil"/>
              <w:bottom w:val="single" w:sz="4" w:space="0" w:color="auto"/>
            </w:tcBorders>
            <w:noWrap/>
            <w:hideMark/>
          </w:tcPr>
          <w:p w:rsidR="007B25F0" w:rsidRPr="00CF3673" w:rsidRDefault="007B25F0" w:rsidP="001C71D6">
            <w:pPr>
              <w:jc w:val="center"/>
            </w:pPr>
            <w:r w:rsidRPr="00CF3673">
              <w:t>8.3</w:t>
            </w:r>
          </w:p>
        </w:tc>
        <w:tc>
          <w:tcPr>
            <w:tcW w:w="903" w:type="dxa"/>
            <w:tcBorders>
              <w:top w:val="nil"/>
              <w:bottom w:val="single" w:sz="4" w:space="0" w:color="auto"/>
            </w:tcBorders>
            <w:noWrap/>
            <w:hideMark/>
          </w:tcPr>
          <w:p w:rsidR="007B25F0" w:rsidRPr="00CF3673" w:rsidRDefault="007B25F0" w:rsidP="001C71D6">
            <w:pPr>
              <w:jc w:val="center"/>
            </w:pPr>
            <w:r w:rsidRPr="00CF3673">
              <w:t>10.0</w:t>
            </w:r>
          </w:p>
        </w:tc>
        <w:tc>
          <w:tcPr>
            <w:tcW w:w="910" w:type="dxa"/>
            <w:tcBorders>
              <w:top w:val="nil"/>
              <w:bottom w:val="single" w:sz="4" w:space="0" w:color="auto"/>
            </w:tcBorders>
            <w:noWrap/>
            <w:hideMark/>
          </w:tcPr>
          <w:p w:rsidR="007B25F0" w:rsidRPr="00CF3673" w:rsidRDefault="007B25F0" w:rsidP="001C71D6">
            <w:pPr>
              <w:jc w:val="center"/>
            </w:pPr>
            <w:r w:rsidRPr="00CF3673">
              <w:t>2.3</w:t>
            </w:r>
          </w:p>
        </w:tc>
        <w:tc>
          <w:tcPr>
            <w:tcW w:w="785" w:type="dxa"/>
            <w:tcBorders>
              <w:top w:val="nil"/>
              <w:bottom w:val="single" w:sz="4" w:space="0" w:color="auto"/>
            </w:tcBorders>
            <w:noWrap/>
            <w:hideMark/>
          </w:tcPr>
          <w:p w:rsidR="007B25F0" w:rsidRPr="00CF3673" w:rsidRDefault="007B25F0" w:rsidP="001C71D6">
            <w:pPr>
              <w:jc w:val="center"/>
            </w:pPr>
            <w:r w:rsidRPr="00CF3673">
              <w:t>9.5</w:t>
            </w:r>
          </w:p>
        </w:tc>
      </w:tr>
      <w:tr w:rsidR="007B25F0" w:rsidRPr="00CF3673" w:rsidTr="001C71D6">
        <w:trPr>
          <w:trHeight w:val="330"/>
          <w:jc w:val="center"/>
        </w:trPr>
        <w:tc>
          <w:tcPr>
            <w:tcW w:w="4026" w:type="dxa"/>
            <w:tcBorders>
              <w:top w:val="single" w:sz="4" w:space="0" w:color="auto"/>
              <w:bottom w:val="double" w:sz="4" w:space="0" w:color="auto"/>
            </w:tcBorders>
            <w:noWrap/>
            <w:hideMark/>
          </w:tcPr>
          <w:p w:rsidR="007B25F0" w:rsidRPr="00CF3673" w:rsidRDefault="00BD609A" w:rsidP="00BD609A">
            <w:pPr>
              <w:rPr>
                <w:rFonts w:ascii="Calibri" w:eastAsia="Times New Roman" w:hAnsi="Calibri" w:cs="Times New Roman"/>
                <w:szCs w:val="20"/>
                <w:lang w:eastAsia="zh-CN"/>
              </w:rPr>
            </w:pPr>
            <w:r w:rsidRPr="00CF3673">
              <w:rPr>
                <w:rFonts w:ascii="Calibri" w:eastAsia="Times New Roman" w:hAnsi="Calibri" w:cs="Times New Roman"/>
                <w:szCs w:val="20"/>
                <w:lang w:eastAsia="zh-CN"/>
              </w:rPr>
              <w:t>Números de</w:t>
            </w:r>
            <w:r w:rsidR="001C71D6" w:rsidRPr="00CF3673">
              <w:rPr>
                <w:rFonts w:ascii="Calibri" w:eastAsia="Times New Roman" w:hAnsi="Calibri" w:cs="Times New Roman"/>
                <w:szCs w:val="20"/>
                <w:lang w:eastAsia="zh-CN"/>
              </w:rPr>
              <w:t xml:space="preserve"> obs</w:t>
            </w:r>
            <w:r w:rsidRPr="00CF3673">
              <w:rPr>
                <w:rFonts w:ascii="Calibri" w:eastAsia="Times New Roman" w:hAnsi="Calibri" w:cs="Times New Roman"/>
                <w:szCs w:val="20"/>
                <w:lang w:eastAsia="zh-CN"/>
              </w:rPr>
              <w:t>ervações</w:t>
            </w:r>
          </w:p>
        </w:tc>
        <w:tc>
          <w:tcPr>
            <w:tcW w:w="571" w:type="dxa"/>
            <w:tcBorders>
              <w:top w:val="single" w:sz="4" w:space="0" w:color="auto"/>
              <w:bottom w:val="double" w:sz="4" w:space="0" w:color="auto"/>
            </w:tcBorders>
            <w:noWrap/>
            <w:hideMark/>
          </w:tcPr>
          <w:p w:rsidR="007B25F0" w:rsidRPr="00CF3673" w:rsidRDefault="007B25F0" w:rsidP="001C71D6">
            <w:pPr>
              <w:jc w:val="center"/>
            </w:pPr>
            <w:r w:rsidRPr="00CF3673">
              <w:t>245</w:t>
            </w:r>
          </w:p>
        </w:tc>
        <w:tc>
          <w:tcPr>
            <w:tcW w:w="693" w:type="dxa"/>
            <w:tcBorders>
              <w:top w:val="single" w:sz="4" w:space="0" w:color="auto"/>
              <w:bottom w:val="double" w:sz="4" w:space="0" w:color="auto"/>
            </w:tcBorders>
            <w:noWrap/>
            <w:hideMark/>
          </w:tcPr>
          <w:p w:rsidR="007B25F0" w:rsidRPr="00CF3673" w:rsidRDefault="007B25F0" w:rsidP="001C71D6">
            <w:pPr>
              <w:jc w:val="center"/>
            </w:pPr>
            <w:r w:rsidRPr="00CF3673">
              <w:t>177</w:t>
            </w:r>
          </w:p>
        </w:tc>
        <w:tc>
          <w:tcPr>
            <w:tcW w:w="656" w:type="dxa"/>
            <w:tcBorders>
              <w:top w:val="single" w:sz="4" w:space="0" w:color="auto"/>
              <w:bottom w:val="double" w:sz="4" w:space="0" w:color="auto"/>
            </w:tcBorders>
            <w:noWrap/>
            <w:hideMark/>
          </w:tcPr>
          <w:p w:rsidR="007B25F0" w:rsidRPr="00CF3673" w:rsidRDefault="007B25F0" w:rsidP="001C71D6">
            <w:pPr>
              <w:jc w:val="center"/>
            </w:pPr>
            <w:r w:rsidRPr="00CF3673">
              <w:t>48</w:t>
            </w:r>
          </w:p>
        </w:tc>
        <w:tc>
          <w:tcPr>
            <w:tcW w:w="903" w:type="dxa"/>
            <w:tcBorders>
              <w:top w:val="single" w:sz="4" w:space="0" w:color="auto"/>
              <w:bottom w:val="double" w:sz="4" w:space="0" w:color="auto"/>
            </w:tcBorders>
            <w:noWrap/>
            <w:hideMark/>
          </w:tcPr>
          <w:p w:rsidR="007B25F0" w:rsidRPr="00CF3673" w:rsidRDefault="007B25F0" w:rsidP="001C71D6">
            <w:pPr>
              <w:jc w:val="center"/>
            </w:pPr>
            <w:r w:rsidRPr="00CF3673">
              <w:t>20</w:t>
            </w:r>
          </w:p>
        </w:tc>
        <w:tc>
          <w:tcPr>
            <w:tcW w:w="910" w:type="dxa"/>
            <w:tcBorders>
              <w:top w:val="single" w:sz="4" w:space="0" w:color="auto"/>
              <w:bottom w:val="double" w:sz="4" w:space="0" w:color="auto"/>
            </w:tcBorders>
            <w:noWrap/>
            <w:hideMark/>
          </w:tcPr>
          <w:p w:rsidR="007B25F0" w:rsidRPr="00CF3673" w:rsidRDefault="007B25F0" w:rsidP="001C71D6">
            <w:pPr>
              <w:jc w:val="center"/>
            </w:pPr>
            <w:r w:rsidRPr="00CF3673">
              <w:t>44</w:t>
            </w:r>
          </w:p>
        </w:tc>
        <w:tc>
          <w:tcPr>
            <w:tcW w:w="785" w:type="dxa"/>
            <w:tcBorders>
              <w:top w:val="single" w:sz="4" w:space="0" w:color="auto"/>
              <w:bottom w:val="double" w:sz="4" w:space="0" w:color="auto"/>
            </w:tcBorders>
            <w:noWrap/>
            <w:hideMark/>
          </w:tcPr>
          <w:p w:rsidR="007B25F0" w:rsidRPr="00CF3673" w:rsidRDefault="007B25F0" w:rsidP="001C71D6">
            <w:pPr>
              <w:jc w:val="center"/>
            </w:pPr>
            <w:r w:rsidRPr="00CF3673">
              <w:t>201</w:t>
            </w:r>
          </w:p>
        </w:tc>
      </w:tr>
      <w:tr w:rsidR="001C71D6" w:rsidRPr="00CF3673" w:rsidTr="001C71D6">
        <w:trPr>
          <w:trHeight w:val="330"/>
          <w:jc w:val="center"/>
        </w:trPr>
        <w:tc>
          <w:tcPr>
            <w:tcW w:w="8544" w:type="dxa"/>
            <w:gridSpan w:val="7"/>
            <w:tcBorders>
              <w:top w:val="double" w:sz="4" w:space="0" w:color="auto"/>
              <w:bottom w:val="nil"/>
            </w:tcBorders>
            <w:noWrap/>
          </w:tcPr>
          <w:p w:rsidR="001C71D6" w:rsidRPr="00CF3673" w:rsidRDefault="001C71D6" w:rsidP="00BD609A">
            <w:pPr>
              <w:pStyle w:val="Tablenote"/>
              <w:rPr>
                <w:b/>
                <w:lang w:val="pt-PT"/>
              </w:rPr>
            </w:pPr>
            <w:r w:rsidRPr="00CF3673">
              <w:rPr>
                <w:b/>
                <w:lang w:val="pt-PT"/>
              </w:rPr>
              <w:t>Note:</w:t>
            </w:r>
            <w:r w:rsidRPr="00CF3673">
              <w:rPr>
                <w:lang w:val="pt-PT"/>
              </w:rPr>
              <w:t xml:space="preserve"> </w:t>
            </w:r>
            <w:r w:rsidR="00BD609A" w:rsidRPr="00CF3673">
              <w:rPr>
                <w:lang w:val="pt-PT"/>
              </w:rPr>
              <w:t>O somatório da percentagem não perfaz 100 porque alguns dos respondentes deram mais do que uma resposta para uma pergunta</w:t>
            </w:r>
            <w:r w:rsidRPr="00CF3673">
              <w:rPr>
                <w:lang w:val="pt-PT"/>
              </w:rPr>
              <w:t xml:space="preserve">. </w:t>
            </w:r>
            <w:r w:rsidR="00BD609A" w:rsidRPr="00CF3673">
              <w:rPr>
                <w:lang w:val="pt-PT"/>
              </w:rPr>
              <w:t xml:space="preserve">Somente os não-exportadores que não disseram explicitamente que </w:t>
            </w:r>
            <w:r w:rsidRPr="00CF3673">
              <w:rPr>
                <w:lang w:val="pt-PT"/>
              </w:rPr>
              <w:t>“</w:t>
            </w:r>
            <w:r w:rsidR="00BD609A" w:rsidRPr="00CF3673">
              <w:rPr>
                <w:lang w:val="pt-PT"/>
              </w:rPr>
              <w:t>exportação não faz parte da estratégia da empresa”</w:t>
            </w:r>
            <w:r w:rsidRPr="00CF3673">
              <w:rPr>
                <w:lang w:val="pt-PT"/>
              </w:rPr>
              <w:t xml:space="preserve"> </w:t>
            </w:r>
            <w:r w:rsidR="00BD609A" w:rsidRPr="00CF3673">
              <w:rPr>
                <w:lang w:val="pt-PT"/>
              </w:rPr>
              <w:t xml:space="preserve">estão </w:t>
            </w:r>
            <w:proofErr w:type="spellStart"/>
            <w:r w:rsidR="00BD609A" w:rsidRPr="00CF3673">
              <w:rPr>
                <w:lang w:val="pt-PT"/>
              </w:rPr>
              <w:t>incluindos</w:t>
            </w:r>
            <w:proofErr w:type="spellEnd"/>
            <w:r w:rsidRPr="00CF3673">
              <w:rPr>
                <w:lang w:val="pt-PT"/>
              </w:rPr>
              <w:t>.</w:t>
            </w:r>
          </w:p>
        </w:tc>
      </w:tr>
      <w:tr w:rsidR="001C71D6" w:rsidRPr="00CF3673" w:rsidTr="001C71D6">
        <w:trPr>
          <w:cnfStyle w:val="010000000000" w:firstRow="0" w:lastRow="1" w:firstColumn="0" w:lastColumn="0" w:oddVBand="0" w:evenVBand="0" w:oddHBand="0" w:evenHBand="0" w:firstRowFirstColumn="0" w:firstRowLastColumn="0" w:lastRowFirstColumn="0" w:lastRowLastColumn="0"/>
          <w:trHeight w:val="330"/>
          <w:jc w:val="center"/>
        </w:trPr>
        <w:tc>
          <w:tcPr>
            <w:tcW w:w="8544" w:type="dxa"/>
            <w:gridSpan w:val="7"/>
            <w:tcBorders>
              <w:top w:val="nil"/>
              <w:bottom w:val="nil"/>
            </w:tcBorders>
            <w:noWrap/>
          </w:tcPr>
          <w:p w:rsidR="001C71D6" w:rsidRPr="00CF3673" w:rsidRDefault="006A4724" w:rsidP="00BD609A">
            <w:pPr>
              <w:pStyle w:val="Tablenote"/>
              <w:rPr>
                <w:b/>
                <w:lang w:val="pt-PT"/>
              </w:rPr>
            </w:pPr>
            <w:r w:rsidRPr="00CF3673">
              <w:rPr>
                <w:b/>
                <w:lang w:val="pt-PT"/>
              </w:rPr>
              <w:t>Fonte:</w:t>
            </w:r>
            <w:r w:rsidR="001C71D6" w:rsidRPr="00CF3673">
              <w:rPr>
                <w:b/>
                <w:lang w:val="pt-PT"/>
              </w:rPr>
              <w:t>:</w:t>
            </w:r>
            <w:r w:rsidR="001C71D6" w:rsidRPr="00CF3673">
              <w:rPr>
                <w:lang w:val="pt-PT"/>
              </w:rPr>
              <w:t xml:space="preserve"> </w:t>
            </w:r>
            <w:r w:rsidRPr="00CF3673">
              <w:rPr>
                <w:lang w:val="pt-PT"/>
              </w:rPr>
              <w:t>Cálculos</w:t>
            </w:r>
            <w:r w:rsidR="00BD609A" w:rsidRPr="00CF3673">
              <w:rPr>
                <w:lang w:val="pt-PT"/>
              </w:rPr>
              <w:t xml:space="preserve"> dos autores com base no </w:t>
            </w:r>
            <w:r w:rsidR="001C71D6" w:rsidRPr="00CF3673">
              <w:rPr>
                <w:lang w:val="pt-PT"/>
              </w:rPr>
              <w:t>IIM 2012.</w:t>
            </w:r>
          </w:p>
        </w:tc>
      </w:tr>
    </w:tbl>
    <w:p w:rsidR="002342D9" w:rsidRPr="00CF3673" w:rsidRDefault="002342D9" w:rsidP="001E664B">
      <w:pPr>
        <w:pStyle w:val="MainText"/>
        <w:rPr>
          <w:lang w:val="pt-PT"/>
        </w:rPr>
      </w:pPr>
    </w:p>
    <w:p w:rsidR="00BD609A" w:rsidRPr="00CF3673" w:rsidRDefault="00BD609A" w:rsidP="001E664B">
      <w:pPr>
        <w:pStyle w:val="SectionTitle"/>
        <w:rPr>
          <w:lang w:val="pt-PT"/>
        </w:rPr>
      </w:pPr>
      <w:bookmarkStart w:id="42" w:name="_Toc360720399"/>
    </w:p>
    <w:p w:rsidR="002342D9" w:rsidRPr="00CF3673" w:rsidRDefault="004D1585" w:rsidP="001E664B">
      <w:pPr>
        <w:pStyle w:val="SectionTitle"/>
        <w:rPr>
          <w:lang w:val="pt-PT"/>
        </w:rPr>
      </w:pPr>
      <w:r w:rsidRPr="00CF3673">
        <w:rPr>
          <w:lang w:val="pt-PT"/>
        </w:rPr>
        <w:t>7</w:t>
      </w:r>
      <w:r w:rsidR="002342D9" w:rsidRPr="00CF3673">
        <w:rPr>
          <w:lang w:val="pt-PT"/>
        </w:rPr>
        <w:t>.2</w:t>
      </w:r>
      <w:r w:rsidR="003B376C" w:rsidRPr="00CF3673">
        <w:rPr>
          <w:lang w:val="pt-PT"/>
        </w:rPr>
        <w:t>.</w:t>
      </w:r>
      <w:r w:rsidR="002342D9" w:rsidRPr="00CF3673">
        <w:rPr>
          <w:lang w:val="pt-PT"/>
        </w:rPr>
        <w:t xml:space="preserve"> </w:t>
      </w:r>
      <w:r w:rsidR="006A4724" w:rsidRPr="00CF3673">
        <w:rPr>
          <w:lang w:val="pt-PT"/>
        </w:rPr>
        <w:t>Estrutura</w:t>
      </w:r>
      <w:r w:rsidR="00BD609A" w:rsidRPr="00CF3673">
        <w:rPr>
          <w:lang w:val="pt-PT"/>
        </w:rPr>
        <w:t xml:space="preserve"> de vendas</w:t>
      </w:r>
      <w:bookmarkEnd w:id="42"/>
    </w:p>
    <w:p w:rsidR="00BD609A" w:rsidRPr="00CF3673" w:rsidRDefault="00BD609A" w:rsidP="001E664B">
      <w:pPr>
        <w:pStyle w:val="MainText"/>
        <w:rPr>
          <w:lang w:val="pt-PT"/>
        </w:rPr>
      </w:pPr>
      <w:r w:rsidRPr="00CF3673">
        <w:rPr>
          <w:lang w:val="pt-PT"/>
        </w:rPr>
        <w:t xml:space="preserve">Por forma a se obter uma ideia do mercado para produtos das empresas manufactureira de </w:t>
      </w:r>
      <w:r w:rsidR="006A4724" w:rsidRPr="00CF3673">
        <w:rPr>
          <w:lang w:val="pt-PT"/>
        </w:rPr>
        <w:t>Moçambique</w:t>
      </w:r>
      <w:r w:rsidRPr="00CF3673">
        <w:rPr>
          <w:lang w:val="pt-PT"/>
        </w:rPr>
        <w:t>, esta secção</w:t>
      </w:r>
      <w:r w:rsidR="00560F20" w:rsidRPr="00CF3673">
        <w:rPr>
          <w:lang w:val="pt-PT"/>
        </w:rPr>
        <w:t xml:space="preserve"> examina a estrutura de vendas das empresas abrangidas na amostra. </w:t>
      </w:r>
      <w:r w:rsidRPr="00CF3673">
        <w:rPr>
          <w:lang w:val="pt-PT"/>
        </w:rPr>
        <w:t xml:space="preserve"> </w:t>
      </w:r>
    </w:p>
    <w:p w:rsidR="00560F20" w:rsidRPr="00CF3673" w:rsidRDefault="00560F20" w:rsidP="001E664B">
      <w:pPr>
        <w:pStyle w:val="MainText"/>
        <w:rPr>
          <w:lang w:val="pt-PT"/>
        </w:rPr>
      </w:pPr>
      <w:r w:rsidRPr="00CF3673">
        <w:rPr>
          <w:lang w:val="pt-PT"/>
        </w:rPr>
        <w:t xml:space="preserve">A tabela 7.5 mostra a distribuição regional de vendas de diferentes tamanhos de empresas. Duma maneira geral, as empresas manufactureiras moçambicanas tem um enfoque forte ao mercado local com 79% das vendas a irem para a mesma localidade e 89% ao mesmo distrito onde está localizada a empresa. Esta tendência </w:t>
      </w:r>
      <w:r w:rsidR="001C776D" w:rsidRPr="00CF3673">
        <w:rPr>
          <w:lang w:val="pt-PT"/>
        </w:rPr>
        <w:t xml:space="preserve">é ainda mais marcante ao nível das </w:t>
      </w:r>
      <w:r w:rsidR="006A4724" w:rsidRPr="00CF3673">
        <w:rPr>
          <w:lang w:val="pt-PT"/>
        </w:rPr>
        <w:t>microempresas</w:t>
      </w:r>
      <w:r w:rsidR="001C776D" w:rsidRPr="00CF3673">
        <w:rPr>
          <w:lang w:val="pt-PT"/>
        </w:rPr>
        <w:t xml:space="preserve"> que cobre na sua esmagadora maioria ao mercado loca, com 95% das vendas localmente. O enfoque local das vendas é menos pronunciado nas medias-empresas com 35% das vendas fora do seu distrito. De qualquer modo, as medias-empresas têm mais de 50% das vendas na sua proporia localidade; portanto existe uma enfase ao mercado local em quase na maioria das empresas a despeito do seu tamanho.</w:t>
      </w:r>
    </w:p>
    <w:p w:rsidR="001C776D" w:rsidRPr="00CF3673" w:rsidRDefault="001C776D" w:rsidP="007F35E3">
      <w:pPr>
        <w:pStyle w:val="MainText"/>
        <w:rPr>
          <w:lang w:val="pt-PT"/>
        </w:rPr>
      </w:pPr>
      <w:r w:rsidRPr="00CF3673">
        <w:rPr>
          <w:lang w:val="pt-PT"/>
        </w:rPr>
        <w:t xml:space="preserve">Dado que exportar está </w:t>
      </w:r>
      <w:r w:rsidR="006A4724" w:rsidRPr="00CF3673">
        <w:rPr>
          <w:lang w:val="pt-PT"/>
        </w:rPr>
        <w:t>associado</w:t>
      </w:r>
      <w:r w:rsidRPr="00CF3673">
        <w:rPr>
          <w:lang w:val="pt-PT"/>
        </w:rPr>
        <w:t xml:space="preserve"> com alta </w:t>
      </w:r>
      <w:r w:rsidR="006A4724" w:rsidRPr="00CF3673">
        <w:rPr>
          <w:lang w:val="pt-PT"/>
        </w:rPr>
        <w:t>produtividade</w:t>
      </w:r>
      <w:r w:rsidRPr="00CF3673">
        <w:rPr>
          <w:lang w:val="pt-PT"/>
        </w:rPr>
        <w:t xml:space="preserve">, </w:t>
      </w:r>
      <w:r w:rsidR="000A6486" w:rsidRPr="00CF3673">
        <w:rPr>
          <w:lang w:val="pt-PT"/>
        </w:rPr>
        <w:t xml:space="preserve">foi testado se mais vendas a própria localidade estava ligada a </w:t>
      </w:r>
      <w:r w:rsidR="006A4724" w:rsidRPr="00CF3673">
        <w:rPr>
          <w:lang w:val="pt-PT"/>
        </w:rPr>
        <w:t>produtividade</w:t>
      </w:r>
      <w:r w:rsidR="000A6486" w:rsidRPr="00CF3673">
        <w:rPr>
          <w:lang w:val="pt-PT"/>
        </w:rPr>
        <w:t xml:space="preserve">, mas tal não foi concluído como sendo o caso. Foi igualmente testado se a razão dada para não exportar era diferente das empresas com vendas em </w:t>
      </w:r>
      <w:r w:rsidR="006A4724" w:rsidRPr="00CF3673">
        <w:rPr>
          <w:lang w:val="pt-PT"/>
        </w:rPr>
        <w:t>províncias</w:t>
      </w:r>
      <w:r w:rsidR="000A6486" w:rsidRPr="00CF3673">
        <w:rPr>
          <w:lang w:val="pt-PT"/>
        </w:rPr>
        <w:t xml:space="preserve"> não circunvizinhas e este não constatado como sendo o caso.</w:t>
      </w:r>
    </w:p>
    <w:p w:rsidR="000A6486" w:rsidRPr="00CF3673" w:rsidRDefault="00E333A2" w:rsidP="00F41831">
      <w:pPr>
        <w:pStyle w:val="TableTitle"/>
        <w:rPr>
          <w:lang w:val="pt-PT"/>
        </w:rPr>
      </w:pPr>
      <w:bookmarkStart w:id="43" w:name="_Toc360720483"/>
      <w:r w:rsidRPr="00CF3673">
        <w:rPr>
          <w:lang w:val="pt-PT"/>
        </w:rPr>
        <w:t>Tab</w:t>
      </w:r>
      <w:r w:rsidR="000A6486" w:rsidRPr="00CF3673">
        <w:rPr>
          <w:lang w:val="pt-PT"/>
        </w:rPr>
        <w:t>e</w:t>
      </w:r>
      <w:r w:rsidRPr="00CF3673">
        <w:rPr>
          <w:lang w:val="pt-PT"/>
        </w:rPr>
        <w:t>l</w:t>
      </w:r>
      <w:r w:rsidR="000A6486" w:rsidRPr="00CF3673">
        <w:rPr>
          <w:lang w:val="pt-PT"/>
        </w:rPr>
        <w:t>a</w:t>
      </w:r>
      <w:r w:rsidR="00760B1B" w:rsidRPr="00CF3673">
        <w:rPr>
          <w:lang w:val="pt-PT"/>
        </w:rPr>
        <w:t xml:space="preserve"> </w:t>
      </w:r>
      <w:r w:rsidR="004D1585" w:rsidRPr="00CF3673">
        <w:rPr>
          <w:lang w:val="pt-PT"/>
        </w:rPr>
        <w:t>7</w:t>
      </w:r>
      <w:r w:rsidR="00760B1B" w:rsidRPr="00CF3673">
        <w:rPr>
          <w:lang w:val="pt-PT"/>
        </w:rPr>
        <w:t>.</w:t>
      </w:r>
      <w:r w:rsidR="00732994" w:rsidRPr="00CF3673">
        <w:rPr>
          <w:lang w:val="pt-PT"/>
        </w:rPr>
        <w:t>5</w:t>
      </w:r>
      <w:r w:rsidR="00A25979" w:rsidRPr="00CF3673">
        <w:rPr>
          <w:lang w:val="pt-PT"/>
        </w:rPr>
        <w:t xml:space="preserve">: </w:t>
      </w:r>
      <w:r w:rsidR="000A6486" w:rsidRPr="00CF3673">
        <w:rPr>
          <w:lang w:val="pt-PT"/>
        </w:rPr>
        <w:t>Distribuição regional das vendas pelo tamanho das empresas, % das vendas totais.</w:t>
      </w:r>
    </w:p>
    <w:tbl>
      <w:tblPr>
        <w:tblStyle w:val="StandardTable"/>
        <w:tblW w:w="0" w:type="auto"/>
        <w:jc w:val="center"/>
        <w:tblLayout w:type="fixed"/>
        <w:tblLook w:val="04E0" w:firstRow="1" w:lastRow="1" w:firstColumn="1" w:lastColumn="0" w:noHBand="0" w:noVBand="1"/>
      </w:tblPr>
      <w:tblGrid>
        <w:gridCol w:w="2607"/>
        <w:gridCol w:w="571"/>
        <w:gridCol w:w="693"/>
        <w:gridCol w:w="656"/>
        <w:gridCol w:w="903"/>
      </w:tblGrid>
      <w:tr w:rsidR="003F1A66" w:rsidRPr="00CF3673" w:rsidTr="00F01103">
        <w:trPr>
          <w:cnfStyle w:val="100000000000" w:firstRow="1" w:lastRow="0" w:firstColumn="0" w:lastColumn="0" w:oddVBand="0" w:evenVBand="0" w:oddHBand="0" w:evenHBand="0" w:firstRowFirstColumn="0" w:firstRowLastColumn="0" w:lastRowFirstColumn="0" w:lastRowLastColumn="0"/>
          <w:trHeight w:val="300"/>
          <w:jc w:val="center"/>
        </w:trPr>
        <w:tc>
          <w:tcPr>
            <w:tcW w:w="2607" w:type="dxa"/>
            <w:noWrap/>
            <w:hideMark/>
          </w:tcPr>
          <w:bookmarkEnd w:id="43"/>
          <w:p w:rsidR="003F1A66" w:rsidRPr="00CF3673" w:rsidRDefault="000A6486" w:rsidP="000A6486">
            <w:pPr>
              <w:rPr>
                <w:rFonts w:ascii="Calibri" w:eastAsia="Times New Roman" w:hAnsi="Calibri" w:cs="Times New Roman"/>
                <w:lang w:eastAsia="zh-CN"/>
              </w:rPr>
            </w:pPr>
            <w:r w:rsidRPr="00CF3673">
              <w:rPr>
                <w:rFonts w:ascii="Calibri" w:eastAsia="Times New Roman" w:hAnsi="Calibri" w:cs="Times New Roman"/>
                <w:lang w:eastAsia="zh-CN"/>
              </w:rPr>
              <w:t>% das vendas</w:t>
            </w:r>
          </w:p>
        </w:tc>
        <w:tc>
          <w:tcPr>
            <w:tcW w:w="571" w:type="dxa"/>
            <w:noWrap/>
            <w:hideMark/>
          </w:tcPr>
          <w:p w:rsidR="003F1A66" w:rsidRPr="00CF3673" w:rsidRDefault="000A6486" w:rsidP="000A6486">
            <w:pPr>
              <w:jc w:val="center"/>
              <w:rPr>
                <w:rFonts w:ascii="Calibri" w:eastAsia="Times New Roman" w:hAnsi="Calibri" w:cs="Times New Roman"/>
                <w:lang w:eastAsia="zh-CN"/>
              </w:rPr>
            </w:pPr>
            <w:r w:rsidRPr="00CF3673">
              <w:rPr>
                <w:rFonts w:ascii="Calibri" w:eastAsia="Times New Roman" w:hAnsi="Calibri" w:cs="Times New Roman"/>
                <w:lang w:eastAsia="zh-CN"/>
              </w:rPr>
              <w:t>Todas</w:t>
            </w:r>
          </w:p>
        </w:tc>
        <w:tc>
          <w:tcPr>
            <w:tcW w:w="693" w:type="dxa"/>
            <w:noWrap/>
            <w:hideMark/>
          </w:tcPr>
          <w:p w:rsidR="003F1A66" w:rsidRPr="00CF3673" w:rsidRDefault="003F1A66" w:rsidP="003F1A66">
            <w:pPr>
              <w:jc w:val="cente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656" w:type="dxa"/>
            <w:noWrap/>
            <w:hideMark/>
          </w:tcPr>
          <w:p w:rsidR="003F1A66" w:rsidRPr="00CF3673" w:rsidRDefault="000A6486" w:rsidP="000A6486">
            <w:pPr>
              <w:jc w:val="center"/>
              <w:rPr>
                <w:rFonts w:ascii="Calibri" w:eastAsia="Times New Roman" w:hAnsi="Calibri" w:cs="Times New Roman"/>
                <w:lang w:eastAsia="zh-CN"/>
              </w:rPr>
            </w:pPr>
            <w:r w:rsidRPr="00CF3673">
              <w:rPr>
                <w:rFonts w:ascii="Calibri" w:eastAsia="Times New Roman" w:hAnsi="Calibri" w:cs="Times New Roman"/>
                <w:lang w:eastAsia="zh-CN"/>
              </w:rPr>
              <w:t xml:space="preserve">Pequenas </w:t>
            </w:r>
          </w:p>
        </w:tc>
        <w:tc>
          <w:tcPr>
            <w:tcW w:w="903" w:type="dxa"/>
            <w:noWrap/>
          </w:tcPr>
          <w:p w:rsidR="003F1A66" w:rsidRPr="00CF3673" w:rsidRDefault="003F1A66" w:rsidP="000A6486">
            <w:pPr>
              <w:jc w:val="center"/>
              <w:rPr>
                <w:rFonts w:ascii="Calibri" w:eastAsia="Times New Roman" w:hAnsi="Calibri" w:cs="Times New Roman"/>
                <w:lang w:eastAsia="zh-CN"/>
              </w:rPr>
            </w:pPr>
            <w:r w:rsidRPr="00CF3673">
              <w:rPr>
                <w:rFonts w:ascii="Calibri" w:eastAsia="Times New Roman" w:hAnsi="Calibri" w:cs="Times New Roman"/>
                <w:lang w:eastAsia="zh-CN"/>
              </w:rPr>
              <w:t>Medi</w:t>
            </w:r>
            <w:r w:rsidR="000A6486" w:rsidRPr="00CF3673">
              <w:rPr>
                <w:rFonts w:ascii="Calibri" w:eastAsia="Times New Roman" w:hAnsi="Calibri" w:cs="Times New Roman"/>
                <w:lang w:eastAsia="zh-CN"/>
              </w:rPr>
              <w:t>as</w:t>
            </w:r>
          </w:p>
        </w:tc>
      </w:tr>
      <w:tr w:rsidR="001C71D6" w:rsidRPr="00CF3673" w:rsidTr="001C71D6">
        <w:trPr>
          <w:trHeight w:val="300"/>
          <w:jc w:val="center"/>
        </w:trPr>
        <w:tc>
          <w:tcPr>
            <w:tcW w:w="2607" w:type="dxa"/>
            <w:tcBorders>
              <w:top w:val="single" w:sz="4" w:space="0" w:color="auto"/>
            </w:tcBorders>
            <w:noWrap/>
            <w:hideMark/>
          </w:tcPr>
          <w:p w:rsidR="001C71D6" w:rsidRPr="00CF3673" w:rsidRDefault="00AC363B" w:rsidP="00AC363B">
            <w:pPr>
              <w:rPr>
                <w:rFonts w:ascii="Calibri" w:eastAsia="Times New Roman" w:hAnsi="Calibri" w:cs="Times New Roman"/>
                <w:lang w:eastAsia="zh-CN"/>
              </w:rPr>
            </w:pPr>
            <w:r w:rsidRPr="00CF3673">
              <w:rPr>
                <w:rFonts w:ascii="Calibri" w:eastAsia="Times New Roman" w:hAnsi="Calibri" w:cs="Times New Roman"/>
                <w:lang w:eastAsia="zh-CN"/>
              </w:rPr>
              <w:t>Mesma localidade/Posto administrativo</w:t>
            </w:r>
          </w:p>
        </w:tc>
        <w:tc>
          <w:tcPr>
            <w:tcW w:w="571" w:type="dxa"/>
            <w:tcBorders>
              <w:top w:val="single" w:sz="4" w:space="0" w:color="auto"/>
            </w:tcBorders>
            <w:noWrap/>
            <w:hideMark/>
          </w:tcPr>
          <w:p w:rsidR="001C71D6" w:rsidRPr="00CF3673" w:rsidRDefault="001C71D6" w:rsidP="001C71D6">
            <w:pPr>
              <w:jc w:val="center"/>
            </w:pPr>
            <w:r w:rsidRPr="00CF3673">
              <w:t>79.3</w:t>
            </w:r>
          </w:p>
        </w:tc>
        <w:tc>
          <w:tcPr>
            <w:tcW w:w="693" w:type="dxa"/>
            <w:tcBorders>
              <w:top w:val="single" w:sz="4" w:space="0" w:color="auto"/>
            </w:tcBorders>
            <w:noWrap/>
            <w:hideMark/>
          </w:tcPr>
          <w:p w:rsidR="001C71D6" w:rsidRPr="00CF3673" w:rsidRDefault="001C71D6" w:rsidP="001C71D6">
            <w:pPr>
              <w:jc w:val="center"/>
            </w:pPr>
            <w:r w:rsidRPr="00CF3673">
              <w:t>85.5</w:t>
            </w:r>
          </w:p>
        </w:tc>
        <w:tc>
          <w:tcPr>
            <w:tcW w:w="656" w:type="dxa"/>
            <w:tcBorders>
              <w:top w:val="single" w:sz="4" w:space="0" w:color="auto"/>
            </w:tcBorders>
            <w:noWrap/>
            <w:hideMark/>
          </w:tcPr>
          <w:p w:rsidR="001C71D6" w:rsidRPr="00CF3673" w:rsidRDefault="001C71D6" w:rsidP="001C71D6">
            <w:pPr>
              <w:jc w:val="center"/>
            </w:pPr>
            <w:r w:rsidRPr="00CF3673">
              <w:t>72.0</w:t>
            </w:r>
          </w:p>
        </w:tc>
        <w:tc>
          <w:tcPr>
            <w:tcW w:w="903" w:type="dxa"/>
            <w:tcBorders>
              <w:top w:val="single" w:sz="4" w:space="0" w:color="auto"/>
            </w:tcBorders>
            <w:noWrap/>
            <w:hideMark/>
          </w:tcPr>
          <w:p w:rsidR="001C71D6" w:rsidRPr="00CF3673" w:rsidRDefault="001C71D6" w:rsidP="001C71D6">
            <w:pPr>
              <w:jc w:val="center"/>
            </w:pPr>
            <w:r w:rsidRPr="00CF3673">
              <w:t>50.5</w:t>
            </w:r>
          </w:p>
        </w:tc>
      </w:tr>
      <w:tr w:rsidR="001C71D6" w:rsidRPr="00CF3673" w:rsidTr="001C71D6">
        <w:trPr>
          <w:trHeight w:val="300"/>
          <w:jc w:val="center"/>
        </w:trPr>
        <w:tc>
          <w:tcPr>
            <w:tcW w:w="2607" w:type="dxa"/>
            <w:noWrap/>
            <w:hideMark/>
          </w:tcPr>
          <w:p w:rsidR="001C71D6" w:rsidRPr="00CF3673" w:rsidRDefault="00AC363B" w:rsidP="00AC363B">
            <w:pPr>
              <w:rPr>
                <w:rFonts w:ascii="Calibri" w:eastAsia="Times New Roman" w:hAnsi="Calibri" w:cs="Times New Roman"/>
                <w:lang w:eastAsia="zh-CN"/>
              </w:rPr>
            </w:pPr>
            <w:r w:rsidRPr="00CF3673">
              <w:rPr>
                <w:rFonts w:ascii="Calibri" w:eastAsia="Times New Roman" w:hAnsi="Calibri" w:cs="Times New Roman"/>
                <w:lang w:eastAsia="zh-CN"/>
              </w:rPr>
              <w:t>Outra localidade, mesmo distrito</w:t>
            </w:r>
          </w:p>
        </w:tc>
        <w:tc>
          <w:tcPr>
            <w:tcW w:w="571" w:type="dxa"/>
            <w:noWrap/>
            <w:hideMark/>
          </w:tcPr>
          <w:p w:rsidR="001C71D6" w:rsidRPr="00CF3673" w:rsidRDefault="001C71D6" w:rsidP="001C71D6">
            <w:pPr>
              <w:jc w:val="center"/>
            </w:pPr>
            <w:r w:rsidRPr="00CF3673">
              <w:t>10.2</w:t>
            </w:r>
          </w:p>
        </w:tc>
        <w:tc>
          <w:tcPr>
            <w:tcW w:w="693" w:type="dxa"/>
            <w:noWrap/>
            <w:hideMark/>
          </w:tcPr>
          <w:p w:rsidR="001C71D6" w:rsidRPr="00CF3673" w:rsidRDefault="001C71D6" w:rsidP="001C71D6">
            <w:pPr>
              <w:jc w:val="center"/>
            </w:pPr>
            <w:r w:rsidRPr="00CF3673">
              <w:t>9.2</w:t>
            </w:r>
          </w:p>
        </w:tc>
        <w:tc>
          <w:tcPr>
            <w:tcW w:w="656" w:type="dxa"/>
            <w:noWrap/>
            <w:hideMark/>
          </w:tcPr>
          <w:p w:rsidR="001C71D6" w:rsidRPr="00CF3673" w:rsidRDefault="001C71D6" w:rsidP="001C71D6">
            <w:pPr>
              <w:jc w:val="center"/>
            </w:pPr>
            <w:r w:rsidRPr="00CF3673">
              <w:t>11.8</w:t>
            </w:r>
          </w:p>
        </w:tc>
        <w:tc>
          <w:tcPr>
            <w:tcW w:w="903" w:type="dxa"/>
            <w:noWrap/>
            <w:hideMark/>
          </w:tcPr>
          <w:p w:rsidR="001C71D6" w:rsidRPr="00CF3673" w:rsidRDefault="001C71D6" w:rsidP="001C71D6">
            <w:pPr>
              <w:jc w:val="center"/>
            </w:pPr>
            <w:r w:rsidRPr="00CF3673">
              <w:t>13.5</w:t>
            </w:r>
          </w:p>
        </w:tc>
      </w:tr>
      <w:tr w:rsidR="001C71D6" w:rsidRPr="00CF3673" w:rsidTr="001C71D6">
        <w:trPr>
          <w:trHeight w:val="300"/>
          <w:jc w:val="center"/>
        </w:trPr>
        <w:tc>
          <w:tcPr>
            <w:tcW w:w="2607" w:type="dxa"/>
            <w:noWrap/>
            <w:hideMark/>
          </w:tcPr>
          <w:p w:rsidR="001C71D6" w:rsidRPr="00CF3673" w:rsidRDefault="00AC363B" w:rsidP="00AC363B">
            <w:pPr>
              <w:rPr>
                <w:rFonts w:ascii="Calibri" w:eastAsia="Times New Roman" w:hAnsi="Calibri" w:cs="Times New Roman"/>
                <w:lang w:eastAsia="zh-CN"/>
              </w:rPr>
            </w:pPr>
            <w:r w:rsidRPr="00CF3673">
              <w:rPr>
                <w:rFonts w:ascii="Calibri" w:eastAsia="Times New Roman" w:hAnsi="Calibri" w:cs="Times New Roman"/>
                <w:lang w:eastAsia="zh-CN"/>
              </w:rPr>
              <w:t>Outro distrito dentro da província</w:t>
            </w:r>
          </w:p>
        </w:tc>
        <w:tc>
          <w:tcPr>
            <w:tcW w:w="571" w:type="dxa"/>
            <w:noWrap/>
            <w:hideMark/>
          </w:tcPr>
          <w:p w:rsidR="001C71D6" w:rsidRPr="00CF3673" w:rsidRDefault="001C71D6" w:rsidP="001C71D6">
            <w:pPr>
              <w:jc w:val="center"/>
            </w:pPr>
            <w:r w:rsidRPr="00CF3673">
              <w:t>4.9</w:t>
            </w:r>
          </w:p>
        </w:tc>
        <w:tc>
          <w:tcPr>
            <w:tcW w:w="693" w:type="dxa"/>
            <w:noWrap/>
            <w:hideMark/>
          </w:tcPr>
          <w:p w:rsidR="001C71D6" w:rsidRPr="00CF3673" w:rsidRDefault="001C71D6" w:rsidP="001C71D6">
            <w:pPr>
              <w:jc w:val="center"/>
            </w:pPr>
            <w:r w:rsidRPr="00CF3673">
              <w:t>3.4</w:t>
            </w:r>
          </w:p>
        </w:tc>
        <w:tc>
          <w:tcPr>
            <w:tcW w:w="656" w:type="dxa"/>
            <w:noWrap/>
            <w:hideMark/>
          </w:tcPr>
          <w:p w:rsidR="001C71D6" w:rsidRPr="00CF3673" w:rsidRDefault="001C71D6" w:rsidP="001C71D6">
            <w:pPr>
              <w:jc w:val="center"/>
            </w:pPr>
            <w:r w:rsidRPr="00CF3673">
              <w:t>7.5</w:t>
            </w:r>
          </w:p>
        </w:tc>
        <w:tc>
          <w:tcPr>
            <w:tcW w:w="903" w:type="dxa"/>
            <w:noWrap/>
            <w:hideMark/>
          </w:tcPr>
          <w:p w:rsidR="001C71D6" w:rsidRPr="00CF3673" w:rsidRDefault="001C71D6" w:rsidP="001C71D6">
            <w:pPr>
              <w:jc w:val="center"/>
            </w:pPr>
            <w:r w:rsidRPr="00CF3673">
              <w:t>10.0</w:t>
            </w:r>
          </w:p>
        </w:tc>
      </w:tr>
      <w:tr w:rsidR="001C71D6" w:rsidRPr="00CF3673" w:rsidTr="001C71D6">
        <w:trPr>
          <w:trHeight w:val="300"/>
          <w:jc w:val="center"/>
        </w:trPr>
        <w:tc>
          <w:tcPr>
            <w:tcW w:w="2607" w:type="dxa"/>
            <w:noWrap/>
            <w:hideMark/>
          </w:tcPr>
          <w:p w:rsidR="001C71D6" w:rsidRPr="00CF3673" w:rsidRDefault="00AC363B" w:rsidP="00AC363B">
            <w:pPr>
              <w:rPr>
                <w:rFonts w:ascii="Calibri" w:eastAsia="Times New Roman" w:hAnsi="Calibri" w:cs="Times New Roman"/>
                <w:lang w:eastAsia="zh-CN"/>
              </w:rPr>
            </w:pPr>
            <w:r w:rsidRPr="00CF3673">
              <w:rPr>
                <w:rFonts w:ascii="Calibri" w:eastAsia="Times New Roman" w:hAnsi="Calibri" w:cs="Times New Roman"/>
                <w:lang w:eastAsia="zh-CN"/>
              </w:rPr>
              <w:t>Província vizinha</w:t>
            </w:r>
          </w:p>
        </w:tc>
        <w:tc>
          <w:tcPr>
            <w:tcW w:w="571" w:type="dxa"/>
            <w:noWrap/>
            <w:hideMark/>
          </w:tcPr>
          <w:p w:rsidR="001C71D6" w:rsidRPr="00CF3673" w:rsidRDefault="001C71D6" w:rsidP="001C71D6">
            <w:pPr>
              <w:jc w:val="center"/>
            </w:pPr>
            <w:r w:rsidRPr="00CF3673">
              <w:t>2.7</w:t>
            </w:r>
          </w:p>
        </w:tc>
        <w:tc>
          <w:tcPr>
            <w:tcW w:w="693" w:type="dxa"/>
            <w:noWrap/>
            <w:hideMark/>
          </w:tcPr>
          <w:p w:rsidR="001C71D6" w:rsidRPr="00CF3673" w:rsidRDefault="001C71D6" w:rsidP="001C71D6">
            <w:pPr>
              <w:jc w:val="center"/>
            </w:pPr>
            <w:r w:rsidRPr="00CF3673">
              <w:t>1.2</w:t>
            </w:r>
          </w:p>
        </w:tc>
        <w:tc>
          <w:tcPr>
            <w:tcW w:w="656" w:type="dxa"/>
            <w:noWrap/>
            <w:hideMark/>
          </w:tcPr>
          <w:p w:rsidR="001C71D6" w:rsidRPr="00CF3673" w:rsidRDefault="001C71D6" w:rsidP="001C71D6">
            <w:pPr>
              <w:jc w:val="center"/>
            </w:pPr>
            <w:r w:rsidRPr="00CF3673">
              <w:t>4.6</w:t>
            </w:r>
          </w:p>
        </w:tc>
        <w:tc>
          <w:tcPr>
            <w:tcW w:w="903" w:type="dxa"/>
            <w:noWrap/>
            <w:hideMark/>
          </w:tcPr>
          <w:p w:rsidR="001C71D6" w:rsidRPr="00CF3673" w:rsidRDefault="001C71D6" w:rsidP="001C71D6">
            <w:pPr>
              <w:jc w:val="center"/>
            </w:pPr>
            <w:r w:rsidRPr="00CF3673">
              <w:t>9.8</w:t>
            </w:r>
          </w:p>
        </w:tc>
      </w:tr>
      <w:tr w:rsidR="001C71D6" w:rsidRPr="00CF3673" w:rsidTr="00C873AC">
        <w:trPr>
          <w:trHeight w:val="300"/>
          <w:jc w:val="center"/>
        </w:trPr>
        <w:tc>
          <w:tcPr>
            <w:tcW w:w="2607" w:type="dxa"/>
            <w:tcBorders>
              <w:bottom w:val="nil"/>
            </w:tcBorders>
            <w:noWrap/>
            <w:hideMark/>
          </w:tcPr>
          <w:p w:rsidR="001C71D6" w:rsidRPr="00CF3673" w:rsidRDefault="00AC363B" w:rsidP="00AC363B">
            <w:pPr>
              <w:rPr>
                <w:rFonts w:ascii="Calibri" w:eastAsia="Times New Roman" w:hAnsi="Calibri" w:cs="Times New Roman"/>
                <w:lang w:eastAsia="zh-CN"/>
              </w:rPr>
            </w:pPr>
            <w:r w:rsidRPr="00CF3673">
              <w:rPr>
                <w:rFonts w:ascii="Calibri" w:eastAsia="Times New Roman" w:hAnsi="Calibri" w:cs="Times New Roman"/>
                <w:lang w:eastAsia="zh-CN"/>
              </w:rPr>
              <w:t>Província não-vizinha</w:t>
            </w:r>
          </w:p>
        </w:tc>
        <w:tc>
          <w:tcPr>
            <w:tcW w:w="571" w:type="dxa"/>
            <w:tcBorders>
              <w:bottom w:val="nil"/>
            </w:tcBorders>
            <w:noWrap/>
            <w:hideMark/>
          </w:tcPr>
          <w:p w:rsidR="001C71D6" w:rsidRPr="00CF3673" w:rsidRDefault="001C71D6" w:rsidP="001C71D6">
            <w:pPr>
              <w:jc w:val="center"/>
            </w:pPr>
            <w:r w:rsidRPr="00CF3673">
              <w:t>1.7</w:t>
            </w:r>
          </w:p>
        </w:tc>
        <w:tc>
          <w:tcPr>
            <w:tcW w:w="693" w:type="dxa"/>
            <w:tcBorders>
              <w:bottom w:val="nil"/>
            </w:tcBorders>
            <w:noWrap/>
            <w:hideMark/>
          </w:tcPr>
          <w:p w:rsidR="001C71D6" w:rsidRPr="00CF3673" w:rsidRDefault="001C71D6" w:rsidP="001C71D6">
            <w:pPr>
              <w:jc w:val="center"/>
            </w:pPr>
            <w:r w:rsidRPr="00CF3673">
              <w:t>0.4</w:t>
            </w:r>
          </w:p>
        </w:tc>
        <w:tc>
          <w:tcPr>
            <w:tcW w:w="656" w:type="dxa"/>
            <w:tcBorders>
              <w:bottom w:val="nil"/>
            </w:tcBorders>
            <w:noWrap/>
            <w:hideMark/>
          </w:tcPr>
          <w:p w:rsidR="001C71D6" w:rsidRPr="00CF3673" w:rsidRDefault="001C71D6" w:rsidP="001C71D6">
            <w:pPr>
              <w:jc w:val="center"/>
            </w:pPr>
            <w:r w:rsidRPr="00CF3673">
              <w:t>3.3</w:t>
            </w:r>
          </w:p>
        </w:tc>
        <w:tc>
          <w:tcPr>
            <w:tcW w:w="903" w:type="dxa"/>
            <w:tcBorders>
              <w:bottom w:val="nil"/>
            </w:tcBorders>
            <w:noWrap/>
            <w:hideMark/>
          </w:tcPr>
          <w:p w:rsidR="001C71D6" w:rsidRPr="00CF3673" w:rsidRDefault="001C71D6" w:rsidP="001C71D6">
            <w:pPr>
              <w:jc w:val="center"/>
            </w:pPr>
            <w:r w:rsidRPr="00CF3673">
              <w:t>7.7</w:t>
            </w:r>
          </w:p>
        </w:tc>
      </w:tr>
      <w:tr w:rsidR="001C71D6" w:rsidRPr="00CF3673" w:rsidTr="00C873AC">
        <w:trPr>
          <w:trHeight w:val="300"/>
          <w:jc w:val="center"/>
        </w:trPr>
        <w:tc>
          <w:tcPr>
            <w:tcW w:w="2607" w:type="dxa"/>
            <w:tcBorders>
              <w:top w:val="nil"/>
              <w:bottom w:val="single" w:sz="4" w:space="0" w:color="auto"/>
            </w:tcBorders>
            <w:noWrap/>
            <w:hideMark/>
          </w:tcPr>
          <w:p w:rsidR="001C71D6" w:rsidRPr="00CF3673" w:rsidRDefault="001C71D6" w:rsidP="00AA3CF3">
            <w:pPr>
              <w:rPr>
                <w:rFonts w:ascii="Calibri" w:eastAsia="Times New Roman" w:hAnsi="Calibri" w:cs="Times New Roman"/>
                <w:lang w:eastAsia="zh-CN"/>
              </w:rPr>
            </w:pPr>
            <w:r w:rsidRPr="00CF3673">
              <w:rPr>
                <w:rFonts w:ascii="Calibri" w:eastAsia="Times New Roman" w:hAnsi="Calibri" w:cs="Times New Roman"/>
                <w:lang w:eastAsia="zh-CN"/>
              </w:rPr>
              <w:t>Export</w:t>
            </w:r>
            <w:r w:rsidR="00AC363B" w:rsidRPr="00CF3673">
              <w:rPr>
                <w:rFonts w:ascii="Calibri" w:eastAsia="Times New Roman" w:hAnsi="Calibri" w:cs="Times New Roman"/>
                <w:lang w:eastAsia="zh-CN"/>
              </w:rPr>
              <w:t>ação</w:t>
            </w:r>
          </w:p>
        </w:tc>
        <w:tc>
          <w:tcPr>
            <w:tcW w:w="571" w:type="dxa"/>
            <w:tcBorders>
              <w:top w:val="nil"/>
              <w:bottom w:val="single" w:sz="4" w:space="0" w:color="auto"/>
            </w:tcBorders>
            <w:noWrap/>
            <w:hideMark/>
          </w:tcPr>
          <w:p w:rsidR="001C71D6" w:rsidRPr="00CF3673" w:rsidRDefault="001C71D6" w:rsidP="001C71D6">
            <w:pPr>
              <w:jc w:val="center"/>
            </w:pPr>
            <w:r w:rsidRPr="00CF3673">
              <w:t>1.2</w:t>
            </w:r>
          </w:p>
        </w:tc>
        <w:tc>
          <w:tcPr>
            <w:tcW w:w="693" w:type="dxa"/>
            <w:tcBorders>
              <w:top w:val="nil"/>
              <w:bottom w:val="single" w:sz="4" w:space="0" w:color="auto"/>
            </w:tcBorders>
            <w:noWrap/>
            <w:hideMark/>
          </w:tcPr>
          <w:p w:rsidR="001C71D6" w:rsidRPr="00CF3673" w:rsidRDefault="001C71D6" w:rsidP="001C71D6">
            <w:pPr>
              <w:jc w:val="center"/>
            </w:pPr>
            <w:r w:rsidRPr="00CF3673">
              <w:t>0.4</w:t>
            </w:r>
          </w:p>
        </w:tc>
        <w:tc>
          <w:tcPr>
            <w:tcW w:w="656" w:type="dxa"/>
            <w:tcBorders>
              <w:top w:val="nil"/>
              <w:bottom w:val="single" w:sz="4" w:space="0" w:color="auto"/>
            </w:tcBorders>
            <w:noWrap/>
            <w:hideMark/>
          </w:tcPr>
          <w:p w:rsidR="001C71D6" w:rsidRPr="00CF3673" w:rsidRDefault="001C71D6" w:rsidP="001C71D6">
            <w:pPr>
              <w:jc w:val="center"/>
            </w:pPr>
            <w:r w:rsidRPr="00CF3673">
              <w:t>0.9</w:t>
            </w:r>
          </w:p>
        </w:tc>
        <w:tc>
          <w:tcPr>
            <w:tcW w:w="903" w:type="dxa"/>
            <w:tcBorders>
              <w:top w:val="nil"/>
              <w:bottom w:val="single" w:sz="4" w:space="0" w:color="auto"/>
            </w:tcBorders>
            <w:noWrap/>
            <w:hideMark/>
          </w:tcPr>
          <w:p w:rsidR="001C71D6" w:rsidRPr="00CF3673" w:rsidRDefault="001C71D6" w:rsidP="001C71D6">
            <w:pPr>
              <w:jc w:val="center"/>
            </w:pPr>
            <w:r w:rsidRPr="00CF3673">
              <w:t>8.5</w:t>
            </w:r>
          </w:p>
        </w:tc>
      </w:tr>
      <w:tr w:rsidR="001C71D6" w:rsidRPr="00CF3673" w:rsidTr="00C873AC">
        <w:trPr>
          <w:trHeight w:val="300"/>
          <w:jc w:val="center"/>
        </w:trPr>
        <w:tc>
          <w:tcPr>
            <w:tcW w:w="2607" w:type="dxa"/>
            <w:tcBorders>
              <w:top w:val="single" w:sz="4" w:space="0" w:color="auto"/>
              <w:bottom w:val="double" w:sz="4" w:space="0" w:color="auto"/>
            </w:tcBorders>
            <w:noWrap/>
            <w:hideMark/>
          </w:tcPr>
          <w:p w:rsidR="001C71D6" w:rsidRPr="00CF3673" w:rsidRDefault="00767CF4" w:rsidP="00AC363B">
            <w:pPr>
              <w:rPr>
                <w:rFonts w:ascii="Calibri" w:eastAsia="Times New Roman" w:hAnsi="Calibri" w:cs="Times New Roman"/>
                <w:lang w:eastAsia="zh-CN"/>
              </w:rPr>
            </w:pPr>
            <w:r w:rsidRPr="00CF3673">
              <w:rPr>
                <w:rFonts w:ascii="Calibri" w:eastAsia="Times New Roman" w:hAnsi="Calibri" w:cs="Times New Roman"/>
                <w:lang w:eastAsia="zh-CN"/>
              </w:rPr>
              <w:t>Número</w:t>
            </w:r>
            <w:r w:rsidR="00AC363B" w:rsidRPr="00CF3673">
              <w:rPr>
                <w:rFonts w:ascii="Calibri" w:eastAsia="Times New Roman" w:hAnsi="Calibri" w:cs="Times New Roman"/>
                <w:lang w:eastAsia="zh-CN"/>
              </w:rPr>
              <w:t xml:space="preserve"> de observações</w:t>
            </w:r>
          </w:p>
        </w:tc>
        <w:tc>
          <w:tcPr>
            <w:tcW w:w="571" w:type="dxa"/>
            <w:tcBorders>
              <w:top w:val="single" w:sz="4" w:space="0" w:color="auto"/>
              <w:bottom w:val="double" w:sz="4" w:space="0" w:color="auto"/>
            </w:tcBorders>
            <w:noWrap/>
            <w:hideMark/>
          </w:tcPr>
          <w:p w:rsidR="001C71D6" w:rsidRPr="00CF3673" w:rsidRDefault="001C71D6" w:rsidP="001C71D6">
            <w:pPr>
              <w:jc w:val="center"/>
            </w:pPr>
            <w:r w:rsidRPr="00CF3673">
              <w:t>753</w:t>
            </w:r>
          </w:p>
        </w:tc>
        <w:tc>
          <w:tcPr>
            <w:tcW w:w="693" w:type="dxa"/>
            <w:tcBorders>
              <w:top w:val="single" w:sz="4" w:space="0" w:color="auto"/>
              <w:bottom w:val="double" w:sz="4" w:space="0" w:color="auto"/>
            </w:tcBorders>
            <w:noWrap/>
            <w:hideMark/>
          </w:tcPr>
          <w:p w:rsidR="001C71D6" w:rsidRPr="00CF3673" w:rsidRDefault="001C71D6" w:rsidP="001C71D6">
            <w:pPr>
              <w:jc w:val="center"/>
            </w:pPr>
            <w:r w:rsidRPr="00CF3673">
              <w:t>513</w:t>
            </w:r>
          </w:p>
        </w:tc>
        <w:tc>
          <w:tcPr>
            <w:tcW w:w="656" w:type="dxa"/>
            <w:tcBorders>
              <w:top w:val="single" w:sz="4" w:space="0" w:color="auto"/>
              <w:bottom w:val="double" w:sz="4" w:space="0" w:color="auto"/>
            </w:tcBorders>
            <w:noWrap/>
            <w:hideMark/>
          </w:tcPr>
          <w:p w:rsidR="001C71D6" w:rsidRPr="00CF3673" w:rsidRDefault="001C71D6" w:rsidP="001C71D6">
            <w:pPr>
              <w:jc w:val="center"/>
            </w:pPr>
            <w:r w:rsidRPr="00CF3673">
              <w:t>175</w:t>
            </w:r>
          </w:p>
        </w:tc>
        <w:tc>
          <w:tcPr>
            <w:tcW w:w="903" w:type="dxa"/>
            <w:tcBorders>
              <w:top w:val="single" w:sz="4" w:space="0" w:color="auto"/>
              <w:bottom w:val="double" w:sz="4" w:space="0" w:color="auto"/>
            </w:tcBorders>
            <w:noWrap/>
            <w:hideMark/>
          </w:tcPr>
          <w:p w:rsidR="001C71D6" w:rsidRPr="00CF3673" w:rsidRDefault="001C71D6" w:rsidP="001C71D6">
            <w:pPr>
              <w:jc w:val="center"/>
            </w:pPr>
            <w:r w:rsidRPr="00CF3673">
              <w:t>65</w:t>
            </w:r>
          </w:p>
        </w:tc>
      </w:tr>
      <w:tr w:rsidR="001C71D6" w:rsidRPr="00CF3673" w:rsidTr="001C71D6">
        <w:trPr>
          <w:trHeight w:val="300"/>
          <w:jc w:val="center"/>
        </w:trPr>
        <w:tc>
          <w:tcPr>
            <w:tcW w:w="5430" w:type="dxa"/>
            <w:gridSpan w:val="5"/>
            <w:tcBorders>
              <w:top w:val="double" w:sz="4" w:space="0" w:color="auto"/>
              <w:bottom w:val="nil"/>
            </w:tcBorders>
            <w:noWrap/>
          </w:tcPr>
          <w:p w:rsidR="001C71D6" w:rsidRPr="00CF3673" w:rsidRDefault="001C71D6" w:rsidP="00AC363B">
            <w:pPr>
              <w:pStyle w:val="Tablenote"/>
              <w:rPr>
                <w:b/>
                <w:lang w:val="pt-PT"/>
              </w:rPr>
            </w:pPr>
            <w:r w:rsidRPr="00CF3673">
              <w:rPr>
                <w:b/>
                <w:lang w:val="pt-PT"/>
              </w:rPr>
              <w:t>Note:</w:t>
            </w:r>
            <w:r w:rsidRPr="00CF3673">
              <w:rPr>
                <w:lang w:val="pt-PT"/>
              </w:rPr>
              <w:t xml:space="preserve"> </w:t>
            </w:r>
            <w:r w:rsidR="00AC363B" w:rsidRPr="00CF3673">
              <w:rPr>
                <w:lang w:val="pt-PT"/>
              </w:rPr>
              <w:t>8 observações em falta</w:t>
            </w:r>
          </w:p>
        </w:tc>
      </w:tr>
      <w:tr w:rsidR="001C71D6" w:rsidRPr="00CF3673" w:rsidTr="001C71D6">
        <w:trPr>
          <w:cnfStyle w:val="010000000000" w:firstRow="0" w:lastRow="1" w:firstColumn="0" w:lastColumn="0" w:oddVBand="0" w:evenVBand="0" w:oddHBand="0" w:evenHBand="0" w:firstRowFirstColumn="0" w:firstRowLastColumn="0" w:lastRowFirstColumn="0" w:lastRowLastColumn="0"/>
          <w:trHeight w:val="300"/>
          <w:jc w:val="center"/>
        </w:trPr>
        <w:tc>
          <w:tcPr>
            <w:tcW w:w="5430" w:type="dxa"/>
            <w:gridSpan w:val="5"/>
            <w:tcBorders>
              <w:top w:val="nil"/>
              <w:bottom w:val="nil"/>
            </w:tcBorders>
            <w:noWrap/>
          </w:tcPr>
          <w:p w:rsidR="001C71D6" w:rsidRPr="00CF3673" w:rsidRDefault="006A4724" w:rsidP="00AC363B">
            <w:pPr>
              <w:pStyle w:val="Tablenote"/>
              <w:rPr>
                <w:b/>
                <w:lang w:val="pt-PT"/>
              </w:rPr>
            </w:pPr>
            <w:r w:rsidRPr="00CF3673">
              <w:rPr>
                <w:b/>
                <w:lang w:val="pt-PT"/>
              </w:rPr>
              <w:t>Fonte:</w:t>
            </w:r>
            <w:r w:rsidR="001C71D6" w:rsidRPr="00CF3673">
              <w:rPr>
                <w:b/>
                <w:lang w:val="pt-PT"/>
              </w:rPr>
              <w:t>:</w:t>
            </w:r>
            <w:r w:rsidR="001C71D6" w:rsidRPr="00CF3673">
              <w:rPr>
                <w:lang w:val="pt-PT"/>
              </w:rPr>
              <w:t xml:space="preserve"> </w:t>
            </w:r>
            <w:r w:rsidRPr="00CF3673">
              <w:rPr>
                <w:lang w:val="pt-PT"/>
              </w:rPr>
              <w:t>Cálculos</w:t>
            </w:r>
            <w:r w:rsidR="00AC363B" w:rsidRPr="00CF3673">
              <w:rPr>
                <w:lang w:val="pt-PT"/>
              </w:rPr>
              <w:t xml:space="preserve"> com base no </w:t>
            </w:r>
            <w:r w:rsidR="001C71D6" w:rsidRPr="00CF3673">
              <w:rPr>
                <w:lang w:val="pt-PT"/>
              </w:rPr>
              <w:t>IIM 2012.</w:t>
            </w:r>
          </w:p>
        </w:tc>
      </w:tr>
    </w:tbl>
    <w:p w:rsidR="00AA3CF3" w:rsidRPr="00CF3673" w:rsidRDefault="00AA3CF3" w:rsidP="001E664B">
      <w:pPr>
        <w:pStyle w:val="MainText"/>
        <w:rPr>
          <w:lang w:val="pt-PT"/>
        </w:rPr>
      </w:pPr>
    </w:p>
    <w:p w:rsidR="007F35E3" w:rsidRPr="00CF3673" w:rsidRDefault="008F47EB" w:rsidP="001E6DDB">
      <w:pPr>
        <w:pStyle w:val="MainText"/>
        <w:rPr>
          <w:lang w:val="pt-PT"/>
        </w:rPr>
      </w:pPr>
      <w:r w:rsidRPr="00CF3673">
        <w:rPr>
          <w:lang w:val="pt-PT"/>
        </w:rPr>
        <w:lastRenderedPageBreak/>
        <w:t xml:space="preserve">A figura 7.3 apresenta a contribuição das vendas por grupo de clientes </w:t>
      </w:r>
      <w:proofErr w:type="spellStart"/>
      <w:r w:rsidRPr="00CF3673">
        <w:rPr>
          <w:lang w:val="pt-PT"/>
        </w:rPr>
        <w:t>and</w:t>
      </w:r>
      <w:proofErr w:type="spellEnd"/>
      <w:r w:rsidRPr="00CF3673">
        <w:rPr>
          <w:lang w:val="pt-PT"/>
        </w:rPr>
        <w:t xml:space="preserve"> tamanho da empresa. Por exemplo, como um todo existe um foco em indivíduos privados com 77% das vendas a irem para este grupo.</w:t>
      </w:r>
      <w:r w:rsidR="00E34640" w:rsidRPr="00CF3673">
        <w:rPr>
          <w:lang w:val="pt-PT"/>
        </w:rPr>
        <w:t xml:space="preserve"> </w:t>
      </w:r>
    </w:p>
    <w:p w:rsidR="00E14565" w:rsidRPr="00CF3673" w:rsidRDefault="00E14565" w:rsidP="00F41831">
      <w:pPr>
        <w:pStyle w:val="FigureTitle"/>
        <w:rPr>
          <w:lang w:val="pt-PT"/>
        </w:rPr>
      </w:pPr>
      <w:bookmarkStart w:id="44" w:name="_Toc360720520"/>
    </w:p>
    <w:p w:rsidR="0046583E" w:rsidRPr="00CF3673" w:rsidRDefault="00BD222C" w:rsidP="00E14565">
      <w:pPr>
        <w:pStyle w:val="FigureTitle"/>
        <w:rPr>
          <w:lang w:val="pt-PT"/>
        </w:rPr>
      </w:pPr>
      <w:r w:rsidRPr="00CF3673">
        <w:rPr>
          <w:lang w:val="pt-PT"/>
        </w:rPr>
        <w:t>Figur</w:t>
      </w:r>
      <w:r w:rsidR="00E14565" w:rsidRPr="00CF3673">
        <w:rPr>
          <w:lang w:val="pt-PT"/>
        </w:rPr>
        <w:t>a</w:t>
      </w:r>
      <w:r w:rsidRPr="00CF3673">
        <w:rPr>
          <w:lang w:val="pt-PT"/>
        </w:rPr>
        <w:t xml:space="preserve"> </w:t>
      </w:r>
      <w:r w:rsidR="004D1585" w:rsidRPr="00CF3673">
        <w:rPr>
          <w:lang w:val="pt-PT"/>
        </w:rPr>
        <w:t>7</w:t>
      </w:r>
      <w:r w:rsidRPr="00CF3673">
        <w:rPr>
          <w:lang w:val="pt-PT"/>
        </w:rPr>
        <w:t>.</w:t>
      </w:r>
      <w:r w:rsidR="00CC54F3" w:rsidRPr="00CF3673">
        <w:rPr>
          <w:lang w:val="pt-PT"/>
        </w:rPr>
        <w:t>3</w:t>
      </w:r>
      <w:r w:rsidR="00AF1DC4" w:rsidRPr="00CF3673">
        <w:rPr>
          <w:lang w:val="pt-PT"/>
        </w:rPr>
        <w:t xml:space="preserve">: </w:t>
      </w:r>
      <w:r w:rsidR="00E14565" w:rsidRPr="00CF3673">
        <w:rPr>
          <w:lang w:val="pt-PT"/>
        </w:rPr>
        <w:t>vendas grupo de clientes, tamanho da empresa</w:t>
      </w:r>
      <w:r w:rsidR="001729D6" w:rsidRPr="00CF3673">
        <w:rPr>
          <w:lang w:val="pt-PT"/>
        </w:rPr>
        <w:t xml:space="preserve">, </w:t>
      </w:r>
      <w:r w:rsidR="00E14565" w:rsidRPr="00CF3673">
        <w:rPr>
          <w:lang w:val="pt-PT"/>
        </w:rPr>
        <w:t>% do total das vendas</w:t>
      </w:r>
      <w:bookmarkEnd w:id="44"/>
      <w:r w:rsidR="009F56DF" w:rsidRPr="00CF3673">
        <w:rPr>
          <w:noProof/>
        </w:rPr>
        <w:drawing>
          <wp:inline distT="0" distB="0" distL="0" distR="0" wp14:anchorId="15BBE6DE" wp14:editId="649487B2">
            <wp:extent cx="5248276" cy="2947987"/>
            <wp:effectExtent l="0" t="0" r="9525" b="2413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bl>
      <w:tblPr>
        <w:tblStyle w:val="SrensTable"/>
        <w:tblpPr w:leftFromText="141" w:rightFromText="141" w:vertAnchor="text" w:horzAnchor="page" w:tblpX="1768" w:tblpY="51"/>
        <w:tblW w:w="8495" w:type="dxa"/>
        <w:tblLook w:val="04A0" w:firstRow="1" w:lastRow="0" w:firstColumn="1" w:lastColumn="0" w:noHBand="0" w:noVBand="1"/>
      </w:tblPr>
      <w:tblGrid>
        <w:gridCol w:w="8495"/>
      </w:tblGrid>
      <w:tr w:rsidR="00E34640" w:rsidRPr="00CF3673" w:rsidTr="00E34640">
        <w:trPr>
          <w:trHeight w:val="332"/>
        </w:trPr>
        <w:tc>
          <w:tcPr>
            <w:tcW w:w="0" w:type="auto"/>
          </w:tcPr>
          <w:p w:rsidR="00E34640" w:rsidRPr="00CF3673" w:rsidRDefault="00296486" w:rsidP="00296486">
            <w:pPr>
              <w:pStyle w:val="Tablenote"/>
              <w:rPr>
                <w:b/>
                <w:lang w:val="pt-PT"/>
              </w:rPr>
            </w:pPr>
            <w:r w:rsidRPr="00CF3673">
              <w:rPr>
                <w:b/>
                <w:lang w:val="pt-PT"/>
              </w:rPr>
              <w:t>Nota</w:t>
            </w:r>
            <w:r w:rsidR="00E34640" w:rsidRPr="00CF3673">
              <w:rPr>
                <w:b/>
                <w:lang w:val="pt-PT"/>
              </w:rPr>
              <w:t>:</w:t>
            </w:r>
            <w:r w:rsidR="00E34640" w:rsidRPr="00CF3673">
              <w:rPr>
                <w:lang w:val="pt-PT"/>
              </w:rPr>
              <w:t xml:space="preserve"> “</w:t>
            </w:r>
            <w:r w:rsidRPr="00CF3673">
              <w:rPr>
                <w:lang w:val="pt-PT"/>
              </w:rPr>
              <w:t>Empresas</w:t>
            </w:r>
            <w:r w:rsidR="00E34640" w:rsidRPr="00CF3673">
              <w:rPr>
                <w:lang w:val="pt-PT"/>
              </w:rPr>
              <w:t>” inclu</w:t>
            </w:r>
            <w:r w:rsidRPr="00CF3673">
              <w:rPr>
                <w:lang w:val="pt-PT"/>
              </w:rPr>
              <w:t>i</w:t>
            </w:r>
            <w:r w:rsidR="00E34640" w:rsidRPr="00CF3673">
              <w:rPr>
                <w:lang w:val="pt-PT"/>
              </w:rPr>
              <w:t xml:space="preserve"> </w:t>
            </w:r>
            <w:r w:rsidR="006A4724" w:rsidRPr="00CF3673">
              <w:rPr>
                <w:lang w:val="pt-PT"/>
              </w:rPr>
              <w:t>domésticas</w:t>
            </w:r>
            <w:r w:rsidR="00E34640" w:rsidRPr="00CF3673">
              <w:rPr>
                <w:lang w:val="pt-PT"/>
              </w:rPr>
              <w:t xml:space="preserve">, </w:t>
            </w:r>
            <w:r w:rsidRPr="00CF3673">
              <w:rPr>
                <w:lang w:val="pt-PT"/>
              </w:rPr>
              <w:t xml:space="preserve">empresa </w:t>
            </w:r>
            <w:r w:rsidR="00E34640" w:rsidRPr="00CF3673">
              <w:rPr>
                <w:lang w:val="pt-PT"/>
              </w:rPr>
              <w:t>n</w:t>
            </w:r>
            <w:r w:rsidRPr="00CF3673">
              <w:rPr>
                <w:lang w:val="pt-PT"/>
              </w:rPr>
              <w:t>ão-estatal</w:t>
            </w:r>
            <w:r w:rsidR="00E34640" w:rsidRPr="00CF3673">
              <w:rPr>
                <w:lang w:val="pt-PT"/>
              </w:rPr>
              <w:t xml:space="preserve">, </w:t>
            </w:r>
            <w:r w:rsidRPr="00CF3673">
              <w:rPr>
                <w:lang w:val="pt-PT"/>
              </w:rPr>
              <w:t xml:space="preserve">empresas </w:t>
            </w:r>
            <w:r w:rsidR="006A4724" w:rsidRPr="00CF3673">
              <w:rPr>
                <w:lang w:val="pt-PT"/>
              </w:rPr>
              <w:t>públicas</w:t>
            </w:r>
            <w:r w:rsidRPr="00CF3673">
              <w:rPr>
                <w:lang w:val="pt-PT"/>
              </w:rPr>
              <w:t>/estatais</w:t>
            </w:r>
            <w:r w:rsidR="00E34640" w:rsidRPr="00CF3673">
              <w:rPr>
                <w:lang w:val="pt-PT"/>
              </w:rPr>
              <w:t xml:space="preserve"> </w:t>
            </w:r>
            <w:r w:rsidRPr="00CF3673">
              <w:rPr>
                <w:lang w:val="pt-PT"/>
              </w:rPr>
              <w:t>e empresas estrangeiras</w:t>
            </w:r>
            <w:r w:rsidR="00E34640" w:rsidRPr="00CF3673">
              <w:rPr>
                <w:lang w:val="pt-PT"/>
              </w:rPr>
              <w:t>. “</w:t>
            </w:r>
            <w:r w:rsidRPr="00CF3673">
              <w:rPr>
                <w:lang w:val="pt-PT"/>
              </w:rPr>
              <w:t>Outras</w:t>
            </w:r>
            <w:r w:rsidR="00E34640" w:rsidRPr="00CF3673">
              <w:rPr>
                <w:lang w:val="pt-PT"/>
              </w:rPr>
              <w:t>” inclu</w:t>
            </w:r>
            <w:r w:rsidRPr="00CF3673">
              <w:rPr>
                <w:lang w:val="pt-PT"/>
              </w:rPr>
              <w:t>i turistas e outras</w:t>
            </w:r>
            <w:r w:rsidR="00F50C5F" w:rsidRPr="00CF3673">
              <w:rPr>
                <w:lang w:val="pt-PT"/>
              </w:rPr>
              <w:t xml:space="preserve">. </w:t>
            </w:r>
            <w:r w:rsidR="006A4724" w:rsidRPr="00CF3673">
              <w:rPr>
                <w:lang w:val="pt-PT"/>
              </w:rPr>
              <w:t>Número</w:t>
            </w:r>
            <w:r w:rsidR="00F50C5F" w:rsidRPr="00CF3673">
              <w:rPr>
                <w:lang w:val="pt-PT"/>
              </w:rPr>
              <w:t xml:space="preserve"> </w:t>
            </w:r>
            <w:r w:rsidRPr="00CF3673">
              <w:rPr>
                <w:lang w:val="pt-PT"/>
              </w:rPr>
              <w:t>de</w:t>
            </w:r>
            <w:r w:rsidR="00F50C5F" w:rsidRPr="00CF3673">
              <w:rPr>
                <w:lang w:val="pt-PT"/>
              </w:rPr>
              <w:t xml:space="preserve"> observa</w:t>
            </w:r>
            <w:r w:rsidRPr="00CF3673">
              <w:rPr>
                <w:lang w:val="pt-PT"/>
              </w:rPr>
              <w:t>ções</w:t>
            </w:r>
            <w:r w:rsidR="00F50C5F" w:rsidRPr="00CF3673">
              <w:rPr>
                <w:lang w:val="pt-PT"/>
              </w:rPr>
              <w:t>: 752 (</w:t>
            </w:r>
            <w:r w:rsidRPr="00CF3673">
              <w:rPr>
                <w:lang w:val="pt-PT"/>
              </w:rPr>
              <w:t>9 em falta</w:t>
            </w:r>
            <w:r w:rsidR="00E34640" w:rsidRPr="00CF3673">
              <w:rPr>
                <w:lang w:val="pt-PT"/>
              </w:rPr>
              <w:t>).</w:t>
            </w:r>
          </w:p>
        </w:tc>
      </w:tr>
      <w:tr w:rsidR="00E34640" w:rsidRPr="00CF3673" w:rsidTr="00E34640">
        <w:trPr>
          <w:trHeight w:val="332"/>
        </w:trPr>
        <w:tc>
          <w:tcPr>
            <w:tcW w:w="0" w:type="auto"/>
          </w:tcPr>
          <w:p w:rsidR="00E34640" w:rsidRPr="00CF3673" w:rsidRDefault="006A4724" w:rsidP="00296486">
            <w:pPr>
              <w:pStyle w:val="Tablenote"/>
              <w:rPr>
                <w:b/>
                <w:lang w:val="pt-PT"/>
              </w:rPr>
            </w:pPr>
            <w:r w:rsidRPr="00CF3673">
              <w:rPr>
                <w:b/>
                <w:lang w:val="pt-PT"/>
              </w:rPr>
              <w:t>Fonte:</w:t>
            </w:r>
            <w:r w:rsidR="00E34640" w:rsidRPr="00CF3673">
              <w:rPr>
                <w:b/>
                <w:lang w:val="pt-PT"/>
              </w:rPr>
              <w:t>:</w:t>
            </w:r>
            <w:r w:rsidR="00E34640" w:rsidRPr="00CF3673">
              <w:rPr>
                <w:lang w:val="pt-PT"/>
              </w:rPr>
              <w:t xml:space="preserve"> </w:t>
            </w:r>
            <w:r w:rsidR="00296486" w:rsidRPr="00CF3673">
              <w:rPr>
                <w:lang w:val="pt-PT"/>
              </w:rPr>
              <w:t>Calculo dos autores usando</w:t>
            </w:r>
            <w:r w:rsidR="00E34640" w:rsidRPr="00CF3673">
              <w:rPr>
                <w:lang w:val="pt-PT"/>
              </w:rPr>
              <w:t xml:space="preserve"> IIM 2012.</w:t>
            </w:r>
          </w:p>
        </w:tc>
      </w:tr>
    </w:tbl>
    <w:p w:rsidR="001729D6" w:rsidRPr="00CF3673" w:rsidRDefault="001729D6" w:rsidP="00532F9B"/>
    <w:p w:rsidR="001729D6" w:rsidRPr="00CF3673" w:rsidRDefault="001729D6" w:rsidP="00A93F3A">
      <w:pPr>
        <w:pStyle w:val="Tablenote"/>
        <w:rPr>
          <w:lang w:val="pt-PT"/>
        </w:rPr>
      </w:pPr>
    </w:p>
    <w:p w:rsidR="00E14565" w:rsidRPr="00CF3673" w:rsidRDefault="00E14565" w:rsidP="001E6DDB">
      <w:pPr>
        <w:pStyle w:val="MainText"/>
        <w:rPr>
          <w:lang w:val="pt-PT"/>
        </w:rPr>
      </w:pPr>
    </w:p>
    <w:p w:rsidR="00E14565" w:rsidRPr="00CF3673" w:rsidRDefault="00AE3CE9" w:rsidP="001E6DDB">
      <w:pPr>
        <w:pStyle w:val="MainText"/>
        <w:rPr>
          <w:lang w:val="pt-PT"/>
        </w:rPr>
      </w:pPr>
      <w:r w:rsidRPr="00CF3673">
        <w:rPr>
          <w:lang w:val="pt-PT"/>
        </w:rPr>
        <w:t>Microempresas estão na generalidade focalizadas</w:t>
      </w:r>
      <w:r w:rsidR="00E14565" w:rsidRPr="00CF3673">
        <w:rPr>
          <w:lang w:val="pt-PT"/>
        </w:rPr>
        <w:t xml:space="preserve"> nas pessoas individuais enquanto grandes empresas tem uma base mais diversificada de clientes. Microempresas </w:t>
      </w:r>
      <w:r w:rsidRPr="00CF3673">
        <w:rPr>
          <w:lang w:val="pt-PT"/>
        </w:rPr>
        <w:t xml:space="preserve">fazem 87% das suas vendas a indivíduos, enquanto o número é 38% das media-empresas. Para as empresas informais, é acima de 92%. Para pequenas empresas, as vendas a outras empresas constitui uma parte substancial do total das vendas, e para as media-empresas, e mais importante grupo de clientes  </w:t>
      </w:r>
    </w:p>
    <w:p w:rsidR="00AE3CE9" w:rsidRPr="00CF3673" w:rsidRDefault="00AE3CE9" w:rsidP="001E6DDB">
      <w:pPr>
        <w:pStyle w:val="MainText"/>
        <w:rPr>
          <w:lang w:val="pt-PT"/>
        </w:rPr>
      </w:pPr>
      <w:r w:rsidRPr="00CF3673">
        <w:rPr>
          <w:lang w:val="pt-PT"/>
        </w:rPr>
        <w:t>Finalmente, virando para a fixação dos preços na tabela 7.6, a maioria das empresas têm “</w:t>
      </w:r>
      <w:r w:rsidR="002A7D74" w:rsidRPr="00CF3673">
        <w:rPr>
          <w:lang w:val="pt-PT"/>
        </w:rPr>
        <w:t>Metas fixas de produção”</w:t>
      </w:r>
      <w:r w:rsidRPr="00CF3673">
        <w:rPr>
          <w:lang w:val="pt-PT"/>
        </w:rPr>
        <w:t xml:space="preserve"> como seu importante critério de fixação dos preços- grandes empresas para um nível ainda bastante maior. Usando este critério de fixação de preços</w:t>
      </w:r>
      <w:r w:rsidR="00337141" w:rsidRPr="00CF3673">
        <w:rPr>
          <w:lang w:val="pt-PT"/>
        </w:rPr>
        <w:t xml:space="preserve"> pode indicar que as empresas tem algum poder de mercado. Microempresas especialmente microempresas informais tem a propensão de usar “negociação indiv</w:t>
      </w:r>
      <w:r w:rsidR="006A4724" w:rsidRPr="00CF3673">
        <w:rPr>
          <w:lang w:val="pt-PT"/>
        </w:rPr>
        <w:t>idual</w:t>
      </w:r>
      <w:r w:rsidR="00337141" w:rsidRPr="00CF3673">
        <w:rPr>
          <w:lang w:val="pt-PT"/>
        </w:rPr>
        <w:t xml:space="preserve"> com o cliente” como o mais importante critério de fixação de preço, o que sugere que maior part</w:t>
      </w:r>
      <w:r w:rsidR="002A7D74" w:rsidRPr="00CF3673">
        <w:rPr>
          <w:lang w:val="pt-PT"/>
        </w:rPr>
        <w:t>e da produção é feita na base em encomendas.</w:t>
      </w:r>
    </w:p>
    <w:p w:rsidR="00F54157" w:rsidRPr="00CF3673" w:rsidRDefault="00F54157" w:rsidP="00F54157">
      <w:pPr>
        <w:pStyle w:val="TableTitle"/>
        <w:rPr>
          <w:lang w:val="pt-PT"/>
        </w:rPr>
      </w:pPr>
      <w:bookmarkStart w:id="45" w:name="_Toc360720484"/>
      <w:r w:rsidRPr="00CF3673">
        <w:rPr>
          <w:lang w:val="pt-PT"/>
        </w:rPr>
        <w:lastRenderedPageBreak/>
        <w:t>Tab</w:t>
      </w:r>
      <w:r w:rsidR="00337141" w:rsidRPr="00CF3673">
        <w:rPr>
          <w:lang w:val="pt-PT"/>
        </w:rPr>
        <w:t>e</w:t>
      </w:r>
      <w:r w:rsidRPr="00CF3673">
        <w:rPr>
          <w:lang w:val="pt-PT"/>
        </w:rPr>
        <w:t>l</w:t>
      </w:r>
      <w:r w:rsidR="00337141" w:rsidRPr="00CF3673">
        <w:rPr>
          <w:lang w:val="pt-PT"/>
        </w:rPr>
        <w:t>a</w:t>
      </w:r>
      <w:r w:rsidRPr="00CF3673">
        <w:rPr>
          <w:lang w:val="pt-PT"/>
        </w:rPr>
        <w:t xml:space="preserve"> 7.</w:t>
      </w:r>
      <w:r w:rsidR="00BE067D" w:rsidRPr="00CF3673">
        <w:rPr>
          <w:lang w:val="pt-PT"/>
        </w:rPr>
        <w:t>6</w:t>
      </w:r>
      <w:r w:rsidRPr="00CF3673">
        <w:rPr>
          <w:lang w:val="pt-PT"/>
        </w:rPr>
        <w:t xml:space="preserve">: </w:t>
      </w:r>
      <w:r w:rsidR="00337141" w:rsidRPr="00CF3673">
        <w:rPr>
          <w:lang w:val="pt-PT"/>
        </w:rPr>
        <w:t>Fixação do preço</w:t>
      </w:r>
      <w:r w:rsidRPr="00CF3673">
        <w:rPr>
          <w:lang w:val="pt-PT"/>
        </w:rPr>
        <w:t xml:space="preserve"> (</w:t>
      </w:r>
      <w:r w:rsidR="00337141" w:rsidRPr="00CF3673">
        <w:rPr>
          <w:lang w:val="pt-PT"/>
        </w:rPr>
        <w:t>critérios mais importantes) por tipo de empresa, % das empresas</w:t>
      </w:r>
      <w:bookmarkEnd w:id="45"/>
    </w:p>
    <w:tbl>
      <w:tblPr>
        <w:tblStyle w:val="StandardTable"/>
        <w:tblW w:w="0" w:type="auto"/>
        <w:jc w:val="center"/>
        <w:tblLook w:val="04E0" w:firstRow="1" w:lastRow="1" w:firstColumn="1" w:lastColumn="0" w:noHBand="0" w:noVBand="1"/>
      </w:tblPr>
      <w:tblGrid>
        <w:gridCol w:w="4246"/>
        <w:gridCol w:w="699"/>
        <w:gridCol w:w="1477"/>
        <w:gridCol w:w="1326"/>
        <w:gridCol w:w="930"/>
        <w:gridCol w:w="812"/>
      </w:tblGrid>
      <w:tr w:rsidR="002A7D74" w:rsidRPr="00CF3673" w:rsidTr="00E34640">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noWrap/>
            <w:hideMark/>
          </w:tcPr>
          <w:p w:rsidR="00E34640" w:rsidRPr="00CF3673" w:rsidRDefault="00E34640" w:rsidP="00F54157">
            <w:pPr>
              <w:rPr>
                <w:rFonts w:ascii="Calibri" w:eastAsia="Times New Roman" w:hAnsi="Calibri" w:cs="Times New Roman"/>
                <w:lang w:eastAsia="zh-CN"/>
              </w:rPr>
            </w:pPr>
          </w:p>
        </w:tc>
        <w:tc>
          <w:tcPr>
            <w:tcW w:w="0" w:type="auto"/>
            <w:noWrap/>
            <w:hideMark/>
          </w:tcPr>
          <w:p w:rsidR="00E34640" w:rsidRPr="00CF3673" w:rsidRDefault="002A7D74" w:rsidP="002A7D74">
            <w:pPr>
              <w:jc w:val="center"/>
              <w:rPr>
                <w:rFonts w:ascii="Calibri" w:eastAsia="Times New Roman" w:hAnsi="Calibri" w:cs="Times New Roman"/>
                <w:lang w:eastAsia="zh-CN"/>
              </w:rPr>
            </w:pPr>
            <w:r w:rsidRPr="00CF3673">
              <w:rPr>
                <w:rFonts w:ascii="Calibri" w:eastAsia="Times New Roman" w:hAnsi="Calibri" w:cs="Times New Roman"/>
                <w:lang w:eastAsia="zh-CN"/>
              </w:rPr>
              <w:t>Todas</w:t>
            </w:r>
          </w:p>
        </w:tc>
        <w:tc>
          <w:tcPr>
            <w:tcW w:w="0" w:type="auto"/>
            <w:noWrap/>
            <w:hideMark/>
          </w:tcPr>
          <w:p w:rsidR="00E34640" w:rsidRPr="00CF3673" w:rsidRDefault="00E34640" w:rsidP="00F54157">
            <w:pPr>
              <w:jc w:val="center"/>
              <w:rPr>
                <w:rFonts w:ascii="Calibri" w:eastAsia="Times New Roman" w:hAnsi="Calibri" w:cs="Times New Roman"/>
                <w:lang w:eastAsia="zh-CN"/>
              </w:rPr>
            </w:pPr>
            <w:r w:rsidRPr="00CF3673">
              <w:rPr>
                <w:rFonts w:ascii="Calibri" w:eastAsia="Times New Roman" w:hAnsi="Calibri" w:cs="Times New Roman"/>
                <w:lang w:eastAsia="zh-CN"/>
              </w:rPr>
              <w:t>Micro, informal</w:t>
            </w:r>
          </w:p>
        </w:tc>
        <w:tc>
          <w:tcPr>
            <w:tcW w:w="0" w:type="auto"/>
            <w:noWrap/>
          </w:tcPr>
          <w:p w:rsidR="00E34640" w:rsidRPr="00CF3673" w:rsidRDefault="00E34640" w:rsidP="00F54157">
            <w:pPr>
              <w:jc w:val="center"/>
              <w:rPr>
                <w:rFonts w:ascii="Calibri" w:eastAsia="Times New Roman" w:hAnsi="Calibri" w:cs="Times New Roman"/>
                <w:lang w:eastAsia="zh-CN"/>
              </w:rPr>
            </w:pPr>
            <w:r w:rsidRPr="00CF3673">
              <w:rPr>
                <w:rFonts w:ascii="Calibri" w:eastAsia="Times New Roman" w:hAnsi="Calibri" w:cs="Times New Roman"/>
                <w:lang w:eastAsia="zh-CN"/>
              </w:rPr>
              <w:t>Micro, formal</w:t>
            </w:r>
          </w:p>
        </w:tc>
        <w:tc>
          <w:tcPr>
            <w:tcW w:w="0" w:type="auto"/>
            <w:noWrap/>
          </w:tcPr>
          <w:p w:rsidR="00E34640" w:rsidRPr="00CF3673" w:rsidRDefault="002A7D74" w:rsidP="00806529">
            <w:pPr>
              <w:jc w:val="cente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0" w:type="auto"/>
            <w:noWrap/>
            <w:hideMark/>
          </w:tcPr>
          <w:p w:rsidR="00E34640" w:rsidRPr="00CF3673" w:rsidRDefault="00E34640" w:rsidP="002A7D74">
            <w:pPr>
              <w:jc w:val="center"/>
              <w:rPr>
                <w:rFonts w:ascii="Calibri" w:eastAsia="Times New Roman" w:hAnsi="Calibri" w:cs="Times New Roman"/>
                <w:lang w:eastAsia="zh-CN"/>
              </w:rPr>
            </w:pPr>
            <w:r w:rsidRPr="00CF3673">
              <w:rPr>
                <w:rFonts w:ascii="Calibri" w:eastAsia="Times New Roman" w:hAnsi="Calibri" w:cs="Times New Roman"/>
                <w:lang w:eastAsia="zh-CN"/>
              </w:rPr>
              <w:t>Medi</w:t>
            </w:r>
            <w:r w:rsidR="002A7D74" w:rsidRPr="00CF3673">
              <w:rPr>
                <w:rFonts w:ascii="Calibri" w:eastAsia="Times New Roman" w:hAnsi="Calibri" w:cs="Times New Roman"/>
                <w:lang w:eastAsia="zh-CN"/>
              </w:rPr>
              <w:t>as</w:t>
            </w:r>
          </w:p>
        </w:tc>
      </w:tr>
      <w:tr w:rsidR="002A7D74" w:rsidRPr="00CF3673" w:rsidTr="00E34640">
        <w:trPr>
          <w:trHeight w:val="300"/>
          <w:jc w:val="center"/>
        </w:trPr>
        <w:tc>
          <w:tcPr>
            <w:tcW w:w="0" w:type="auto"/>
            <w:noWrap/>
            <w:hideMark/>
          </w:tcPr>
          <w:p w:rsidR="00E34640" w:rsidRPr="00CF3673" w:rsidRDefault="002A7D74" w:rsidP="002A7D74">
            <w:pPr>
              <w:rPr>
                <w:rFonts w:ascii="Calibri" w:eastAsia="Times New Roman" w:hAnsi="Calibri" w:cs="Times New Roman"/>
                <w:lang w:eastAsia="zh-CN"/>
              </w:rPr>
            </w:pPr>
            <w:r w:rsidRPr="00CF3673">
              <w:rPr>
                <w:szCs w:val="20"/>
              </w:rPr>
              <w:t xml:space="preserve">Custo de fixação de limites de </w:t>
            </w:r>
            <w:r w:rsidR="006A4724" w:rsidRPr="00CF3673">
              <w:rPr>
                <w:szCs w:val="20"/>
              </w:rPr>
              <w:t>produção</w:t>
            </w:r>
          </w:p>
        </w:tc>
        <w:tc>
          <w:tcPr>
            <w:tcW w:w="0" w:type="auto"/>
            <w:noWrap/>
            <w:hideMark/>
          </w:tcPr>
          <w:p w:rsidR="00E34640" w:rsidRPr="00CF3673" w:rsidRDefault="00E34640" w:rsidP="00E34640">
            <w:pPr>
              <w:jc w:val="center"/>
            </w:pPr>
            <w:r w:rsidRPr="00CF3673">
              <w:t>58.6</w:t>
            </w:r>
          </w:p>
        </w:tc>
        <w:tc>
          <w:tcPr>
            <w:tcW w:w="0" w:type="auto"/>
            <w:noWrap/>
            <w:hideMark/>
          </w:tcPr>
          <w:p w:rsidR="00E34640" w:rsidRPr="00CF3673" w:rsidRDefault="00E34640" w:rsidP="00E34640">
            <w:pPr>
              <w:jc w:val="center"/>
            </w:pPr>
            <w:r w:rsidRPr="00CF3673">
              <w:t>51.6</w:t>
            </w:r>
          </w:p>
        </w:tc>
        <w:tc>
          <w:tcPr>
            <w:tcW w:w="0" w:type="auto"/>
            <w:noWrap/>
            <w:hideMark/>
          </w:tcPr>
          <w:p w:rsidR="00E34640" w:rsidRPr="00CF3673" w:rsidRDefault="00E34640" w:rsidP="00E34640">
            <w:pPr>
              <w:jc w:val="center"/>
            </w:pPr>
            <w:r w:rsidRPr="00CF3673">
              <w:t>58.4</w:t>
            </w:r>
          </w:p>
        </w:tc>
        <w:tc>
          <w:tcPr>
            <w:tcW w:w="0" w:type="auto"/>
            <w:noWrap/>
            <w:hideMark/>
          </w:tcPr>
          <w:p w:rsidR="00E34640" w:rsidRPr="00CF3673" w:rsidRDefault="00E34640" w:rsidP="00E34640">
            <w:pPr>
              <w:jc w:val="center"/>
            </w:pPr>
            <w:r w:rsidRPr="00CF3673">
              <w:t>60.1</w:t>
            </w:r>
          </w:p>
        </w:tc>
        <w:tc>
          <w:tcPr>
            <w:tcW w:w="0" w:type="auto"/>
            <w:noWrap/>
            <w:hideMark/>
          </w:tcPr>
          <w:p w:rsidR="00E34640" w:rsidRPr="00CF3673" w:rsidRDefault="00E34640" w:rsidP="00E34640">
            <w:pPr>
              <w:jc w:val="center"/>
            </w:pPr>
            <w:r w:rsidRPr="00CF3673">
              <w:t>72.7</w:t>
            </w:r>
          </w:p>
        </w:tc>
      </w:tr>
      <w:tr w:rsidR="002A7D74" w:rsidRPr="00CF3673" w:rsidTr="00E34640">
        <w:trPr>
          <w:trHeight w:val="300"/>
          <w:jc w:val="center"/>
        </w:trPr>
        <w:tc>
          <w:tcPr>
            <w:tcW w:w="0" w:type="auto"/>
            <w:noWrap/>
            <w:hideMark/>
          </w:tcPr>
          <w:p w:rsidR="00E34640" w:rsidRPr="00CF3673" w:rsidRDefault="006A4724" w:rsidP="002A7D74">
            <w:pPr>
              <w:rPr>
                <w:rFonts w:ascii="Calibri" w:eastAsia="Times New Roman" w:hAnsi="Calibri" w:cs="Times New Roman"/>
                <w:lang w:eastAsia="zh-CN"/>
              </w:rPr>
            </w:pPr>
            <w:r w:rsidRPr="00CF3673">
              <w:rPr>
                <w:szCs w:val="20"/>
              </w:rPr>
              <w:t>Cobrança</w:t>
            </w:r>
            <w:r w:rsidR="002A7D74" w:rsidRPr="00CF3673">
              <w:rPr>
                <w:szCs w:val="20"/>
              </w:rPr>
              <w:t xml:space="preserve"> do mesmo </w:t>
            </w:r>
            <w:r w:rsidRPr="00CF3673">
              <w:rPr>
                <w:szCs w:val="20"/>
              </w:rPr>
              <w:t>preço</w:t>
            </w:r>
            <w:r w:rsidR="002A7D74" w:rsidRPr="00CF3673">
              <w:rPr>
                <w:szCs w:val="20"/>
              </w:rPr>
              <w:t xml:space="preserve"> como os concorrentes</w:t>
            </w:r>
          </w:p>
        </w:tc>
        <w:tc>
          <w:tcPr>
            <w:tcW w:w="0" w:type="auto"/>
            <w:noWrap/>
            <w:hideMark/>
          </w:tcPr>
          <w:p w:rsidR="00E34640" w:rsidRPr="00CF3673" w:rsidRDefault="00E34640" w:rsidP="00E34640">
            <w:pPr>
              <w:jc w:val="center"/>
            </w:pPr>
            <w:r w:rsidRPr="00CF3673">
              <w:t>9.5</w:t>
            </w:r>
          </w:p>
        </w:tc>
        <w:tc>
          <w:tcPr>
            <w:tcW w:w="0" w:type="auto"/>
            <w:noWrap/>
            <w:hideMark/>
          </w:tcPr>
          <w:p w:rsidR="00E34640" w:rsidRPr="00CF3673" w:rsidRDefault="00E34640" w:rsidP="00E34640">
            <w:pPr>
              <w:jc w:val="center"/>
            </w:pPr>
            <w:r w:rsidRPr="00CF3673">
              <w:t>8.8</w:t>
            </w:r>
          </w:p>
        </w:tc>
        <w:tc>
          <w:tcPr>
            <w:tcW w:w="0" w:type="auto"/>
            <w:noWrap/>
            <w:hideMark/>
          </w:tcPr>
          <w:p w:rsidR="00E34640" w:rsidRPr="00CF3673" w:rsidRDefault="00E34640" w:rsidP="00E34640">
            <w:pPr>
              <w:jc w:val="center"/>
            </w:pPr>
            <w:r w:rsidRPr="00CF3673">
              <w:t>11.7</w:t>
            </w:r>
          </w:p>
        </w:tc>
        <w:tc>
          <w:tcPr>
            <w:tcW w:w="0" w:type="auto"/>
            <w:noWrap/>
            <w:hideMark/>
          </w:tcPr>
          <w:p w:rsidR="00E34640" w:rsidRPr="00CF3673" w:rsidRDefault="00E34640" w:rsidP="00E34640">
            <w:pPr>
              <w:jc w:val="center"/>
            </w:pPr>
            <w:r w:rsidRPr="00CF3673">
              <w:t>7.3</w:t>
            </w:r>
          </w:p>
        </w:tc>
        <w:tc>
          <w:tcPr>
            <w:tcW w:w="0" w:type="auto"/>
            <w:noWrap/>
            <w:hideMark/>
          </w:tcPr>
          <w:p w:rsidR="00E34640" w:rsidRPr="00CF3673" w:rsidRDefault="00E34640" w:rsidP="00E34640">
            <w:pPr>
              <w:jc w:val="center"/>
            </w:pPr>
            <w:r w:rsidRPr="00CF3673">
              <w:t>4.5</w:t>
            </w:r>
          </w:p>
        </w:tc>
      </w:tr>
      <w:tr w:rsidR="002A7D74" w:rsidRPr="00CF3673" w:rsidTr="00E34640">
        <w:trPr>
          <w:trHeight w:val="300"/>
          <w:jc w:val="center"/>
        </w:trPr>
        <w:tc>
          <w:tcPr>
            <w:tcW w:w="0" w:type="auto"/>
            <w:noWrap/>
            <w:hideMark/>
          </w:tcPr>
          <w:p w:rsidR="00E34640" w:rsidRPr="00CF3673" w:rsidRDefault="006A4724" w:rsidP="002A7D74">
            <w:pPr>
              <w:rPr>
                <w:rFonts w:ascii="Calibri" w:eastAsia="Times New Roman" w:hAnsi="Calibri" w:cs="Times New Roman"/>
                <w:lang w:eastAsia="zh-CN"/>
              </w:rPr>
            </w:pPr>
            <w:r w:rsidRPr="00CF3673">
              <w:rPr>
                <w:szCs w:val="20"/>
              </w:rPr>
              <w:t>Cobrança</w:t>
            </w:r>
            <w:r w:rsidR="002A7D74" w:rsidRPr="00CF3673">
              <w:rPr>
                <w:szCs w:val="20"/>
              </w:rPr>
              <w:t xml:space="preserve"> de </w:t>
            </w:r>
            <w:r w:rsidRPr="00CF3673">
              <w:rPr>
                <w:szCs w:val="20"/>
              </w:rPr>
              <w:t>preços</w:t>
            </w:r>
            <w:r w:rsidR="002A7D74" w:rsidRPr="00CF3673">
              <w:rPr>
                <w:szCs w:val="20"/>
              </w:rPr>
              <w:t xml:space="preserve"> abaixo dos concorrentes</w:t>
            </w:r>
          </w:p>
        </w:tc>
        <w:tc>
          <w:tcPr>
            <w:tcW w:w="0" w:type="auto"/>
            <w:noWrap/>
            <w:hideMark/>
          </w:tcPr>
          <w:p w:rsidR="00E34640" w:rsidRPr="00CF3673" w:rsidRDefault="00E34640" w:rsidP="00E34640">
            <w:pPr>
              <w:jc w:val="center"/>
            </w:pPr>
            <w:r w:rsidRPr="00CF3673">
              <w:t>4.1</w:t>
            </w:r>
          </w:p>
        </w:tc>
        <w:tc>
          <w:tcPr>
            <w:tcW w:w="0" w:type="auto"/>
            <w:noWrap/>
            <w:hideMark/>
          </w:tcPr>
          <w:p w:rsidR="00E34640" w:rsidRPr="00CF3673" w:rsidRDefault="00E34640" w:rsidP="00E34640">
            <w:pPr>
              <w:jc w:val="center"/>
            </w:pPr>
            <w:r w:rsidRPr="00CF3673">
              <w:t>3.1</w:t>
            </w:r>
          </w:p>
        </w:tc>
        <w:tc>
          <w:tcPr>
            <w:tcW w:w="0" w:type="auto"/>
            <w:noWrap/>
            <w:hideMark/>
          </w:tcPr>
          <w:p w:rsidR="00E34640" w:rsidRPr="00CF3673" w:rsidRDefault="00E34640" w:rsidP="00E34640">
            <w:pPr>
              <w:jc w:val="center"/>
            </w:pPr>
            <w:r w:rsidRPr="00CF3673">
              <w:t>5.3</w:t>
            </w:r>
          </w:p>
        </w:tc>
        <w:tc>
          <w:tcPr>
            <w:tcW w:w="0" w:type="auto"/>
            <w:noWrap/>
            <w:hideMark/>
          </w:tcPr>
          <w:p w:rsidR="00E34640" w:rsidRPr="00CF3673" w:rsidRDefault="00E34640" w:rsidP="00E34640">
            <w:pPr>
              <w:jc w:val="center"/>
            </w:pPr>
            <w:r w:rsidRPr="00CF3673">
              <w:t>2.2</w:t>
            </w:r>
          </w:p>
        </w:tc>
        <w:tc>
          <w:tcPr>
            <w:tcW w:w="0" w:type="auto"/>
            <w:noWrap/>
            <w:hideMark/>
          </w:tcPr>
          <w:p w:rsidR="00E34640" w:rsidRPr="00CF3673" w:rsidRDefault="00E34640" w:rsidP="00E34640">
            <w:pPr>
              <w:jc w:val="center"/>
            </w:pPr>
            <w:r w:rsidRPr="00CF3673">
              <w:t>4.5</w:t>
            </w:r>
          </w:p>
        </w:tc>
      </w:tr>
      <w:tr w:rsidR="002A7D74" w:rsidRPr="00CF3673" w:rsidTr="00E34640">
        <w:trPr>
          <w:trHeight w:val="300"/>
          <w:jc w:val="center"/>
        </w:trPr>
        <w:tc>
          <w:tcPr>
            <w:tcW w:w="0" w:type="auto"/>
            <w:noWrap/>
            <w:hideMark/>
          </w:tcPr>
          <w:p w:rsidR="00E34640" w:rsidRPr="00CF3673" w:rsidRDefault="002A7D74" w:rsidP="002A7D74">
            <w:pPr>
              <w:rPr>
                <w:rFonts w:ascii="Calibri" w:eastAsia="Times New Roman" w:hAnsi="Calibri" w:cs="Times New Roman"/>
                <w:lang w:eastAsia="zh-CN"/>
              </w:rPr>
            </w:pPr>
            <w:r w:rsidRPr="00CF3673">
              <w:rPr>
                <w:szCs w:val="20"/>
              </w:rPr>
              <w:t>Negociação individual com o cliente</w:t>
            </w:r>
          </w:p>
        </w:tc>
        <w:tc>
          <w:tcPr>
            <w:tcW w:w="0" w:type="auto"/>
            <w:noWrap/>
            <w:hideMark/>
          </w:tcPr>
          <w:p w:rsidR="00E34640" w:rsidRPr="00CF3673" w:rsidRDefault="00E34640" w:rsidP="00E34640">
            <w:pPr>
              <w:jc w:val="center"/>
            </w:pPr>
            <w:r w:rsidRPr="00CF3673">
              <w:t>19.6</w:t>
            </w:r>
          </w:p>
        </w:tc>
        <w:tc>
          <w:tcPr>
            <w:tcW w:w="0" w:type="auto"/>
            <w:noWrap/>
            <w:hideMark/>
          </w:tcPr>
          <w:p w:rsidR="00E34640" w:rsidRPr="00CF3673" w:rsidRDefault="00E34640" w:rsidP="00E34640">
            <w:pPr>
              <w:jc w:val="center"/>
            </w:pPr>
            <w:r w:rsidRPr="00CF3673">
              <w:t>28.9</w:t>
            </w:r>
          </w:p>
        </w:tc>
        <w:tc>
          <w:tcPr>
            <w:tcW w:w="0" w:type="auto"/>
            <w:noWrap/>
            <w:hideMark/>
          </w:tcPr>
          <w:p w:rsidR="00E34640" w:rsidRPr="00CF3673" w:rsidRDefault="00E34640" w:rsidP="00E34640">
            <w:pPr>
              <w:jc w:val="center"/>
            </w:pPr>
            <w:r w:rsidRPr="00CF3673">
              <w:t>19.3</w:t>
            </w:r>
          </w:p>
        </w:tc>
        <w:tc>
          <w:tcPr>
            <w:tcW w:w="0" w:type="auto"/>
            <w:noWrap/>
            <w:hideMark/>
          </w:tcPr>
          <w:p w:rsidR="00E34640" w:rsidRPr="00CF3673" w:rsidRDefault="00E34640" w:rsidP="00E34640">
            <w:pPr>
              <w:jc w:val="center"/>
            </w:pPr>
            <w:r w:rsidRPr="00CF3673">
              <w:t>16.3</w:t>
            </w:r>
          </w:p>
        </w:tc>
        <w:tc>
          <w:tcPr>
            <w:tcW w:w="0" w:type="auto"/>
            <w:noWrap/>
            <w:hideMark/>
          </w:tcPr>
          <w:p w:rsidR="00E34640" w:rsidRPr="00CF3673" w:rsidRDefault="00E34640" w:rsidP="00E34640">
            <w:pPr>
              <w:jc w:val="center"/>
            </w:pPr>
            <w:r w:rsidRPr="00CF3673">
              <w:t>7.6</w:t>
            </w:r>
          </w:p>
        </w:tc>
      </w:tr>
      <w:tr w:rsidR="002A7D74" w:rsidRPr="00CF3673" w:rsidTr="00E34640">
        <w:trPr>
          <w:trHeight w:val="300"/>
          <w:jc w:val="center"/>
        </w:trPr>
        <w:tc>
          <w:tcPr>
            <w:tcW w:w="0" w:type="auto"/>
            <w:noWrap/>
            <w:hideMark/>
          </w:tcPr>
          <w:p w:rsidR="00E34640" w:rsidRPr="00CF3673" w:rsidRDefault="006A4724" w:rsidP="002A7D74">
            <w:pPr>
              <w:rPr>
                <w:rFonts w:ascii="Calibri" w:eastAsia="Times New Roman" w:hAnsi="Calibri" w:cs="Times New Roman"/>
                <w:lang w:eastAsia="zh-CN"/>
              </w:rPr>
            </w:pPr>
            <w:r w:rsidRPr="00CF3673">
              <w:rPr>
                <w:szCs w:val="20"/>
              </w:rPr>
              <w:t>Preços</w:t>
            </w:r>
            <w:r w:rsidR="002A7D74" w:rsidRPr="00CF3673">
              <w:rPr>
                <w:szCs w:val="20"/>
              </w:rPr>
              <w:t xml:space="preserve"> regulados pelo governo</w:t>
            </w:r>
          </w:p>
        </w:tc>
        <w:tc>
          <w:tcPr>
            <w:tcW w:w="0" w:type="auto"/>
            <w:noWrap/>
            <w:hideMark/>
          </w:tcPr>
          <w:p w:rsidR="00E34640" w:rsidRPr="00CF3673" w:rsidRDefault="00E34640" w:rsidP="00E34640">
            <w:pPr>
              <w:jc w:val="center"/>
            </w:pPr>
            <w:r w:rsidRPr="00CF3673">
              <w:t>2.1</w:t>
            </w:r>
          </w:p>
        </w:tc>
        <w:tc>
          <w:tcPr>
            <w:tcW w:w="0" w:type="auto"/>
            <w:noWrap/>
            <w:hideMark/>
          </w:tcPr>
          <w:p w:rsidR="00E34640" w:rsidRPr="00CF3673" w:rsidRDefault="00E34640" w:rsidP="00E34640">
            <w:pPr>
              <w:jc w:val="center"/>
            </w:pPr>
            <w:r w:rsidRPr="00CF3673">
              <w:t>0.0</w:t>
            </w:r>
          </w:p>
        </w:tc>
        <w:tc>
          <w:tcPr>
            <w:tcW w:w="0" w:type="auto"/>
            <w:noWrap/>
            <w:hideMark/>
          </w:tcPr>
          <w:p w:rsidR="00E34640" w:rsidRPr="00CF3673" w:rsidRDefault="00E34640" w:rsidP="00E34640">
            <w:pPr>
              <w:jc w:val="center"/>
            </w:pPr>
            <w:r w:rsidRPr="00CF3673">
              <w:t>0.3</w:t>
            </w:r>
          </w:p>
        </w:tc>
        <w:tc>
          <w:tcPr>
            <w:tcW w:w="0" w:type="auto"/>
            <w:noWrap/>
            <w:hideMark/>
          </w:tcPr>
          <w:p w:rsidR="00E34640" w:rsidRPr="00CF3673" w:rsidRDefault="00E34640" w:rsidP="00E34640">
            <w:pPr>
              <w:jc w:val="center"/>
            </w:pPr>
            <w:r w:rsidRPr="00CF3673">
              <w:t>6.7</w:t>
            </w:r>
          </w:p>
        </w:tc>
        <w:tc>
          <w:tcPr>
            <w:tcW w:w="0" w:type="auto"/>
            <w:noWrap/>
            <w:hideMark/>
          </w:tcPr>
          <w:p w:rsidR="00E34640" w:rsidRPr="00CF3673" w:rsidRDefault="00E34640" w:rsidP="00E34640">
            <w:pPr>
              <w:jc w:val="center"/>
            </w:pPr>
            <w:r w:rsidRPr="00CF3673">
              <w:t>4.5</w:t>
            </w:r>
          </w:p>
        </w:tc>
      </w:tr>
      <w:tr w:rsidR="002A7D74" w:rsidRPr="00CF3673" w:rsidTr="00E34640">
        <w:trPr>
          <w:trHeight w:val="300"/>
          <w:jc w:val="center"/>
        </w:trPr>
        <w:tc>
          <w:tcPr>
            <w:tcW w:w="0" w:type="auto"/>
            <w:tcBorders>
              <w:bottom w:val="nil"/>
            </w:tcBorders>
            <w:noWrap/>
            <w:hideMark/>
          </w:tcPr>
          <w:p w:rsidR="00E34640" w:rsidRPr="00CF3673" w:rsidRDefault="002A7D74" w:rsidP="002A7D74">
            <w:pPr>
              <w:rPr>
                <w:rFonts w:ascii="Calibri" w:eastAsia="Times New Roman" w:hAnsi="Calibri" w:cs="Times New Roman"/>
                <w:lang w:eastAsia="zh-CN"/>
              </w:rPr>
            </w:pPr>
            <w:r w:rsidRPr="00CF3673">
              <w:rPr>
                <w:szCs w:val="20"/>
              </w:rPr>
              <w:t xml:space="preserve">Como função da </w:t>
            </w:r>
            <w:r w:rsidR="006A4724" w:rsidRPr="00CF3673">
              <w:rPr>
                <w:szCs w:val="20"/>
              </w:rPr>
              <w:t>flutuação</w:t>
            </w:r>
            <w:r w:rsidRPr="00CF3673">
              <w:rPr>
                <w:szCs w:val="20"/>
              </w:rPr>
              <w:t xml:space="preserve"> da taxa de </w:t>
            </w:r>
            <w:r w:rsidR="006A4724" w:rsidRPr="00CF3673">
              <w:rPr>
                <w:szCs w:val="20"/>
              </w:rPr>
              <w:t>câmbio</w:t>
            </w:r>
          </w:p>
        </w:tc>
        <w:tc>
          <w:tcPr>
            <w:tcW w:w="0" w:type="auto"/>
            <w:tcBorders>
              <w:bottom w:val="nil"/>
            </w:tcBorders>
            <w:noWrap/>
            <w:hideMark/>
          </w:tcPr>
          <w:p w:rsidR="00E34640" w:rsidRPr="00CF3673" w:rsidRDefault="00E34640" w:rsidP="00E34640">
            <w:pPr>
              <w:jc w:val="center"/>
            </w:pPr>
            <w:r w:rsidRPr="00CF3673">
              <w:t>2.9</w:t>
            </w:r>
          </w:p>
        </w:tc>
        <w:tc>
          <w:tcPr>
            <w:tcW w:w="0" w:type="auto"/>
            <w:tcBorders>
              <w:bottom w:val="nil"/>
            </w:tcBorders>
            <w:noWrap/>
            <w:hideMark/>
          </w:tcPr>
          <w:p w:rsidR="00E34640" w:rsidRPr="00CF3673" w:rsidRDefault="00E34640" w:rsidP="00E34640">
            <w:pPr>
              <w:jc w:val="center"/>
            </w:pPr>
            <w:r w:rsidRPr="00CF3673">
              <w:t>2.5</w:t>
            </w:r>
          </w:p>
        </w:tc>
        <w:tc>
          <w:tcPr>
            <w:tcW w:w="0" w:type="auto"/>
            <w:tcBorders>
              <w:bottom w:val="nil"/>
            </w:tcBorders>
            <w:noWrap/>
            <w:hideMark/>
          </w:tcPr>
          <w:p w:rsidR="00E34640" w:rsidRPr="00CF3673" w:rsidRDefault="00E34640" w:rsidP="00E34640">
            <w:pPr>
              <w:jc w:val="center"/>
            </w:pPr>
            <w:r w:rsidRPr="00CF3673">
              <w:t>1.7</w:t>
            </w:r>
          </w:p>
        </w:tc>
        <w:tc>
          <w:tcPr>
            <w:tcW w:w="0" w:type="auto"/>
            <w:tcBorders>
              <w:bottom w:val="nil"/>
            </w:tcBorders>
            <w:noWrap/>
            <w:hideMark/>
          </w:tcPr>
          <w:p w:rsidR="00E34640" w:rsidRPr="00CF3673" w:rsidRDefault="00E34640" w:rsidP="00E34640">
            <w:pPr>
              <w:jc w:val="center"/>
            </w:pPr>
            <w:r w:rsidRPr="00CF3673">
              <w:t>5.1</w:t>
            </w:r>
          </w:p>
        </w:tc>
        <w:tc>
          <w:tcPr>
            <w:tcW w:w="0" w:type="auto"/>
            <w:tcBorders>
              <w:bottom w:val="nil"/>
            </w:tcBorders>
            <w:noWrap/>
            <w:hideMark/>
          </w:tcPr>
          <w:p w:rsidR="00E34640" w:rsidRPr="00CF3673" w:rsidRDefault="00E34640" w:rsidP="00E34640">
            <w:pPr>
              <w:jc w:val="center"/>
            </w:pPr>
            <w:r w:rsidRPr="00CF3673">
              <w:t>4.5</w:t>
            </w:r>
          </w:p>
        </w:tc>
      </w:tr>
      <w:tr w:rsidR="002A7D74" w:rsidRPr="00CF3673" w:rsidTr="00E34640">
        <w:trPr>
          <w:trHeight w:val="300"/>
          <w:jc w:val="center"/>
        </w:trPr>
        <w:tc>
          <w:tcPr>
            <w:tcW w:w="0" w:type="auto"/>
            <w:tcBorders>
              <w:top w:val="nil"/>
              <w:bottom w:val="single" w:sz="4" w:space="0" w:color="auto"/>
            </w:tcBorders>
            <w:noWrap/>
            <w:hideMark/>
          </w:tcPr>
          <w:p w:rsidR="00E34640" w:rsidRPr="00CF3673" w:rsidRDefault="00E34640" w:rsidP="002A7D74">
            <w:pPr>
              <w:rPr>
                <w:rFonts w:ascii="Calibri" w:eastAsia="Times New Roman" w:hAnsi="Calibri" w:cs="Times New Roman"/>
                <w:lang w:eastAsia="zh-CN"/>
              </w:rPr>
            </w:pPr>
            <w:r w:rsidRPr="00CF3673">
              <w:rPr>
                <w:szCs w:val="20"/>
              </w:rPr>
              <w:t>O</w:t>
            </w:r>
            <w:r w:rsidR="002A7D74" w:rsidRPr="00CF3673">
              <w:rPr>
                <w:szCs w:val="20"/>
              </w:rPr>
              <w:t>utras</w:t>
            </w:r>
          </w:p>
        </w:tc>
        <w:tc>
          <w:tcPr>
            <w:tcW w:w="0" w:type="auto"/>
            <w:tcBorders>
              <w:top w:val="nil"/>
              <w:bottom w:val="single" w:sz="4" w:space="0" w:color="auto"/>
            </w:tcBorders>
            <w:noWrap/>
            <w:hideMark/>
          </w:tcPr>
          <w:p w:rsidR="00E34640" w:rsidRPr="00CF3673" w:rsidRDefault="00E34640" w:rsidP="00E34640">
            <w:pPr>
              <w:jc w:val="center"/>
            </w:pPr>
            <w:r w:rsidRPr="00CF3673">
              <w:t>3.3</w:t>
            </w:r>
          </w:p>
        </w:tc>
        <w:tc>
          <w:tcPr>
            <w:tcW w:w="0" w:type="auto"/>
            <w:tcBorders>
              <w:top w:val="nil"/>
              <w:bottom w:val="single" w:sz="4" w:space="0" w:color="auto"/>
            </w:tcBorders>
            <w:noWrap/>
            <w:hideMark/>
          </w:tcPr>
          <w:p w:rsidR="00E34640" w:rsidRPr="00CF3673" w:rsidRDefault="00E34640" w:rsidP="00E34640">
            <w:pPr>
              <w:jc w:val="center"/>
            </w:pPr>
            <w:r w:rsidRPr="00CF3673">
              <w:t>5.0</w:t>
            </w:r>
          </w:p>
        </w:tc>
        <w:tc>
          <w:tcPr>
            <w:tcW w:w="0" w:type="auto"/>
            <w:tcBorders>
              <w:top w:val="nil"/>
              <w:bottom w:val="single" w:sz="4" w:space="0" w:color="auto"/>
            </w:tcBorders>
            <w:noWrap/>
            <w:hideMark/>
          </w:tcPr>
          <w:p w:rsidR="00E34640" w:rsidRPr="00CF3673" w:rsidRDefault="00E34640" w:rsidP="00E34640">
            <w:pPr>
              <w:jc w:val="center"/>
            </w:pPr>
            <w:r w:rsidRPr="00CF3673">
              <w:t>3.4</w:t>
            </w:r>
          </w:p>
        </w:tc>
        <w:tc>
          <w:tcPr>
            <w:tcW w:w="0" w:type="auto"/>
            <w:tcBorders>
              <w:top w:val="nil"/>
              <w:bottom w:val="single" w:sz="4" w:space="0" w:color="auto"/>
            </w:tcBorders>
            <w:noWrap/>
            <w:hideMark/>
          </w:tcPr>
          <w:p w:rsidR="00E34640" w:rsidRPr="00CF3673" w:rsidRDefault="00E34640" w:rsidP="00E34640">
            <w:pPr>
              <w:jc w:val="center"/>
            </w:pPr>
            <w:r w:rsidRPr="00CF3673">
              <w:t>2.2</w:t>
            </w:r>
          </w:p>
        </w:tc>
        <w:tc>
          <w:tcPr>
            <w:tcW w:w="0" w:type="auto"/>
            <w:tcBorders>
              <w:top w:val="nil"/>
              <w:bottom w:val="single" w:sz="4" w:space="0" w:color="auto"/>
            </w:tcBorders>
            <w:noWrap/>
            <w:hideMark/>
          </w:tcPr>
          <w:p w:rsidR="00E34640" w:rsidRPr="00CF3673" w:rsidRDefault="00E34640" w:rsidP="00E34640">
            <w:pPr>
              <w:jc w:val="center"/>
            </w:pPr>
            <w:r w:rsidRPr="00CF3673">
              <w:t>1.5</w:t>
            </w:r>
          </w:p>
        </w:tc>
      </w:tr>
      <w:tr w:rsidR="002A7D74" w:rsidRPr="00CF3673" w:rsidTr="00E34640">
        <w:trPr>
          <w:trHeight w:val="300"/>
          <w:jc w:val="center"/>
        </w:trPr>
        <w:tc>
          <w:tcPr>
            <w:tcW w:w="0" w:type="auto"/>
            <w:tcBorders>
              <w:top w:val="single" w:sz="4" w:space="0" w:color="auto"/>
              <w:bottom w:val="double" w:sz="4" w:space="0" w:color="auto"/>
            </w:tcBorders>
            <w:noWrap/>
            <w:hideMark/>
          </w:tcPr>
          <w:p w:rsidR="00E34640" w:rsidRPr="00CF3673" w:rsidRDefault="000726C6" w:rsidP="002A7D74">
            <w:pPr>
              <w:rPr>
                <w:rFonts w:ascii="Calibri" w:eastAsia="Times New Roman" w:hAnsi="Calibri" w:cs="Times New Roman"/>
                <w:lang w:eastAsia="zh-CN"/>
              </w:rPr>
            </w:pPr>
            <w:proofErr w:type="spellStart"/>
            <w:r w:rsidRPr="00CF3673">
              <w:rPr>
                <w:rFonts w:ascii="Calibri" w:eastAsia="Times New Roman" w:hAnsi="Calibri" w:cs="Times New Roman"/>
                <w:lang w:eastAsia="zh-CN"/>
              </w:rPr>
              <w:t>N</w:t>
            </w:r>
            <w:r w:rsidR="002A7D74" w:rsidRPr="00CF3673">
              <w:rPr>
                <w:rFonts w:ascii="Calibri" w:eastAsia="Times New Roman" w:hAnsi="Calibri" w:cs="Times New Roman"/>
                <w:lang w:eastAsia="zh-CN"/>
              </w:rPr>
              <w:t>r</w:t>
            </w:r>
            <w:proofErr w:type="spellEnd"/>
            <w:r w:rsidR="006A4724" w:rsidRPr="00CF3673">
              <w:rPr>
                <w:rFonts w:ascii="Calibri" w:eastAsia="Times New Roman" w:hAnsi="Calibri" w:cs="Times New Roman"/>
                <w:lang w:eastAsia="zh-CN"/>
              </w:rPr>
              <w:t>. de</w:t>
            </w:r>
            <w:r w:rsidRPr="00CF3673">
              <w:rPr>
                <w:rFonts w:ascii="Calibri" w:eastAsia="Times New Roman" w:hAnsi="Calibri" w:cs="Times New Roman"/>
                <w:lang w:eastAsia="zh-CN"/>
              </w:rPr>
              <w:t xml:space="preserve"> o</w:t>
            </w:r>
            <w:r w:rsidR="00E34640" w:rsidRPr="00CF3673">
              <w:rPr>
                <w:rFonts w:ascii="Calibri" w:eastAsia="Times New Roman" w:hAnsi="Calibri" w:cs="Times New Roman"/>
                <w:lang w:eastAsia="zh-CN"/>
              </w:rPr>
              <w:t>bs.</w:t>
            </w:r>
          </w:p>
        </w:tc>
        <w:tc>
          <w:tcPr>
            <w:tcW w:w="0" w:type="auto"/>
            <w:tcBorders>
              <w:top w:val="single" w:sz="4" w:space="0" w:color="auto"/>
              <w:bottom w:val="double" w:sz="4" w:space="0" w:color="auto"/>
            </w:tcBorders>
            <w:noWrap/>
            <w:hideMark/>
          </w:tcPr>
          <w:p w:rsidR="00E34640" w:rsidRPr="00CF3673" w:rsidRDefault="00E34640" w:rsidP="00E34640">
            <w:pPr>
              <w:jc w:val="center"/>
            </w:pPr>
            <w:r w:rsidRPr="00CF3673">
              <w:t>761</w:t>
            </w:r>
          </w:p>
        </w:tc>
        <w:tc>
          <w:tcPr>
            <w:tcW w:w="0" w:type="auto"/>
            <w:tcBorders>
              <w:top w:val="single" w:sz="4" w:space="0" w:color="auto"/>
              <w:bottom w:val="double" w:sz="4" w:space="0" w:color="auto"/>
            </w:tcBorders>
            <w:noWrap/>
            <w:hideMark/>
          </w:tcPr>
          <w:p w:rsidR="00E34640" w:rsidRPr="00CF3673" w:rsidRDefault="00E34640" w:rsidP="00E34640">
            <w:pPr>
              <w:jc w:val="center"/>
            </w:pPr>
            <w:r w:rsidRPr="00CF3673">
              <w:t>159</w:t>
            </w:r>
          </w:p>
        </w:tc>
        <w:tc>
          <w:tcPr>
            <w:tcW w:w="0" w:type="auto"/>
            <w:tcBorders>
              <w:top w:val="single" w:sz="4" w:space="0" w:color="auto"/>
              <w:bottom w:val="double" w:sz="4" w:space="0" w:color="auto"/>
            </w:tcBorders>
            <w:noWrap/>
            <w:hideMark/>
          </w:tcPr>
          <w:p w:rsidR="00E34640" w:rsidRPr="00CF3673" w:rsidRDefault="00E34640" w:rsidP="00E34640">
            <w:pPr>
              <w:jc w:val="center"/>
            </w:pPr>
            <w:r w:rsidRPr="00CF3673">
              <w:t>358</w:t>
            </w:r>
          </w:p>
        </w:tc>
        <w:tc>
          <w:tcPr>
            <w:tcW w:w="0" w:type="auto"/>
            <w:tcBorders>
              <w:top w:val="single" w:sz="4" w:space="0" w:color="auto"/>
              <w:bottom w:val="double" w:sz="4" w:space="0" w:color="auto"/>
            </w:tcBorders>
            <w:noWrap/>
            <w:hideMark/>
          </w:tcPr>
          <w:p w:rsidR="00E34640" w:rsidRPr="00CF3673" w:rsidRDefault="00E34640" w:rsidP="00E34640">
            <w:pPr>
              <w:jc w:val="center"/>
            </w:pPr>
            <w:r w:rsidRPr="00CF3673">
              <w:t>178</w:t>
            </w:r>
          </w:p>
        </w:tc>
        <w:tc>
          <w:tcPr>
            <w:tcW w:w="0" w:type="auto"/>
            <w:tcBorders>
              <w:top w:val="single" w:sz="4" w:space="0" w:color="auto"/>
              <w:bottom w:val="double" w:sz="4" w:space="0" w:color="auto"/>
            </w:tcBorders>
            <w:noWrap/>
            <w:hideMark/>
          </w:tcPr>
          <w:p w:rsidR="00E34640" w:rsidRPr="00CF3673" w:rsidRDefault="00E34640" w:rsidP="00E34640">
            <w:pPr>
              <w:jc w:val="center"/>
            </w:pPr>
            <w:r w:rsidRPr="00CF3673">
              <w:t>66</w:t>
            </w:r>
          </w:p>
        </w:tc>
      </w:tr>
      <w:tr w:rsidR="00E34640" w:rsidRPr="00CF3673" w:rsidTr="00E34640">
        <w:trPr>
          <w:cnfStyle w:val="010000000000" w:firstRow="0" w:lastRow="1" w:firstColumn="0" w:lastColumn="0" w:oddVBand="0" w:evenVBand="0" w:oddHBand="0" w:evenHBand="0" w:firstRowFirstColumn="0" w:firstRowLastColumn="0" w:lastRowFirstColumn="0" w:lastRowLastColumn="0"/>
          <w:trHeight w:val="300"/>
          <w:jc w:val="center"/>
        </w:trPr>
        <w:tc>
          <w:tcPr>
            <w:tcW w:w="0" w:type="auto"/>
            <w:gridSpan w:val="6"/>
            <w:tcBorders>
              <w:top w:val="nil"/>
              <w:bottom w:val="nil"/>
            </w:tcBorders>
            <w:noWrap/>
          </w:tcPr>
          <w:p w:rsidR="00E34640" w:rsidRPr="00CF3673" w:rsidRDefault="002A7D74" w:rsidP="002A7D74">
            <w:pPr>
              <w:pStyle w:val="Tablenote"/>
              <w:rPr>
                <w:lang w:val="pt-PT"/>
              </w:rPr>
            </w:pPr>
            <w:r w:rsidRPr="00CF3673">
              <w:rPr>
                <w:b/>
                <w:lang w:val="pt-PT"/>
              </w:rPr>
              <w:t>Fonte</w:t>
            </w:r>
            <w:r w:rsidR="00E34640" w:rsidRPr="00CF3673">
              <w:rPr>
                <w:b/>
                <w:lang w:val="pt-PT"/>
              </w:rPr>
              <w:t>:</w:t>
            </w:r>
            <w:r w:rsidR="00E34640" w:rsidRPr="00CF3673">
              <w:rPr>
                <w:lang w:val="pt-PT"/>
              </w:rPr>
              <w:t xml:space="preserve"> </w:t>
            </w:r>
            <w:r w:rsidRPr="00CF3673">
              <w:rPr>
                <w:lang w:val="pt-PT"/>
              </w:rPr>
              <w:t>Calculo dos autores usando</w:t>
            </w:r>
            <w:r w:rsidR="00E34640" w:rsidRPr="00CF3673">
              <w:rPr>
                <w:lang w:val="pt-PT"/>
              </w:rPr>
              <w:t xml:space="preserve"> IIM 2012.</w:t>
            </w:r>
          </w:p>
        </w:tc>
      </w:tr>
    </w:tbl>
    <w:p w:rsidR="00AF1DC4" w:rsidRPr="00CF3673" w:rsidRDefault="004D1585" w:rsidP="001E664B">
      <w:pPr>
        <w:pStyle w:val="SectionTitle"/>
        <w:rPr>
          <w:lang w:val="pt-PT"/>
        </w:rPr>
      </w:pPr>
      <w:bookmarkStart w:id="46" w:name="_Toc360720400"/>
      <w:r w:rsidRPr="00CF3673">
        <w:rPr>
          <w:lang w:val="pt-PT"/>
        </w:rPr>
        <w:t>7</w:t>
      </w:r>
      <w:r w:rsidR="00215639" w:rsidRPr="00CF3673">
        <w:rPr>
          <w:lang w:val="pt-PT"/>
        </w:rPr>
        <w:t>.3.</w:t>
      </w:r>
      <w:r w:rsidR="00B26432" w:rsidRPr="00CF3673">
        <w:rPr>
          <w:lang w:val="pt-PT"/>
        </w:rPr>
        <w:t xml:space="preserve"> </w:t>
      </w:r>
      <w:r w:rsidR="006A4724" w:rsidRPr="00CF3673">
        <w:rPr>
          <w:lang w:val="pt-PT"/>
        </w:rPr>
        <w:t>Importações, matéria-prima</w:t>
      </w:r>
      <w:r w:rsidR="00B26432" w:rsidRPr="00CF3673">
        <w:rPr>
          <w:lang w:val="pt-PT"/>
        </w:rPr>
        <w:t xml:space="preserve">, </w:t>
      </w:r>
      <w:r w:rsidR="00337141" w:rsidRPr="00CF3673">
        <w:rPr>
          <w:lang w:val="pt-PT"/>
        </w:rPr>
        <w:t>e fixação de preços</w:t>
      </w:r>
      <w:bookmarkEnd w:id="46"/>
    </w:p>
    <w:p w:rsidR="00337141" w:rsidRPr="00CF3673" w:rsidRDefault="00337141" w:rsidP="00441D14">
      <w:pPr>
        <w:pStyle w:val="MainText"/>
        <w:rPr>
          <w:lang w:val="pt-PT"/>
        </w:rPr>
      </w:pPr>
      <w:r w:rsidRPr="00CF3673">
        <w:rPr>
          <w:lang w:val="pt-PT"/>
        </w:rPr>
        <w:t xml:space="preserve">Em </w:t>
      </w:r>
      <w:r w:rsidR="00C37160" w:rsidRPr="00CF3673">
        <w:rPr>
          <w:lang w:val="pt-PT"/>
        </w:rPr>
        <w:t>média</w:t>
      </w:r>
      <w:r w:rsidRPr="00CF3673">
        <w:rPr>
          <w:lang w:val="pt-PT"/>
        </w:rPr>
        <w:t xml:space="preserve">, as empresas na amostra importam 10% dos seus insumos intermédios. Grandes empresas importam mais do que as pequenas empresas. Empresas </w:t>
      </w:r>
      <w:r w:rsidR="00C37160" w:rsidRPr="00CF3673">
        <w:rPr>
          <w:lang w:val="pt-PT"/>
        </w:rPr>
        <w:t>médias</w:t>
      </w:r>
      <w:r w:rsidRPr="00CF3673">
        <w:rPr>
          <w:lang w:val="pt-PT"/>
        </w:rPr>
        <w:t xml:space="preserve"> importam mais de 25% dos seus insumo</w:t>
      </w:r>
      <w:r w:rsidR="002A7D74" w:rsidRPr="00CF3673">
        <w:rPr>
          <w:lang w:val="pt-PT"/>
        </w:rPr>
        <w:t>s intermédios enquanto as micro</w:t>
      </w:r>
      <w:r w:rsidRPr="00CF3673">
        <w:rPr>
          <w:lang w:val="pt-PT"/>
        </w:rPr>
        <w:t xml:space="preserve">empresas importam menos de 4% da sua matéria-prima. As empresas </w:t>
      </w:r>
      <w:r w:rsidR="006A4724" w:rsidRPr="00CF3673">
        <w:rPr>
          <w:lang w:val="pt-PT"/>
        </w:rPr>
        <w:t>do</w:t>
      </w:r>
      <w:r w:rsidRPr="00CF3673">
        <w:rPr>
          <w:lang w:val="pt-PT"/>
        </w:rPr>
        <w:t xml:space="preserve"> sector informal </w:t>
      </w:r>
      <w:r w:rsidR="00C37160" w:rsidRPr="00CF3673">
        <w:rPr>
          <w:lang w:val="pt-PT"/>
        </w:rPr>
        <w:t xml:space="preserve">importam quase nada. </w:t>
      </w:r>
      <w:r w:rsidR="006A4724" w:rsidRPr="00CF3673">
        <w:rPr>
          <w:lang w:val="pt-PT"/>
        </w:rPr>
        <w:t>Talvez</w:t>
      </w:r>
      <w:r w:rsidR="00C37160" w:rsidRPr="00CF3673">
        <w:rPr>
          <w:lang w:val="pt-PT"/>
        </w:rPr>
        <w:t xml:space="preserve"> não com surpresa, existe forte variação entre os sectores. Enquanto nos sectores de mobiliário e madeira não tem importação alguma (elas usam a madeira </w:t>
      </w:r>
      <w:r w:rsidR="006A4724" w:rsidRPr="00CF3673">
        <w:rPr>
          <w:lang w:val="pt-PT"/>
        </w:rPr>
        <w:t>moçambicana</w:t>
      </w:r>
      <w:r w:rsidR="00C37160" w:rsidRPr="00CF3673">
        <w:rPr>
          <w:lang w:val="pt-PT"/>
        </w:rPr>
        <w:t>) as empresas no sector da publicação e impressão, maquinaria e especialmente químico, borracha e plástico são bastante dependentes das importações.</w:t>
      </w:r>
    </w:p>
    <w:p w:rsidR="002342D9" w:rsidRPr="00CF3673" w:rsidRDefault="00E333A2" w:rsidP="00F41831">
      <w:pPr>
        <w:pStyle w:val="TableTitle"/>
        <w:rPr>
          <w:lang w:val="pt-PT"/>
        </w:rPr>
      </w:pPr>
      <w:bookmarkStart w:id="47" w:name="_Toc360720485"/>
      <w:r w:rsidRPr="00CF3673">
        <w:rPr>
          <w:lang w:val="pt-PT"/>
        </w:rPr>
        <w:t>Tab</w:t>
      </w:r>
      <w:r w:rsidR="00C37160" w:rsidRPr="00CF3673">
        <w:rPr>
          <w:lang w:val="pt-PT"/>
        </w:rPr>
        <w:t>e</w:t>
      </w:r>
      <w:r w:rsidRPr="00CF3673">
        <w:rPr>
          <w:lang w:val="pt-PT"/>
        </w:rPr>
        <w:t>l</w:t>
      </w:r>
      <w:r w:rsidR="00C37160" w:rsidRPr="00CF3673">
        <w:rPr>
          <w:lang w:val="pt-PT"/>
        </w:rPr>
        <w:t>a</w:t>
      </w:r>
      <w:r w:rsidR="002342D9" w:rsidRPr="00CF3673">
        <w:rPr>
          <w:lang w:val="pt-PT"/>
        </w:rPr>
        <w:t xml:space="preserve"> </w:t>
      </w:r>
      <w:r w:rsidR="004D1585" w:rsidRPr="00CF3673">
        <w:rPr>
          <w:lang w:val="pt-PT"/>
        </w:rPr>
        <w:t>7</w:t>
      </w:r>
      <w:r w:rsidR="002342D9" w:rsidRPr="00CF3673">
        <w:rPr>
          <w:lang w:val="pt-PT"/>
        </w:rPr>
        <w:t>.</w:t>
      </w:r>
      <w:r w:rsidR="00BE067D" w:rsidRPr="00CF3673">
        <w:rPr>
          <w:lang w:val="pt-PT"/>
        </w:rPr>
        <w:t>7</w:t>
      </w:r>
      <w:r w:rsidR="00700CAD" w:rsidRPr="00CF3673">
        <w:rPr>
          <w:lang w:val="pt-PT"/>
        </w:rPr>
        <w:t>: Import</w:t>
      </w:r>
      <w:r w:rsidR="00C37160" w:rsidRPr="00CF3673">
        <w:rPr>
          <w:lang w:val="pt-PT"/>
        </w:rPr>
        <w:t>ações como contribuição da matéria-prima</w:t>
      </w:r>
      <w:r w:rsidR="00CC54F3" w:rsidRPr="00CF3673">
        <w:rPr>
          <w:lang w:val="pt-PT"/>
        </w:rPr>
        <w:t xml:space="preserve"> (</w:t>
      </w:r>
      <w:r w:rsidR="00C37160" w:rsidRPr="00CF3673">
        <w:rPr>
          <w:lang w:val="pt-PT"/>
        </w:rPr>
        <w:t>bens interm</w:t>
      </w:r>
      <w:r w:rsidR="002A7D74" w:rsidRPr="00CF3673">
        <w:rPr>
          <w:lang w:val="pt-PT"/>
        </w:rPr>
        <w:t>é</w:t>
      </w:r>
      <w:r w:rsidR="00C37160" w:rsidRPr="00CF3673">
        <w:rPr>
          <w:lang w:val="pt-PT"/>
        </w:rPr>
        <w:t>dios</w:t>
      </w:r>
      <w:r w:rsidR="00CC54F3" w:rsidRPr="00CF3673">
        <w:rPr>
          <w:lang w:val="pt-PT"/>
        </w:rPr>
        <w:t xml:space="preserve">), </w:t>
      </w:r>
      <w:r w:rsidR="00C37160" w:rsidRPr="00CF3673">
        <w:rPr>
          <w:lang w:val="pt-PT"/>
        </w:rPr>
        <w:t>% do total de matéria-prima por valor</w:t>
      </w:r>
      <w:bookmarkEnd w:id="47"/>
    </w:p>
    <w:tbl>
      <w:tblPr>
        <w:tblStyle w:val="StandardTable"/>
        <w:tblW w:w="0" w:type="auto"/>
        <w:jc w:val="center"/>
        <w:tblLayout w:type="fixed"/>
        <w:tblLook w:val="04A0" w:firstRow="1" w:lastRow="0" w:firstColumn="1" w:lastColumn="0" w:noHBand="0" w:noVBand="1"/>
      </w:tblPr>
      <w:tblGrid>
        <w:gridCol w:w="2731"/>
        <w:gridCol w:w="852"/>
        <w:gridCol w:w="1098"/>
      </w:tblGrid>
      <w:tr w:rsidR="00CC54F3" w:rsidRPr="00CF3673" w:rsidTr="009446C1">
        <w:trPr>
          <w:cnfStyle w:val="100000000000" w:firstRow="1" w:lastRow="0" w:firstColumn="0" w:lastColumn="0" w:oddVBand="0" w:evenVBand="0" w:oddHBand="0" w:evenHBand="0" w:firstRowFirstColumn="0" w:firstRowLastColumn="0" w:lastRowFirstColumn="0" w:lastRowLastColumn="0"/>
          <w:trHeight w:val="300"/>
          <w:jc w:val="center"/>
        </w:trPr>
        <w:tc>
          <w:tcPr>
            <w:tcW w:w="2731" w:type="dxa"/>
            <w:noWrap/>
            <w:hideMark/>
          </w:tcPr>
          <w:p w:rsidR="00CC54F3" w:rsidRPr="00CF3673" w:rsidRDefault="00CC54F3" w:rsidP="00B4539F">
            <w:pPr>
              <w:rPr>
                <w:rFonts w:ascii="Calibri" w:eastAsia="Times New Roman" w:hAnsi="Calibri" w:cs="Times New Roman"/>
                <w:lang w:eastAsia="zh-CN"/>
              </w:rPr>
            </w:pPr>
          </w:p>
        </w:tc>
        <w:tc>
          <w:tcPr>
            <w:tcW w:w="852" w:type="dxa"/>
            <w:noWrap/>
            <w:hideMark/>
          </w:tcPr>
          <w:p w:rsidR="00CC54F3" w:rsidRPr="00CF3673" w:rsidRDefault="002A7D74" w:rsidP="003F1A66">
            <w:pPr>
              <w:jc w:val="center"/>
              <w:rPr>
                <w:rFonts w:ascii="Calibri" w:eastAsia="Times New Roman" w:hAnsi="Calibri" w:cs="Times New Roman"/>
                <w:lang w:eastAsia="zh-CN"/>
              </w:rPr>
            </w:pPr>
            <w:r w:rsidRPr="00CF3673">
              <w:rPr>
                <w:rFonts w:ascii="Calibri" w:eastAsia="Times New Roman" w:hAnsi="Calibri" w:cs="Times New Roman"/>
                <w:lang w:eastAsia="zh-CN"/>
              </w:rPr>
              <w:t>Importações</w:t>
            </w:r>
          </w:p>
        </w:tc>
        <w:tc>
          <w:tcPr>
            <w:tcW w:w="1098" w:type="dxa"/>
            <w:noWrap/>
            <w:hideMark/>
          </w:tcPr>
          <w:p w:rsidR="00CC54F3" w:rsidRPr="00CF3673" w:rsidRDefault="009446C1" w:rsidP="002A7D74">
            <w:pPr>
              <w:rPr>
                <w:rFonts w:ascii="Calibri" w:eastAsia="Times New Roman" w:hAnsi="Calibri" w:cs="Times New Roman"/>
                <w:lang w:eastAsia="zh-CN"/>
              </w:rPr>
            </w:pPr>
            <w:proofErr w:type="spellStart"/>
            <w:r w:rsidRPr="00CF3673">
              <w:rPr>
                <w:rFonts w:ascii="Calibri" w:eastAsia="Times New Roman" w:hAnsi="Calibri" w:cs="Times New Roman"/>
                <w:lang w:eastAsia="zh-CN"/>
              </w:rPr>
              <w:t>N</w:t>
            </w:r>
            <w:r w:rsidR="002A7D74" w:rsidRPr="00CF3673">
              <w:rPr>
                <w:rFonts w:ascii="Calibri" w:eastAsia="Times New Roman" w:hAnsi="Calibri" w:cs="Times New Roman"/>
                <w:lang w:eastAsia="zh-CN"/>
              </w:rPr>
              <w:t>r</w:t>
            </w:r>
            <w:proofErr w:type="spellEnd"/>
            <w:r w:rsidRPr="00CF3673">
              <w:rPr>
                <w:rFonts w:ascii="Calibri" w:eastAsia="Times New Roman" w:hAnsi="Calibri" w:cs="Times New Roman"/>
                <w:lang w:eastAsia="zh-CN"/>
              </w:rPr>
              <w:t xml:space="preserve">. </w:t>
            </w:r>
            <w:r w:rsidR="002A7D74" w:rsidRPr="00CF3673">
              <w:rPr>
                <w:rFonts w:ascii="Calibri" w:eastAsia="Times New Roman" w:hAnsi="Calibri" w:cs="Times New Roman"/>
                <w:lang w:eastAsia="zh-CN"/>
              </w:rPr>
              <w:t>de</w:t>
            </w:r>
            <w:r w:rsidRPr="00CF3673">
              <w:rPr>
                <w:rFonts w:ascii="Calibri" w:eastAsia="Times New Roman" w:hAnsi="Calibri" w:cs="Times New Roman"/>
                <w:lang w:eastAsia="zh-CN"/>
              </w:rPr>
              <w:t xml:space="preserve"> o</w:t>
            </w:r>
            <w:r w:rsidR="00CC54F3" w:rsidRPr="00CF3673">
              <w:rPr>
                <w:rFonts w:ascii="Calibri" w:eastAsia="Times New Roman" w:hAnsi="Calibri" w:cs="Times New Roman"/>
                <w:lang w:eastAsia="zh-CN"/>
              </w:rPr>
              <w:t>bs.</w:t>
            </w:r>
          </w:p>
        </w:tc>
      </w:tr>
      <w:tr w:rsidR="00CC54F3" w:rsidRPr="00CF3673" w:rsidTr="009446C1">
        <w:trPr>
          <w:trHeight w:val="300"/>
          <w:jc w:val="center"/>
        </w:trPr>
        <w:tc>
          <w:tcPr>
            <w:tcW w:w="2731" w:type="dxa"/>
            <w:tcBorders>
              <w:top w:val="single" w:sz="4" w:space="0" w:color="auto"/>
            </w:tcBorders>
            <w:noWrap/>
            <w:hideMark/>
          </w:tcPr>
          <w:p w:rsidR="00CC54F3" w:rsidRPr="00CF3673" w:rsidRDefault="002A7D74" w:rsidP="00B4539F">
            <w:pPr>
              <w:rPr>
                <w:rFonts w:ascii="Calibri" w:eastAsia="Times New Roman" w:hAnsi="Calibri" w:cs="Times New Roman"/>
                <w:lang w:eastAsia="zh-CN"/>
              </w:rPr>
            </w:pPr>
            <w:r w:rsidRPr="00CF3673">
              <w:rPr>
                <w:rFonts w:ascii="Calibri" w:eastAsia="Times New Roman" w:hAnsi="Calibri" w:cs="Times New Roman"/>
                <w:lang w:eastAsia="zh-CN"/>
              </w:rPr>
              <w:t>Todas</w:t>
            </w:r>
          </w:p>
        </w:tc>
        <w:tc>
          <w:tcPr>
            <w:tcW w:w="852" w:type="dxa"/>
            <w:tcBorders>
              <w:top w:val="single" w:sz="4" w:space="0" w:color="auto"/>
            </w:tcBorders>
            <w:noWrap/>
            <w:hideMark/>
          </w:tcPr>
          <w:p w:rsidR="00CC54F3" w:rsidRPr="00CF3673" w:rsidRDefault="00CC54F3" w:rsidP="00CC54F3">
            <w:pPr>
              <w:jc w:val="center"/>
            </w:pPr>
            <w:r w:rsidRPr="00CF3673">
              <w:t>9.6</w:t>
            </w:r>
          </w:p>
        </w:tc>
        <w:tc>
          <w:tcPr>
            <w:tcW w:w="1098" w:type="dxa"/>
            <w:tcBorders>
              <w:top w:val="single" w:sz="4" w:space="0" w:color="auto"/>
            </w:tcBorders>
            <w:noWrap/>
            <w:hideMark/>
          </w:tcPr>
          <w:p w:rsidR="00CC54F3" w:rsidRPr="00CF3673" w:rsidRDefault="00CC54F3" w:rsidP="00CC54F3">
            <w:pPr>
              <w:jc w:val="center"/>
            </w:pPr>
            <w:r w:rsidRPr="00CF3673">
              <w:t>715</w:t>
            </w:r>
          </w:p>
        </w:tc>
      </w:tr>
      <w:tr w:rsidR="00CC54F3" w:rsidRPr="00CF3673" w:rsidTr="009446C1">
        <w:trPr>
          <w:trHeight w:val="300"/>
          <w:jc w:val="center"/>
        </w:trPr>
        <w:tc>
          <w:tcPr>
            <w:tcW w:w="2731" w:type="dxa"/>
            <w:noWrap/>
            <w:hideMark/>
          </w:tcPr>
          <w:p w:rsidR="00CC54F3" w:rsidRPr="00CF3673" w:rsidRDefault="00CC54F3" w:rsidP="001A3B39">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852" w:type="dxa"/>
            <w:noWrap/>
            <w:hideMark/>
          </w:tcPr>
          <w:p w:rsidR="00CC54F3" w:rsidRPr="00CF3673" w:rsidRDefault="00CC54F3" w:rsidP="00CC54F3">
            <w:pPr>
              <w:jc w:val="center"/>
            </w:pPr>
            <w:r w:rsidRPr="00CF3673">
              <w:t>3.1</w:t>
            </w:r>
          </w:p>
        </w:tc>
        <w:tc>
          <w:tcPr>
            <w:tcW w:w="1098" w:type="dxa"/>
            <w:noWrap/>
            <w:hideMark/>
          </w:tcPr>
          <w:p w:rsidR="00CC54F3" w:rsidRPr="00CF3673" w:rsidRDefault="00CC54F3" w:rsidP="00CC54F3">
            <w:pPr>
              <w:jc w:val="center"/>
            </w:pPr>
            <w:r w:rsidRPr="00CF3673">
              <w:t>490</w:t>
            </w:r>
          </w:p>
        </w:tc>
      </w:tr>
      <w:tr w:rsidR="00CC54F3" w:rsidRPr="00CF3673" w:rsidTr="009446C1">
        <w:trPr>
          <w:trHeight w:val="300"/>
          <w:jc w:val="center"/>
        </w:trPr>
        <w:tc>
          <w:tcPr>
            <w:tcW w:w="2731" w:type="dxa"/>
            <w:tcBorders>
              <w:bottom w:val="nil"/>
            </w:tcBorders>
            <w:noWrap/>
            <w:hideMark/>
          </w:tcPr>
          <w:p w:rsidR="00CC54F3" w:rsidRPr="00CF3673" w:rsidRDefault="002A7D74" w:rsidP="001A3B39">
            <w:pP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852" w:type="dxa"/>
            <w:tcBorders>
              <w:bottom w:val="nil"/>
            </w:tcBorders>
            <w:noWrap/>
            <w:hideMark/>
          </w:tcPr>
          <w:p w:rsidR="00CC54F3" w:rsidRPr="00CF3673" w:rsidRDefault="00CC54F3" w:rsidP="00CC54F3">
            <w:pPr>
              <w:jc w:val="center"/>
            </w:pPr>
            <w:r w:rsidRPr="00CF3673">
              <w:t>22.2</w:t>
            </w:r>
          </w:p>
        </w:tc>
        <w:tc>
          <w:tcPr>
            <w:tcW w:w="1098" w:type="dxa"/>
            <w:tcBorders>
              <w:bottom w:val="nil"/>
            </w:tcBorders>
            <w:noWrap/>
            <w:hideMark/>
          </w:tcPr>
          <w:p w:rsidR="00CC54F3" w:rsidRPr="00CF3673" w:rsidRDefault="00CC54F3" w:rsidP="00CC54F3">
            <w:pPr>
              <w:jc w:val="center"/>
            </w:pPr>
            <w:r w:rsidRPr="00CF3673">
              <w:t>168</w:t>
            </w:r>
          </w:p>
        </w:tc>
      </w:tr>
      <w:tr w:rsidR="00CC54F3" w:rsidRPr="00CF3673" w:rsidTr="009446C1">
        <w:trPr>
          <w:trHeight w:val="300"/>
          <w:jc w:val="center"/>
        </w:trPr>
        <w:tc>
          <w:tcPr>
            <w:tcW w:w="2731" w:type="dxa"/>
            <w:tcBorders>
              <w:top w:val="nil"/>
              <w:bottom w:val="single" w:sz="4" w:space="0" w:color="auto"/>
            </w:tcBorders>
            <w:noWrap/>
            <w:hideMark/>
          </w:tcPr>
          <w:p w:rsidR="00CC54F3" w:rsidRPr="00CF3673" w:rsidRDefault="002A7D74" w:rsidP="001A3B39">
            <w:pPr>
              <w:rPr>
                <w:rFonts w:ascii="Calibri" w:eastAsia="Times New Roman" w:hAnsi="Calibri" w:cs="Times New Roman"/>
                <w:lang w:eastAsia="zh-CN"/>
              </w:rPr>
            </w:pPr>
            <w:r w:rsidRPr="00CF3673">
              <w:rPr>
                <w:rFonts w:ascii="Calibri" w:eastAsia="Times New Roman" w:hAnsi="Calibri" w:cs="Times New Roman"/>
                <w:lang w:eastAsia="zh-CN"/>
              </w:rPr>
              <w:t>Medias</w:t>
            </w:r>
          </w:p>
        </w:tc>
        <w:tc>
          <w:tcPr>
            <w:tcW w:w="852" w:type="dxa"/>
            <w:tcBorders>
              <w:top w:val="nil"/>
              <w:bottom w:val="single" w:sz="4" w:space="0" w:color="auto"/>
            </w:tcBorders>
            <w:noWrap/>
            <w:hideMark/>
          </w:tcPr>
          <w:p w:rsidR="00CC54F3" w:rsidRPr="00CF3673" w:rsidRDefault="00CC54F3" w:rsidP="00CC54F3">
            <w:pPr>
              <w:jc w:val="center"/>
            </w:pPr>
            <w:r w:rsidRPr="00CF3673">
              <w:t>28.6</w:t>
            </w:r>
          </w:p>
        </w:tc>
        <w:tc>
          <w:tcPr>
            <w:tcW w:w="1098" w:type="dxa"/>
            <w:tcBorders>
              <w:top w:val="nil"/>
              <w:bottom w:val="single" w:sz="4" w:space="0" w:color="auto"/>
            </w:tcBorders>
            <w:noWrap/>
            <w:hideMark/>
          </w:tcPr>
          <w:p w:rsidR="00CC54F3" w:rsidRPr="00CF3673" w:rsidRDefault="00CC54F3" w:rsidP="00CC54F3">
            <w:pPr>
              <w:jc w:val="center"/>
            </w:pPr>
            <w:r w:rsidRPr="00CF3673">
              <w:t>57</w:t>
            </w:r>
          </w:p>
        </w:tc>
      </w:tr>
      <w:tr w:rsidR="00CC54F3" w:rsidRPr="00CF3673" w:rsidTr="009446C1">
        <w:trPr>
          <w:trHeight w:val="300"/>
          <w:jc w:val="center"/>
        </w:trPr>
        <w:tc>
          <w:tcPr>
            <w:tcW w:w="2731" w:type="dxa"/>
            <w:tcBorders>
              <w:top w:val="single" w:sz="4" w:space="0" w:color="auto"/>
              <w:bottom w:val="nil"/>
            </w:tcBorders>
            <w:noWrap/>
            <w:hideMark/>
          </w:tcPr>
          <w:p w:rsidR="00CC54F3" w:rsidRPr="00CF3673" w:rsidRDefault="00CC54F3" w:rsidP="00B4539F">
            <w:pP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852" w:type="dxa"/>
            <w:tcBorders>
              <w:top w:val="single" w:sz="4" w:space="0" w:color="auto"/>
              <w:bottom w:val="nil"/>
            </w:tcBorders>
            <w:noWrap/>
            <w:hideMark/>
          </w:tcPr>
          <w:p w:rsidR="00CC54F3" w:rsidRPr="00CF3673" w:rsidRDefault="00CC54F3" w:rsidP="00CC54F3">
            <w:pPr>
              <w:jc w:val="center"/>
            </w:pPr>
            <w:r w:rsidRPr="00CF3673">
              <w:t>1.1</w:t>
            </w:r>
          </w:p>
        </w:tc>
        <w:tc>
          <w:tcPr>
            <w:tcW w:w="1098" w:type="dxa"/>
            <w:tcBorders>
              <w:top w:val="single" w:sz="4" w:space="0" w:color="auto"/>
              <w:bottom w:val="nil"/>
            </w:tcBorders>
            <w:noWrap/>
            <w:hideMark/>
          </w:tcPr>
          <w:p w:rsidR="00CC54F3" w:rsidRPr="00CF3673" w:rsidRDefault="00CC54F3" w:rsidP="00CC54F3">
            <w:pPr>
              <w:jc w:val="center"/>
            </w:pPr>
            <w:r w:rsidRPr="00CF3673">
              <w:t>157</w:t>
            </w:r>
          </w:p>
        </w:tc>
      </w:tr>
      <w:tr w:rsidR="00CC54F3" w:rsidRPr="00CF3673" w:rsidTr="009446C1">
        <w:trPr>
          <w:trHeight w:val="300"/>
          <w:jc w:val="center"/>
        </w:trPr>
        <w:tc>
          <w:tcPr>
            <w:tcW w:w="2731" w:type="dxa"/>
            <w:tcBorders>
              <w:top w:val="nil"/>
              <w:bottom w:val="single" w:sz="4" w:space="0" w:color="auto"/>
            </w:tcBorders>
            <w:noWrap/>
            <w:hideMark/>
          </w:tcPr>
          <w:p w:rsidR="00CC54F3" w:rsidRPr="00CF3673" w:rsidRDefault="00CC54F3" w:rsidP="00B4539F">
            <w:pPr>
              <w:rPr>
                <w:rFonts w:ascii="Calibri" w:eastAsia="Times New Roman" w:hAnsi="Calibri" w:cs="Times New Roman"/>
                <w:lang w:eastAsia="zh-CN"/>
              </w:rPr>
            </w:pPr>
            <w:r w:rsidRPr="00CF3673">
              <w:rPr>
                <w:rFonts w:ascii="Calibri" w:eastAsia="Times New Roman" w:hAnsi="Calibri" w:cs="Times New Roman"/>
                <w:lang w:eastAsia="zh-CN"/>
              </w:rPr>
              <w:t>Formal</w:t>
            </w:r>
          </w:p>
        </w:tc>
        <w:tc>
          <w:tcPr>
            <w:tcW w:w="852" w:type="dxa"/>
            <w:tcBorders>
              <w:top w:val="nil"/>
              <w:bottom w:val="single" w:sz="4" w:space="0" w:color="auto"/>
            </w:tcBorders>
            <w:noWrap/>
            <w:hideMark/>
          </w:tcPr>
          <w:p w:rsidR="00CC54F3" w:rsidRPr="00CF3673" w:rsidRDefault="00CC54F3" w:rsidP="00CC54F3">
            <w:pPr>
              <w:jc w:val="center"/>
            </w:pPr>
            <w:r w:rsidRPr="00CF3673">
              <w:t>12.1</w:t>
            </w:r>
          </w:p>
        </w:tc>
        <w:tc>
          <w:tcPr>
            <w:tcW w:w="1098" w:type="dxa"/>
            <w:tcBorders>
              <w:top w:val="nil"/>
              <w:bottom w:val="single" w:sz="4" w:space="0" w:color="auto"/>
            </w:tcBorders>
            <w:noWrap/>
            <w:hideMark/>
          </w:tcPr>
          <w:p w:rsidR="00CC54F3" w:rsidRPr="00CF3673" w:rsidRDefault="00CC54F3" w:rsidP="00CC54F3">
            <w:pPr>
              <w:jc w:val="center"/>
            </w:pPr>
            <w:r w:rsidRPr="00CF3673">
              <w:t>556</w:t>
            </w:r>
          </w:p>
        </w:tc>
      </w:tr>
      <w:tr w:rsidR="00CC54F3" w:rsidRPr="00CF3673" w:rsidTr="009446C1">
        <w:trPr>
          <w:trHeight w:val="300"/>
          <w:jc w:val="center"/>
        </w:trPr>
        <w:tc>
          <w:tcPr>
            <w:tcW w:w="2731" w:type="dxa"/>
            <w:tcBorders>
              <w:top w:val="single" w:sz="4" w:space="0" w:color="auto"/>
            </w:tcBorders>
            <w:noWrap/>
            <w:hideMark/>
          </w:tcPr>
          <w:p w:rsidR="00CC54F3" w:rsidRPr="00CF3673" w:rsidRDefault="002A7D74" w:rsidP="002A7D74">
            <w:r w:rsidRPr="00CF3673">
              <w:t>Alimentos</w:t>
            </w:r>
            <w:r w:rsidR="00CC54F3" w:rsidRPr="00CF3673">
              <w:t>, Be</w:t>
            </w:r>
            <w:r w:rsidRPr="00CF3673">
              <w:t>bidas, Ta</w:t>
            </w:r>
            <w:r w:rsidR="00CC54F3" w:rsidRPr="00CF3673">
              <w:t>baco</w:t>
            </w:r>
          </w:p>
        </w:tc>
        <w:tc>
          <w:tcPr>
            <w:tcW w:w="852" w:type="dxa"/>
            <w:tcBorders>
              <w:top w:val="single" w:sz="4" w:space="0" w:color="auto"/>
            </w:tcBorders>
            <w:noWrap/>
            <w:hideMark/>
          </w:tcPr>
          <w:p w:rsidR="00CC54F3" w:rsidRPr="00CF3673" w:rsidRDefault="00CC54F3" w:rsidP="00CC54F3">
            <w:pPr>
              <w:jc w:val="center"/>
            </w:pPr>
            <w:r w:rsidRPr="00CF3673">
              <w:t>11.3</w:t>
            </w:r>
          </w:p>
        </w:tc>
        <w:tc>
          <w:tcPr>
            <w:tcW w:w="1098" w:type="dxa"/>
            <w:tcBorders>
              <w:top w:val="single" w:sz="4" w:space="0" w:color="auto"/>
            </w:tcBorders>
            <w:noWrap/>
            <w:hideMark/>
          </w:tcPr>
          <w:p w:rsidR="00CC54F3" w:rsidRPr="00CF3673" w:rsidRDefault="00CC54F3" w:rsidP="00CC54F3">
            <w:pPr>
              <w:jc w:val="center"/>
            </w:pPr>
            <w:r w:rsidRPr="00CF3673">
              <w:t>115</w:t>
            </w:r>
          </w:p>
        </w:tc>
      </w:tr>
      <w:tr w:rsidR="00CC54F3" w:rsidRPr="00CF3673" w:rsidTr="009446C1">
        <w:trPr>
          <w:trHeight w:val="300"/>
          <w:jc w:val="center"/>
        </w:trPr>
        <w:tc>
          <w:tcPr>
            <w:tcW w:w="2731" w:type="dxa"/>
            <w:noWrap/>
            <w:hideMark/>
          </w:tcPr>
          <w:p w:rsidR="00CC54F3" w:rsidRPr="00CF3673" w:rsidRDefault="006A4724" w:rsidP="007D7439">
            <w:r w:rsidRPr="00CF3673">
              <w:t>Têxteis</w:t>
            </w:r>
          </w:p>
        </w:tc>
        <w:tc>
          <w:tcPr>
            <w:tcW w:w="852" w:type="dxa"/>
            <w:noWrap/>
            <w:hideMark/>
          </w:tcPr>
          <w:p w:rsidR="00CC54F3" w:rsidRPr="00CF3673" w:rsidRDefault="00CC54F3" w:rsidP="00CC54F3">
            <w:pPr>
              <w:jc w:val="center"/>
            </w:pPr>
            <w:r w:rsidRPr="00CF3673">
              <w:t>35.9</w:t>
            </w:r>
          </w:p>
        </w:tc>
        <w:tc>
          <w:tcPr>
            <w:tcW w:w="1098" w:type="dxa"/>
            <w:noWrap/>
            <w:hideMark/>
          </w:tcPr>
          <w:p w:rsidR="00CC54F3" w:rsidRPr="00CF3673" w:rsidRDefault="00CC54F3" w:rsidP="00CC54F3">
            <w:pPr>
              <w:jc w:val="center"/>
            </w:pPr>
            <w:r w:rsidRPr="00CF3673">
              <w:t>8</w:t>
            </w:r>
          </w:p>
        </w:tc>
      </w:tr>
      <w:tr w:rsidR="00CC54F3" w:rsidRPr="00CF3673" w:rsidTr="009446C1">
        <w:trPr>
          <w:trHeight w:val="300"/>
          <w:jc w:val="center"/>
        </w:trPr>
        <w:tc>
          <w:tcPr>
            <w:tcW w:w="2731" w:type="dxa"/>
            <w:noWrap/>
            <w:hideMark/>
          </w:tcPr>
          <w:p w:rsidR="00CC54F3" w:rsidRPr="00CF3673" w:rsidRDefault="002A7D74" w:rsidP="002A7D74">
            <w:r w:rsidRPr="00CF3673">
              <w:t>Vestuário e Calcado</w:t>
            </w:r>
          </w:p>
        </w:tc>
        <w:tc>
          <w:tcPr>
            <w:tcW w:w="852" w:type="dxa"/>
            <w:noWrap/>
            <w:hideMark/>
          </w:tcPr>
          <w:p w:rsidR="00CC54F3" w:rsidRPr="00CF3673" w:rsidRDefault="00CC54F3" w:rsidP="00CC54F3">
            <w:pPr>
              <w:jc w:val="center"/>
            </w:pPr>
            <w:r w:rsidRPr="00CF3673">
              <w:t>9.8</w:t>
            </w:r>
          </w:p>
        </w:tc>
        <w:tc>
          <w:tcPr>
            <w:tcW w:w="1098" w:type="dxa"/>
            <w:noWrap/>
            <w:hideMark/>
          </w:tcPr>
          <w:p w:rsidR="00CC54F3" w:rsidRPr="00CF3673" w:rsidRDefault="00CC54F3" w:rsidP="00CC54F3">
            <w:pPr>
              <w:jc w:val="center"/>
            </w:pPr>
            <w:r w:rsidRPr="00CF3673">
              <w:t>88</w:t>
            </w:r>
          </w:p>
        </w:tc>
      </w:tr>
      <w:tr w:rsidR="00CC54F3" w:rsidRPr="00CF3673" w:rsidTr="009446C1">
        <w:trPr>
          <w:trHeight w:val="300"/>
          <w:jc w:val="center"/>
        </w:trPr>
        <w:tc>
          <w:tcPr>
            <w:tcW w:w="2731" w:type="dxa"/>
            <w:noWrap/>
            <w:hideMark/>
          </w:tcPr>
          <w:p w:rsidR="00CC54F3" w:rsidRPr="00CF3673" w:rsidRDefault="002A7D74" w:rsidP="002A7D74">
            <w:r w:rsidRPr="00CF3673">
              <w:t>Madeira e Papel</w:t>
            </w:r>
          </w:p>
        </w:tc>
        <w:tc>
          <w:tcPr>
            <w:tcW w:w="852" w:type="dxa"/>
            <w:noWrap/>
            <w:hideMark/>
          </w:tcPr>
          <w:p w:rsidR="00CC54F3" w:rsidRPr="00CF3673" w:rsidRDefault="00CC54F3" w:rsidP="00CC54F3">
            <w:pPr>
              <w:jc w:val="center"/>
            </w:pPr>
            <w:r w:rsidRPr="00CF3673">
              <w:t>4.4</w:t>
            </w:r>
          </w:p>
        </w:tc>
        <w:tc>
          <w:tcPr>
            <w:tcW w:w="1098" w:type="dxa"/>
            <w:noWrap/>
            <w:hideMark/>
          </w:tcPr>
          <w:p w:rsidR="00CC54F3" w:rsidRPr="00CF3673" w:rsidRDefault="00CC54F3" w:rsidP="00CC54F3">
            <w:pPr>
              <w:jc w:val="center"/>
            </w:pPr>
            <w:r w:rsidRPr="00CF3673">
              <w:t>94</w:t>
            </w:r>
          </w:p>
        </w:tc>
      </w:tr>
      <w:tr w:rsidR="00CC54F3" w:rsidRPr="00CF3673" w:rsidTr="009446C1">
        <w:trPr>
          <w:trHeight w:val="300"/>
          <w:jc w:val="center"/>
        </w:trPr>
        <w:tc>
          <w:tcPr>
            <w:tcW w:w="2731" w:type="dxa"/>
            <w:noWrap/>
            <w:hideMark/>
          </w:tcPr>
          <w:p w:rsidR="00CC54F3" w:rsidRPr="00CF3673" w:rsidRDefault="002A7D74" w:rsidP="002A7D74">
            <w:r w:rsidRPr="00CF3673">
              <w:t>Publicação e Impressão</w:t>
            </w:r>
          </w:p>
        </w:tc>
        <w:tc>
          <w:tcPr>
            <w:tcW w:w="852" w:type="dxa"/>
            <w:noWrap/>
            <w:hideMark/>
          </w:tcPr>
          <w:p w:rsidR="00CC54F3" w:rsidRPr="00CF3673" w:rsidRDefault="00CC54F3" w:rsidP="00CC54F3">
            <w:pPr>
              <w:jc w:val="center"/>
            </w:pPr>
            <w:r w:rsidRPr="00CF3673">
              <w:t>33.8</w:t>
            </w:r>
          </w:p>
        </w:tc>
        <w:tc>
          <w:tcPr>
            <w:tcW w:w="1098" w:type="dxa"/>
            <w:noWrap/>
            <w:hideMark/>
          </w:tcPr>
          <w:p w:rsidR="00CC54F3" w:rsidRPr="00CF3673" w:rsidRDefault="00CC54F3" w:rsidP="00CC54F3">
            <w:pPr>
              <w:jc w:val="center"/>
            </w:pPr>
            <w:r w:rsidRPr="00CF3673">
              <w:t>17</w:t>
            </w:r>
          </w:p>
        </w:tc>
      </w:tr>
      <w:tr w:rsidR="00CC54F3" w:rsidRPr="00CF3673" w:rsidTr="009446C1">
        <w:trPr>
          <w:trHeight w:val="300"/>
          <w:jc w:val="center"/>
        </w:trPr>
        <w:tc>
          <w:tcPr>
            <w:tcW w:w="2731" w:type="dxa"/>
            <w:noWrap/>
            <w:hideMark/>
          </w:tcPr>
          <w:p w:rsidR="00CC54F3" w:rsidRPr="00CF3673" w:rsidRDefault="002A7D74" w:rsidP="002A7D74">
            <w:r w:rsidRPr="00CF3673">
              <w:t>Químicos</w:t>
            </w:r>
            <w:r w:rsidR="00CC54F3" w:rsidRPr="00CF3673">
              <w:t xml:space="preserve">, </w:t>
            </w:r>
            <w:r w:rsidRPr="00CF3673">
              <w:t>Borracha</w:t>
            </w:r>
            <w:r w:rsidR="00CC54F3" w:rsidRPr="00CF3673">
              <w:t xml:space="preserve">, </w:t>
            </w:r>
            <w:r w:rsidR="006A4724" w:rsidRPr="00CF3673">
              <w:t>Plástico</w:t>
            </w:r>
          </w:p>
        </w:tc>
        <w:tc>
          <w:tcPr>
            <w:tcW w:w="852" w:type="dxa"/>
            <w:noWrap/>
            <w:hideMark/>
          </w:tcPr>
          <w:p w:rsidR="00CC54F3" w:rsidRPr="00CF3673" w:rsidRDefault="00CC54F3" w:rsidP="00CC54F3">
            <w:pPr>
              <w:jc w:val="center"/>
            </w:pPr>
            <w:r w:rsidRPr="00CF3673">
              <w:t>77.5</w:t>
            </w:r>
          </w:p>
        </w:tc>
        <w:tc>
          <w:tcPr>
            <w:tcW w:w="1098" w:type="dxa"/>
            <w:noWrap/>
            <w:hideMark/>
          </w:tcPr>
          <w:p w:rsidR="00CC54F3" w:rsidRPr="00CF3673" w:rsidRDefault="00CC54F3" w:rsidP="00CC54F3">
            <w:pPr>
              <w:jc w:val="center"/>
            </w:pPr>
            <w:r w:rsidRPr="00CF3673">
              <w:t>8</w:t>
            </w:r>
          </w:p>
        </w:tc>
      </w:tr>
      <w:tr w:rsidR="00CC54F3" w:rsidRPr="00CF3673" w:rsidTr="009446C1">
        <w:trPr>
          <w:trHeight w:val="300"/>
          <w:jc w:val="center"/>
        </w:trPr>
        <w:tc>
          <w:tcPr>
            <w:tcW w:w="2731" w:type="dxa"/>
            <w:noWrap/>
            <w:hideMark/>
          </w:tcPr>
          <w:p w:rsidR="00CC54F3" w:rsidRPr="00CF3673" w:rsidRDefault="002A7D74" w:rsidP="002A7D74">
            <w:r w:rsidRPr="00CF3673">
              <w:t xml:space="preserve">Minerais </w:t>
            </w:r>
            <w:r w:rsidR="00CC54F3" w:rsidRPr="00CF3673">
              <w:t>Non-</w:t>
            </w:r>
            <w:r w:rsidR="006A4724" w:rsidRPr="00CF3673">
              <w:t>metálicos</w:t>
            </w:r>
          </w:p>
        </w:tc>
        <w:tc>
          <w:tcPr>
            <w:tcW w:w="852" w:type="dxa"/>
            <w:noWrap/>
            <w:hideMark/>
          </w:tcPr>
          <w:p w:rsidR="00CC54F3" w:rsidRPr="00CF3673" w:rsidRDefault="00CC54F3" w:rsidP="00CC54F3">
            <w:pPr>
              <w:jc w:val="center"/>
            </w:pPr>
            <w:r w:rsidRPr="00CF3673">
              <w:t>3.1</w:t>
            </w:r>
          </w:p>
        </w:tc>
        <w:tc>
          <w:tcPr>
            <w:tcW w:w="1098" w:type="dxa"/>
            <w:noWrap/>
            <w:hideMark/>
          </w:tcPr>
          <w:p w:rsidR="00CC54F3" w:rsidRPr="00CF3673" w:rsidRDefault="00CC54F3" w:rsidP="00CC54F3">
            <w:pPr>
              <w:jc w:val="center"/>
            </w:pPr>
            <w:r w:rsidRPr="00CF3673">
              <w:t>58</w:t>
            </w:r>
          </w:p>
        </w:tc>
      </w:tr>
      <w:tr w:rsidR="00CC54F3" w:rsidRPr="00CF3673" w:rsidTr="009446C1">
        <w:trPr>
          <w:trHeight w:val="300"/>
          <w:jc w:val="center"/>
        </w:trPr>
        <w:tc>
          <w:tcPr>
            <w:tcW w:w="2731" w:type="dxa"/>
            <w:noWrap/>
            <w:hideMark/>
          </w:tcPr>
          <w:p w:rsidR="00CC54F3" w:rsidRPr="00CF3673" w:rsidRDefault="002A7D74" w:rsidP="002A7D74">
            <w:r w:rsidRPr="00CF3673">
              <w:t>Produtos fabricados de minerais</w:t>
            </w:r>
          </w:p>
        </w:tc>
        <w:tc>
          <w:tcPr>
            <w:tcW w:w="852" w:type="dxa"/>
            <w:noWrap/>
            <w:hideMark/>
          </w:tcPr>
          <w:p w:rsidR="00CC54F3" w:rsidRPr="00CF3673" w:rsidRDefault="00CC54F3" w:rsidP="00CC54F3">
            <w:pPr>
              <w:jc w:val="center"/>
            </w:pPr>
            <w:r w:rsidRPr="00CF3673">
              <w:t>11.1</w:t>
            </w:r>
          </w:p>
        </w:tc>
        <w:tc>
          <w:tcPr>
            <w:tcW w:w="1098" w:type="dxa"/>
            <w:noWrap/>
            <w:hideMark/>
          </w:tcPr>
          <w:p w:rsidR="00CC54F3" w:rsidRPr="00CF3673" w:rsidRDefault="00CC54F3" w:rsidP="00CC54F3">
            <w:pPr>
              <w:jc w:val="center"/>
            </w:pPr>
            <w:r w:rsidRPr="00CF3673">
              <w:t>157</w:t>
            </w:r>
          </w:p>
        </w:tc>
      </w:tr>
      <w:tr w:rsidR="00CC54F3" w:rsidRPr="00CF3673" w:rsidTr="009446C1">
        <w:trPr>
          <w:trHeight w:val="300"/>
          <w:jc w:val="center"/>
        </w:trPr>
        <w:tc>
          <w:tcPr>
            <w:tcW w:w="2731" w:type="dxa"/>
            <w:noWrap/>
            <w:hideMark/>
          </w:tcPr>
          <w:p w:rsidR="00CC54F3" w:rsidRPr="00CF3673" w:rsidRDefault="00CC54F3" w:rsidP="002A7D74">
            <w:r w:rsidRPr="00CF3673">
              <w:lastRenderedPageBreak/>
              <w:t>Ma</w:t>
            </w:r>
            <w:r w:rsidR="002A7D74" w:rsidRPr="00CF3673">
              <w:t xml:space="preserve">quinaria </w:t>
            </w:r>
            <w:r w:rsidRPr="00CF3673">
              <w:t>etc.</w:t>
            </w:r>
          </w:p>
        </w:tc>
        <w:tc>
          <w:tcPr>
            <w:tcW w:w="852" w:type="dxa"/>
            <w:noWrap/>
            <w:hideMark/>
          </w:tcPr>
          <w:p w:rsidR="00CC54F3" w:rsidRPr="00CF3673" w:rsidRDefault="00CC54F3" w:rsidP="00CC54F3">
            <w:pPr>
              <w:jc w:val="center"/>
            </w:pPr>
            <w:r w:rsidRPr="00CF3673">
              <w:t>11.7</w:t>
            </w:r>
          </w:p>
        </w:tc>
        <w:tc>
          <w:tcPr>
            <w:tcW w:w="1098" w:type="dxa"/>
            <w:noWrap/>
            <w:hideMark/>
          </w:tcPr>
          <w:p w:rsidR="00CC54F3" w:rsidRPr="00CF3673" w:rsidRDefault="00CC54F3" w:rsidP="00CC54F3">
            <w:pPr>
              <w:jc w:val="center"/>
            </w:pPr>
            <w:r w:rsidRPr="00CF3673">
              <w:t>12</w:t>
            </w:r>
          </w:p>
        </w:tc>
      </w:tr>
      <w:tr w:rsidR="00CC54F3" w:rsidRPr="00CF3673" w:rsidTr="009446C1">
        <w:trPr>
          <w:trHeight w:val="300"/>
          <w:jc w:val="center"/>
        </w:trPr>
        <w:tc>
          <w:tcPr>
            <w:tcW w:w="2731" w:type="dxa"/>
            <w:tcBorders>
              <w:bottom w:val="double" w:sz="4" w:space="0" w:color="auto"/>
            </w:tcBorders>
            <w:noWrap/>
          </w:tcPr>
          <w:p w:rsidR="00CC54F3" w:rsidRPr="00CF3673" w:rsidRDefault="006A4724" w:rsidP="002A7D74">
            <w:r w:rsidRPr="00CF3673">
              <w:t>Mobília</w:t>
            </w:r>
            <w:r w:rsidR="00CC54F3" w:rsidRPr="00CF3673">
              <w:t xml:space="preserve"> &amp; </w:t>
            </w:r>
            <w:r w:rsidR="002A7D74" w:rsidRPr="00CF3673">
              <w:t>produtos manufacturados</w:t>
            </w:r>
          </w:p>
        </w:tc>
        <w:tc>
          <w:tcPr>
            <w:tcW w:w="852" w:type="dxa"/>
            <w:tcBorders>
              <w:bottom w:val="double" w:sz="4" w:space="0" w:color="auto"/>
            </w:tcBorders>
            <w:noWrap/>
          </w:tcPr>
          <w:p w:rsidR="00CC54F3" w:rsidRPr="00CF3673" w:rsidRDefault="00CC54F3" w:rsidP="00CC54F3">
            <w:pPr>
              <w:jc w:val="center"/>
            </w:pPr>
            <w:r w:rsidRPr="00CF3673">
              <w:t>4.9</w:t>
            </w:r>
          </w:p>
        </w:tc>
        <w:tc>
          <w:tcPr>
            <w:tcW w:w="1098" w:type="dxa"/>
            <w:tcBorders>
              <w:bottom w:val="double" w:sz="4" w:space="0" w:color="auto"/>
            </w:tcBorders>
            <w:noWrap/>
          </w:tcPr>
          <w:p w:rsidR="00CC54F3" w:rsidRPr="00CF3673" w:rsidRDefault="00CC54F3" w:rsidP="00CC54F3">
            <w:pPr>
              <w:jc w:val="center"/>
            </w:pPr>
            <w:r w:rsidRPr="00CF3673">
              <w:t>158</w:t>
            </w:r>
          </w:p>
        </w:tc>
      </w:tr>
      <w:tr w:rsidR="009446C1" w:rsidRPr="00CF3673" w:rsidTr="009446C1">
        <w:trPr>
          <w:trHeight w:val="300"/>
          <w:jc w:val="center"/>
        </w:trPr>
        <w:tc>
          <w:tcPr>
            <w:tcW w:w="4681" w:type="dxa"/>
            <w:gridSpan w:val="3"/>
            <w:tcBorders>
              <w:top w:val="double" w:sz="4" w:space="0" w:color="auto"/>
              <w:bottom w:val="nil"/>
            </w:tcBorders>
            <w:noWrap/>
          </w:tcPr>
          <w:p w:rsidR="009446C1" w:rsidRPr="00CF3673" w:rsidRDefault="009446C1" w:rsidP="002A7D74">
            <w:pPr>
              <w:pStyle w:val="Tablenote"/>
              <w:rPr>
                <w:b/>
                <w:lang w:val="pt-PT"/>
              </w:rPr>
            </w:pPr>
            <w:r w:rsidRPr="00CF3673">
              <w:rPr>
                <w:b/>
                <w:lang w:val="pt-PT"/>
              </w:rPr>
              <w:t>Not</w:t>
            </w:r>
            <w:r w:rsidR="002A7D74" w:rsidRPr="00CF3673">
              <w:rPr>
                <w:b/>
                <w:lang w:val="pt-PT"/>
              </w:rPr>
              <w:t>a</w:t>
            </w:r>
            <w:r w:rsidRPr="00CF3673">
              <w:rPr>
                <w:b/>
                <w:lang w:val="pt-PT"/>
              </w:rPr>
              <w:t>:</w:t>
            </w:r>
            <w:r w:rsidRPr="00CF3673">
              <w:rPr>
                <w:lang w:val="pt-PT"/>
              </w:rPr>
              <w:t xml:space="preserve"> Consider</w:t>
            </w:r>
            <w:r w:rsidR="002A7D74" w:rsidRPr="00CF3673">
              <w:rPr>
                <w:lang w:val="pt-PT"/>
              </w:rPr>
              <w:t xml:space="preserve">ando apenas bens insumos de </w:t>
            </w:r>
            <w:r w:rsidR="006A4724" w:rsidRPr="00CF3673">
              <w:rPr>
                <w:lang w:val="pt-PT"/>
              </w:rPr>
              <w:t>intermédios</w:t>
            </w:r>
            <w:r w:rsidR="002A7D74" w:rsidRPr="00CF3673">
              <w:rPr>
                <w:lang w:val="pt-PT"/>
              </w:rPr>
              <w:t xml:space="preserve">. Dado que nem todas as empresas usam insumos </w:t>
            </w:r>
            <w:r w:rsidR="006A4724" w:rsidRPr="00CF3673">
              <w:rPr>
                <w:lang w:val="pt-PT"/>
              </w:rPr>
              <w:t>intermédios</w:t>
            </w:r>
            <w:r w:rsidRPr="00CF3673">
              <w:rPr>
                <w:lang w:val="pt-PT"/>
              </w:rPr>
              <w:t xml:space="preserve">, </w:t>
            </w:r>
            <w:r w:rsidR="002A7D74" w:rsidRPr="00CF3673">
              <w:rPr>
                <w:lang w:val="pt-PT"/>
              </w:rPr>
              <w:t>há 46 observações</w:t>
            </w:r>
          </w:p>
        </w:tc>
      </w:tr>
      <w:tr w:rsidR="009446C1" w:rsidRPr="00CF3673" w:rsidTr="009446C1">
        <w:trPr>
          <w:trHeight w:val="300"/>
          <w:jc w:val="center"/>
        </w:trPr>
        <w:tc>
          <w:tcPr>
            <w:tcW w:w="4681" w:type="dxa"/>
            <w:gridSpan w:val="3"/>
            <w:tcBorders>
              <w:top w:val="nil"/>
              <w:bottom w:val="nil"/>
            </w:tcBorders>
            <w:noWrap/>
          </w:tcPr>
          <w:p w:rsidR="009446C1" w:rsidRPr="00CF3673" w:rsidRDefault="002A7D74" w:rsidP="002A7D74">
            <w:pPr>
              <w:pStyle w:val="Tablenote"/>
              <w:rPr>
                <w:b/>
                <w:lang w:val="pt-PT"/>
              </w:rPr>
            </w:pPr>
            <w:r w:rsidRPr="00CF3673">
              <w:rPr>
                <w:b/>
                <w:lang w:val="pt-PT"/>
              </w:rPr>
              <w:t>Fonte</w:t>
            </w:r>
            <w:r w:rsidR="009446C1" w:rsidRPr="00CF3673">
              <w:rPr>
                <w:b/>
                <w:lang w:val="pt-PT"/>
              </w:rPr>
              <w:t>:</w:t>
            </w:r>
            <w:r w:rsidR="009446C1" w:rsidRPr="00CF3673">
              <w:rPr>
                <w:lang w:val="pt-PT"/>
              </w:rPr>
              <w:t xml:space="preserve"> </w:t>
            </w:r>
            <w:r w:rsidRPr="00CF3673">
              <w:rPr>
                <w:lang w:val="pt-PT"/>
              </w:rPr>
              <w:t>cálculos dos autores usando o IIM</w:t>
            </w:r>
            <w:r w:rsidR="009446C1" w:rsidRPr="00CF3673">
              <w:rPr>
                <w:lang w:val="pt-PT"/>
              </w:rPr>
              <w:t>2012.</w:t>
            </w:r>
          </w:p>
        </w:tc>
      </w:tr>
    </w:tbl>
    <w:p w:rsidR="002342D9" w:rsidRPr="00CF3673" w:rsidRDefault="002342D9" w:rsidP="001E664B">
      <w:pPr>
        <w:pStyle w:val="MainText"/>
        <w:rPr>
          <w:lang w:val="pt-PT"/>
        </w:rPr>
      </w:pPr>
    </w:p>
    <w:p w:rsidR="00A5286A" w:rsidRPr="00CF3673" w:rsidRDefault="00A5286A" w:rsidP="001E664B">
      <w:pPr>
        <w:pStyle w:val="MainText"/>
        <w:rPr>
          <w:lang w:val="pt-PT"/>
        </w:rPr>
      </w:pPr>
      <w:r w:rsidRPr="00CF3673">
        <w:rPr>
          <w:lang w:val="pt-PT"/>
        </w:rPr>
        <w:t>No DNEAP (2006) foi concluído que as empresas são bastante dependentes de matéria-prima importada- figura 7.4 faz seguimento do desenvolvimento na contribuição das importações de matéria-prima intermédia desde 2006. Para o painel equilibrado como um todo, as importações decresceram de 28% da matéria-prima para 19% de matéria-prima intermédia</w:t>
      </w:r>
      <w:r w:rsidR="00C012E6" w:rsidRPr="00CF3673">
        <w:rPr>
          <w:rStyle w:val="FootnoteReference"/>
          <w:lang w:val="pt-PT"/>
        </w:rPr>
        <w:footnoteReference w:id="36"/>
      </w:r>
      <w:r w:rsidRPr="00CF3673">
        <w:rPr>
          <w:lang w:val="pt-PT"/>
        </w:rPr>
        <w:t xml:space="preserve">. </w:t>
      </w:r>
      <w:r w:rsidR="00C012E6" w:rsidRPr="00CF3673">
        <w:rPr>
          <w:lang w:val="pt-PT"/>
        </w:rPr>
        <w:t>A baixa nas importações é igual para todas as categorias das empresas. Microempresas importaram 18% da sua material prima intermédia em 2006 e apenas 8% em 2012, reduzindo a sua contribuição nas importações em mais de 50%.</w:t>
      </w:r>
    </w:p>
    <w:p w:rsidR="005B6382" w:rsidRPr="00CF3673" w:rsidRDefault="00C012E6" w:rsidP="001E664B">
      <w:pPr>
        <w:pStyle w:val="MainText"/>
        <w:rPr>
          <w:lang w:val="pt-PT"/>
        </w:rPr>
      </w:pPr>
      <w:r w:rsidRPr="00CF3673">
        <w:rPr>
          <w:lang w:val="pt-PT"/>
        </w:rPr>
        <w:t xml:space="preserve">Isto sugere que a dependência nas </w:t>
      </w:r>
      <w:r w:rsidR="006A4724" w:rsidRPr="00CF3673">
        <w:rPr>
          <w:lang w:val="pt-PT"/>
        </w:rPr>
        <w:t>importações</w:t>
      </w:r>
      <w:r w:rsidRPr="00CF3673">
        <w:rPr>
          <w:lang w:val="pt-PT"/>
        </w:rPr>
        <w:t xml:space="preserve"> foi reduzida substancialmente desde 2006. De qualquer modo, uma </w:t>
      </w:r>
      <w:r w:rsidR="005B6382" w:rsidRPr="00CF3673">
        <w:rPr>
          <w:lang w:val="pt-PT"/>
        </w:rPr>
        <w:t>evidência</w:t>
      </w:r>
      <w:r w:rsidRPr="00CF3673">
        <w:rPr>
          <w:lang w:val="pt-PT"/>
        </w:rPr>
        <w:t xml:space="preserve"> anedótica sugere que quando as empresas compra</w:t>
      </w:r>
      <w:r w:rsidR="005B6382" w:rsidRPr="00CF3673">
        <w:rPr>
          <w:lang w:val="pt-PT"/>
        </w:rPr>
        <w:t>m</w:t>
      </w:r>
      <w:r w:rsidRPr="00CF3673">
        <w:rPr>
          <w:lang w:val="pt-PT"/>
        </w:rPr>
        <w:t xml:space="preserve"> </w:t>
      </w:r>
      <w:r w:rsidR="005B6382" w:rsidRPr="00CF3673">
        <w:rPr>
          <w:lang w:val="pt-PT"/>
        </w:rPr>
        <w:t>matéria-prima</w:t>
      </w:r>
      <w:r w:rsidRPr="00CF3673">
        <w:rPr>
          <w:lang w:val="pt-PT"/>
        </w:rPr>
        <w:t xml:space="preserve"> indirectamente, elas não estarão necessariamente atentas ao pais de origem o que significa que o resultado reflectiria </w:t>
      </w:r>
      <w:r w:rsidR="005B6382" w:rsidRPr="00CF3673">
        <w:rPr>
          <w:lang w:val="pt-PT"/>
        </w:rPr>
        <w:t xml:space="preserve">o aumento de importação indirecta. </w:t>
      </w:r>
      <w:r w:rsidR="006A4724" w:rsidRPr="00CF3673">
        <w:rPr>
          <w:lang w:val="pt-PT"/>
        </w:rPr>
        <w:t>Mas mesmo que estas matérias-primas tenham sido substituídas por importações indirectas ou produtos moçambicanos, pode sugerir que as ligações entre empresas (comercio de manufacturas) terá melhorado desde 2006.</w:t>
      </w:r>
    </w:p>
    <w:p w:rsidR="005B6382" w:rsidRPr="00CF3673" w:rsidRDefault="005B6382" w:rsidP="001E664B">
      <w:pPr>
        <w:pStyle w:val="MainText"/>
        <w:rPr>
          <w:lang w:val="pt-PT"/>
        </w:rPr>
      </w:pPr>
      <w:r w:rsidRPr="00CF3673">
        <w:rPr>
          <w:lang w:val="pt-PT"/>
        </w:rPr>
        <w:t xml:space="preserve">Se o sector manufactureiro </w:t>
      </w:r>
      <w:r w:rsidR="006A4724" w:rsidRPr="00CF3673">
        <w:rPr>
          <w:lang w:val="pt-PT"/>
        </w:rPr>
        <w:t>moçambicano</w:t>
      </w:r>
      <w:r w:rsidRPr="00CF3673">
        <w:rPr>
          <w:lang w:val="pt-PT"/>
        </w:rPr>
        <w:t xml:space="preserve"> é menos dependente das importações do que foi em 2006 isto pode explicar por que a estabilidade macroeconómica é constrangimento menos serio (veja capitulo 3), dado que o comércio internacional reduz a vulnerabilidade devido à flutuação da taxa de câmbio, por exemplo.</w:t>
      </w:r>
    </w:p>
    <w:p w:rsidR="005B6382" w:rsidRPr="00CF3673" w:rsidRDefault="00655E5F" w:rsidP="00F41831">
      <w:pPr>
        <w:pStyle w:val="FigureTitle"/>
        <w:rPr>
          <w:lang w:val="pt-PT"/>
        </w:rPr>
      </w:pPr>
      <w:bookmarkStart w:id="48" w:name="_Toc360720521"/>
      <w:r w:rsidRPr="00CF3673">
        <w:rPr>
          <w:lang w:val="pt-PT"/>
        </w:rPr>
        <w:t>Figur</w:t>
      </w:r>
      <w:r w:rsidR="005B6382" w:rsidRPr="00CF3673">
        <w:rPr>
          <w:lang w:val="pt-PT"/>
        </w:rPr>
        <w:t>a</w:t>
      </w:r>
      <w:r w:rsidRPr="00CF3673">
        <w:rPr>
          <w:lang w:val="pt-PT"/>
        </w:rPr>
        <w:t xml:space="preserve"> </w:t>
      </w:r>
      <w:r w:rsidR="004D1585" w:rsidRPr="00CF3673">
        <w:rPr>
          <w:lang w:val="pt-PT"/>
        </w:rPr>
        <w:t>7</w:t>
      </w:r>
      <w:r w:rsidRPr="00CF3673">
        <w:rPr>
          <w:lang w:val="pt-PT"/>
        </w:rPr>
        <w:t>.</w:t>
      </w:r>
      <w:r w:rsidR="009812C4" w:rsidRPr="00CF3673">
        <w:rPr>
          <w:lang w:val="pt-PT"/>
        </w:rPr>
        <w:t>4</w:t>
      </w:r>
      <w:r w:rsidRPr="00CF3673">
        <w:rPr>
          <w:lang w:val="pt-PT"/>
        </w:rPr>
        <w:t xml:space="preserve">: </w:t>
      </w:r>
      <w:r w:rsidR="005B6382" w:rsidRPr="00CF3673">
        <w:rPr>
          <w:lang w:val="pt-PT"/>
        </w:rPr>
        <w:t>Contribuição das importações por tamanho de empresas</w:t>
      </w:r>
      <w:r w:rsidR="009812C4" w:rsidRPr="00CF3673">
        <w:rPr>
          <w:lang w:val="pt-PT"/>
        </w:rPr>
        <w:t xml:space="preserve">, 2006-2011, </w:t>
      </w:r>
      <w:r w:rsidR="005B6382" w:rsidRPr="00CF3673">
        <w:rPr>
          <w:lang w:val="pt-PT"/>
        </w:rPr>
        <w:t>% de matéria-prima intermédia</w:t>
      </w:r>
    </w:p>
    <w:bookmarkEnd w:id="48"/>
    <w:p w:rsidR="009812C4" w:rsidRPr="00CF3673" w:rsidRDefault="0038421E" w:rsidP="009812C4">
      <w:pPr>
        <w:spacing w:after="0"/>
        <w:jc w:val="center"/>
      </w:pPr>
      <w:r w:rsidRPr="00CF3673">
        <w:rPr>
          <w:noProof/>
          <w:lang w:val="en-US"/>
        </w:rPr>
        <w:lastRenderedPageBreak/>
        <w:drawing>
          <wp:inline distT="0" distB="0" distL="0" distR="0" wp14:anchorId="3126A895" wp14:editId="331E2BB4">
            <wp:extent cx="3971925" cy="2309812"/>
            <wp:effectExtent l="0" t="0" r="9525" b="1460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bl>
      <w:tblPr>
        <w:tblStyle w:val="SrensTable"/>
        <w:tblW w:w="6229" w:type="dxa"/>
        <w:tblInd w:w="1797" w:type="dxa"/>
        <w:tblLook w:val="04A0" w:firstRow="1" w:lastRow="0" w:firstColumn="1" w:lastColumn="0" w:noHBand="0" w:noVBand="1"/>
      </w:tblPr>
      <w:tblGrid>
        <w:gridCol w:w="6229"/>
      </w:tblGrid>
      <w:tr w:rsidR="009812C4" w:rsidRPr="00CF3673" w:rsidTr="0038421E">
        <w:trPr>
          <w:trHeight w:val="455"/>
        </w:trPr>
        <w:tc>
          <w:tcPr>
            <w:tcW w:w="0" w:type="auto"/>
          </w:tcPr>
          <w:p w:rsidR="009812C4" w:rsidRPr="00CF3673" w:rsidRDefault="009812C4" w:rsidP="0072412E">
            <w:pPr>
              <w:pStyle w:val="Tablenote"/>
              <w:rPr>
                <w:b/>
                <w:lang w:val="pt-PT"/>
              </w:rPr>
            </w:pPr>
            <w:r w:rsidRPr="00CF3673">
              <w:rPr>
                <w:b/>
                <w:lang w:val="pt-PT"/>
              </w:rPr>
              <w:t>Not</w:t>
            </w:r>
            <w:r w:rsidR="0072412E" w:rsidRPr="00CF3673">
              <w:rPr>
                <w:b/>
                <w:lang w:val="pt-PT"/>
              </w:rPr>
              <w:t>a</w:t>
            </w:r>
            <w:r w:rsidRPr="00CF3673">
              <w:rPr>
                <w:b/>
                <w:lang w:val="pt-PT"/>
              </w:rPr>
              <w:t>:</w:t>
            </w:r>
            <w:r w:rsidRPr="00CF3673">
              <w:rPr>
                <w:lang w:val="pt-PT"/>
              </w:rPr>
              <w:t xml:space="preserve"> </w:t>
            </w:r>
            <w:r w:rsidR="0072412E" w:rsidRPr="00CF3673">
              <w:rPr>
                <w:lang w:val="pt-PT"/>
              </w:rPr>
              <w:t>Painel equilibrado</w:t>
            </w:r>
            <w:r w:rsidR="0038421E" w:rsidRPr="00CF3673">
              <w:rPr>
                <w:lang w:val="pt-PT"/>
              </w:rPr>
              <w:t xml:space="preserve">, </w:t>
            </w:r>
            <w:r w:rsidR="0072412E" w:rsidRPr="00CF3673">
              <w:rPr>
                <w:lang w:val="pt-PT"/>
              </w:rPr>
              <w:t>ex</w:t>
            </w:r>
            <w:r w:rsidR="0038421E" w:rsidRPr="00CF3673">
              <w:rPr>
                <w:lang w:val="pt-PT"/>
              </w:rPr>
              <w:t xml:space="preserve">. </w:t>
            </w:r>
            <w:r w:rsidR="0072412E" w:rsidRPr="00CF3673">
              <w:rPr>
                <w:lang w:val="pt-PT"/>
              </w:rPr>
              <w:t xml:space="preserve">Seguir a mesma empresa por </w:t>
            </w:r>
            <w:r w:rsidR="006A4724" w:rsidRPr="00CF3673">
              <w:rPr>
                <w:lang w:val="pt-PT"/>
              </w:rPr>
              <w:t>período</w:t>
            </w:r>
            <w:r w:rsidRPr="00CF3673">
              <w:rPr>
                <w:lang w:val="pt-PT"/>
              </w:rPr>
              <w:t xml:space="preserve">. </w:t>
            </w:r>
            <w:r w:rsidR="006A4724" w:rsidRPr="00CF3673">
              <w:rPr>
                <w:lang w:val="pt-PT"/>
              </w:rPr>
              <w:t>Número</w:t>
            </w:r>
            <w:r w:rsidRPr="00CF3673">
              <w:rPr>
                <w:lang w:val="pt-PT"/>
              </w:rPr>
              <w:t xml:space="preserve"> </w:t>
            </w:r>
            <w:r w:rsidR="0072412E" w:rsidRPr="00CF3673">
              <w:rPr>
                <w:lang w:val="pt-PT"/>
              </w:rPr>
              <w:t>de observações</w:t>
            </w:r>
            <w:r w:rsidRPr="00CF3673">
              <w:rPr>
                <w:lang w:val="pt-PT"/>
              </w:rPr>
              <w:t xml:space="preserve">: 194 (22 </w:t>
            </w:r>
            <w:r w:rsidR="0072412E" w:rsidRPr="00CF3673">
              <w:rPr>
                <w:lang w:val="pt-PT"/>
              </w:rPr>
              <w:t>em falta</w:t>
            </w:r>
            <w:r w:rsidRPr="00CF3673">
              <w:rPr>
                <w:lang w:val="pt-PT"/>
              </w:rPr>
              <w:t>).</w:t>
            </w:r>
          </w:p>
        </w:tc>
      </w:tr>
      <w:tr w:rsidR="009812C4" w:rsidRPr="00CF3673" w:rsidTr="0038421E">
        <w:trPr>
          <w:trHeight w:val="455"/>
        </w:trPr>
        <w:tc>
          <w:tcPr>
            <w:tcW w:w="0" w:type="auto"/>
          </w:tcPr>
          <w:p w:rsidR="009812C4" w:rsidRPr="00CF3673" w:rsidRDefault="0072412E" w:rsidP="0072412E">
            <w:pPr>
              <w:pStyle w:val="Tablenote"/>
              <w:rPr>
                <w:b/>
                <w:lang w:val="pt-PT"/>
              </w:rPr>
            </w:pPr>
            <w:r w:rsidRPr="00CF3673">
              <w:rPr>
                <w:b/>
                <w:lang w:val="pt-PT"/>
              </w:rPr>
              <w:t>Fonte</w:t>
            </w:r>
            <w:r w:rsidR="009812C4" w:rsidRPr="00CF3673">
              <w:rPr>
                <w:b/>
                <w:lang w:val="pt-PT"/>
              </w:rPr>
              <w:t>:</w:t>
            </w:r>
            <w:r w:rsidR="009812C4" w:rsidRPr="00CF3673">
              <w:rPr>
                <w:lang w:val="pt-PT"/>
              </w:rPr>
              <w:t xml:space="preserve"> </w:t>
            </w:r>
            <w:r w:rsidR="006A4724" w:rsidRPr="00CF3673">
              <w:rPr>
                <w:lang w:val="pt-PT"/>
              </w:rPr>
              <w:t>cálculos</w:t>
            </w:r>
            <w:r w:rsidRPr="00CF3673">
              <w:rPr>
                <w:lang w:val="pt-PT"/>
              </w:rPr>
              <w:t xml:space="preserve"> dos autores usando</w:t>
            </w:r>
            <w:r w:rsidR="009812C4" w:rsidRPr="00CF3673">
              <w:rPr>
                <w:lang w:val="pt-PT"/>
              </w:rPr>
              <w:t xml:space="preserve"> IIM 2012, DNEAP (2006) </w:t>
            </w:r>
            <w:r w:rsidRPr="00CF3673">
              <w:rPr>
                <w:lang w:val="pt-PT"/>
              </w:rPr>
              <w:t>e</w:t>
            </w:r>
            <w:r w:rsidR="009812C4" w:rsidRPr="00CF3673">
              <w:rPr>
                <w:lang w:val="pt-PT"/>
              </w:rPr>
              <w:t xml:space="preserve"> ICA (2009).</w:t>
            </w:r>
          </w:p>
        </w:tc>
      </w:tr>
    </w:tbl>
    <w:p w:rsidR="009812C4" w:rsidRPr="00CF3673" w:rsidRDefault="009812C4" w:rsidP="001B3132"/>
    <w:p w:rsidR="005B6382" w:rsidRPr="00CF3673" w:rsidRDefault="005B6382" w:rsidP="001E664B">
      <w:pPr>
        <w:pStyle w:val="MainText"/>
        <w:rPr>
          <w:lang w:val="pt-PT"/>
        </w:rPr>
      </w:pPr>
      <w:r w:rsidRPr="00CF3673">
        <w:rPr>
          <w:lang w:val="pt-PT"/>
        </w:rPr>
        <w:t xml:space="preserve">Mudando a questão da </w:t>
      </w:r>
      <w:r w:rsidR="006A4724" w:rsidRPr="00CF3673">
        <w:rPr>
          <w:lang w:val="pt-PT"/>
        </w:rPr>
        <w:t>origem</w:t>
      </w:r>
      <w:r w:rsidRPr="00CF3673">
        <w:rPr>
          <w:lang w:val="pt-PT"/>
        </w:rPr>
        <w:t xml:space="preserve"> das matérias-primas para a questão de disponibilidade, a tabela 7.8 alista as contribuições das empresas que referem “matérias-primas não disponíveis nas quantidade e qualidade </w:t>
      </w:r>
      <w:r w:rsidR="006A4724" w:rsidRPr="00CF3673">
        <w:rPr>
          <w:lang w:val="pt-PT"/>
        </w:rPr>
        <w:t>desejáveis</w:t>
      </w:r>
      <w:r w:rsidRPr="00CF3673">
        <w:rPr>
          <w:lang w:val="pt-PT"/>
        </w:rPr>
        <w:t>”</w:t>
      </w:r>
      <w:r w:rsidR="00032542" w:rsidRPr="00CF3673">
        <w:rPr>
          <w:lang w:val="pt-PT"/>
        </w:rPr>
        <w:t xml:space="preserve">. Para as empresas na amostra, as </w:t>
      </w:r>
      <w:r w:rsidR="006A4724" w:rsidRPr="00CF3673">
        <w:rPr>
          <w:lang w:val="pt-PT"/>
        </w:rPr>
        <w:t>matérias-primas</w:t>
      </w:r>
      <w:r w:rsidR="00032542" w:rsidRPr="00CF3673">
        <w:rPr>
          <w:lang w:val="pt-PT"/>
        </w:rPr>
        <w:t xml:space="preserve"> estão sempre disponíveis em quantidades e qualidade desejáveis em 85-89%. O tamanho da empresa não </w:t>
      </w:r>
      <w:r w:rsidR="006A4724" w:rsidRPr="00CF3673">
        <w:rPr>
          <w:lang w:val="pt-PT"/>
        </w:rPr>
        <w:t>diferença</w:t>
      </w:r>
      <w:r w:rsidR="00032542" w:rsidRPr="00CF3673">
        <w:rPr>
          <w:lang w:val="pt-PT"/>
        </w:rPr>
        <w:t xml:space="preserve"> alguma para a disponibilidade de matéria-prima em qualidade. No entanto, quando se trata de quantidades, as </w:t>
      </w:r>
      <w:r w:rsidR="006A4724" w:rsidRPr="00CF3673">
        <w:rPr>
          <w:lang w:val="pt-PT"/>
        </w:rPr>
        <w:t>média</w:t>
      </w:r>
      <w:r w:rsidR="00032542" w:rsidRPr="00CF3673">
        <w:rPr>
          <w:lang w:val="pt-PT"/>
        </w:rPr>
        <w:t xml:space="preserve">-empresas experimentam poucas dificuldades- </w:t>
      </w:r>
      <w:r w:rsidR="006A4724" w:rsidRPr="00CF3673">
        <w:rPr>
          <w:lang w:val="pt-PT"/>
        </w:rPr>
        <w:t>talvez</w:t>
      </w:r>
      <w:r w:rsidR="00032542" w:rsidRPr="00CF3673">
        <w:rPr>
          <w:lang w:val="pt-PT"/>
        </w:rPr>
        <w:t xml:space="preserve"> porque eles compram em atacado ou têm relações estáveis com os seus fornecedores. </w:t>
      </w:r>
    </w:p>
    <w:p w:rsidR="005F0BBD" w:rsidRPr="00CF3673" w:rsidRDefault="00C359AC" w:rsidP="001E664B">
      <w:pPr>
        <w:pStyle w:val="MainText"/>
        <w:rPr>
          <w:lang w:val="pt-PT"/>
        </w:rPr>
      </w:pPr>
      <w:r w:rsidRPr="00CF3673">
        <w:rPr>
          <w:lang w:val="pt-PT"/>
        </w:rPr>
        <w:t xml:space="preserve">Existe uma variação sectorial no que diz respeito a disponibilidade de matéria-prima. Os sectores de impressão e publicação, produtos minerais não metálicos e maquinarias parecem ter menos problemas, enquanto os sectores de mobiliário, madeira e papel e especialmente o sector químico tem muitos problemas tanto com a quantidade de matéria-prima e a qualidade do que a média. É de alguma forma surpreendente que o sector de mobiliário e madeira- </w:t>
      </w:r>
      <w:r w:rsidR="00CD74CD" w:rsidRPr="00CF3673">
        <w:rPr>
          <w:lang w:val="pt-PT"/>
        </w:rPr>
        <w:t>indústrias</w:t>
      </w:r>
      <w:r w:rsidRPr="00CF3673">
        <w:rPr>
          <w:lang w:val="pt-PT"/>
        </w:rPr>
        <w:t xml:space="preserve"> dependentes de madeira, que é </w:t>
      </w:r>
      <w:r w:rsidR="00CD74CD" w:rsidRPr="00CF3673">
        <w:rPr>
          <w:lang w:val="pt-PT"/>
        </w:rPr>
        <w:t>matéria-prima</w:t>
      </w:r>
      <w:r w:rsidRPr="00CF3673">
        <w:rPr>
          <w:lang w:val="pt-PT"/>
        </w:rPr>
        <w:t xml:space="preserve"> abundante em Moçambique – experimente </w:t>
      </w:r>
      <w:r w:rsidR="00CD74CD" w:rsidRPr="00CF3673">
        <w:rPr>
          <w:lang w:val="pt-PT"/>
        </w:rPr>
        <w:t xml:space="preserve">problemas com matéria-prima. Isto pode sugerir alguns problemas a montante, por exemplo o facto de a </w:t>
      </w:r>
      <w:r w:rsidR="005F0BBD" w:rsidRPr="00CF3673">
        <w:rPr>
          <w:lang w:val="pt-PT"/>
        </w:rPr>
        <w:t>indústria</w:t>
      </w:r>
      <w:r w:rsidR="00CD74CD" w:rsidRPr="00CF3673">
        <w:rPr>
          <w:lang w:val="pt-PT"/>
        </w:rPr>
        <w:t xml:space="preserve"> em causa não estar a funcionar eficientemente ou poderia ser a existência de algumas barreiras administrativas que causam ineficiências </w:t>
      </w:r>
      <w:r w:rsidR="005F0BBD" w:rsidRPr="00CF3673">
        <w:rPr>
          <w:lang w:val="pt-PT"/>
        </w:rPr>
        <w:t>na cadeia de valor. Evidência anedótica sugere que um regime de licenciamento florestal, forte presença dos chineses e com maior demanda de madeira e a existência de muitos operadores ilegais poderia ser parte da explicação deste fenómeno, mais pesquisa é necessária para afirmar se é necessária politica para responder a estas questões.</w:t>
      </w:r>
    </w:p>
    <w:p w:rsidR="00AF1DC4" w:rsidRPr="00CF3673" w:rsidRDefault="005F0BBD" w:rsidP="00F41831">
      <w:pPr>
        <w:pStyle w:val="TableTitle"/>
        <w:rPr>
          <w:lang w:val="pt-PT"/>
        </w:rPr>
      </w:pPr>
      <w:bookmarkStart w:id="49" w:name="_Toc360720486"/>
      <w:r w:rsidRPr="00CF3673">
        <w:rPr>
          <w:lang w:val="pt-PT"/>
        </w:rPr>
        <w:lastRenderedPageBreak/>
        <w:t>T</w:t>
      </w:r>
      <w:r w:rsidR="00AF1DC4" w:rsidRPr="00CF3673">
        <w:rPr>
          <w:lang w:val="pt-PT"/>
        </w:rPr>
        <w:t>ab</w:t>
      </w:r>
      <w:r w:rsidRPr="00CF3673">
        <w:rPr>
          <w:lang w:val="pt-PT"/>
        </w:rPr>
        <w:t>ela</w:t>
      </w:r>
      <w:r w:rsidR="00AF1DC4" w:rsidRPr="00CF3673">
        <w:rPr>
          <w:lang w:val="pt-PT"/>
        </w:rPr>
        <w:t xml:space="preserve"> </w:t>
      </w:r>
      <w:r w:rsidR="004D1585" w:rsidRPr="00CF3673">
        <w:rPr>
          <w:lang w:val="pt-PT"/>
        </w:rPr>
        <w:t>7</w:t>
      </w:r>
      <w:r w:rsidR="00AF1DC4" w:rsidRPr="00CF3673">
        <w:rPr>
          <w:lang w:val="pt-PT"/>
        </w:rPr>
        <w:t>.</w:t>
      </w:r>
      <w:r w:rsidR="00BE067D" w:rsidRPr="00CF3673">
        <w:rPr>
          <w:lang w:val="pt-PT"/>
        </w:rPr>
        <w:t>8</w:t>
      </w:r>
      <w:r w:rsidR="00AF1DC4" w:rsidRPr="00CF3673">
        <w:rPr>
          <w:lang w:val="pt-PT"/>
        </w:rPr>
        <w:t xml:space="preserve">: </w:t>
      </w:r>
      <w:r w:rsidRPr="00CF3673">
        <w:rPr>
          <w:lang w:val="pt-PT"/>
        </w:rPr>
        <w:t xml:space="preserve">Contribuição das empresas afirmando que duma maneira geral </w:t>
      </w:r>
      <w:r w:rsidR="008728F0" w:rsidRPr="00CF3673">
        <w:rPr>
          <w:lang w:val="pt-PT"/>
        </w:rPr>
        <w:t>matéria-prima</w:t>
      </w:r>
      <w:r w:rsidRPr="00CF3673">
        <w:rPr>
          <w:lang w:val="pt-PT"/>
        </w:rPr>
        <w:t xml:space="preserve"> não disponível, por tipo de empresas,</w:t>
      </w:r>
      <w:r w:rsidR="0082747F" w:rsidRPr="00CF3673">
        <w:rPr>
          <w:lang w:val="pt-PT"/>
        </w:rPr>
        <w:t xml:space="preserve"> </w:t>
      </w:r>
      <w:r w:rsidRPr="00CF3673">
        <w:rPr>
          <w:lang w:val="pt-PT"/>
        </w:rPr>
        <w:t>%</w:t>
      </w:r>
      <w:r w:rsidR="0082747F" w:rsidRPr="00CF3673">
        <w:rPr>
          <w:lang w:val="pt-PT"/>
        </w:rPr>
        <w:t>.</w:t>
      </w:r>
      <w:bookmarkEnd w:id="49"/>
    </w:p>
    <w:tbl>
      <w:tblPr>
        <w:tblStyle w:val="StandardTable"/>
        <w:tblW w:w="0" w:type="auto"/>
        <w:jc w:val="center"/>
        <w:tblInd w:w="-168" w:type="dxa"/>
        <w:tblLayout w:type="fixed"/>
        <w:tblLook w:val="0020" w:firstRow="1" w:lastRow="0" w:firstColumn="0" w:lastColumn="0" w:noHBand="0" w:noVBand="0"/>
      </w:tblPr>
      <w:tblGrid>
        <w:gridCol w:w="2899"/>
        <w:gridCol w:w="2064"/>
        <w:gridCol w:w="1937"/>
        <w:gridCol w:w="583"/>
      </w:tblGrid>
      <w:tr w:rsidR="0057321C" w:rsidRPr="00CF3673" w:rsidTr="00A602BA">
        <w:trPr>
          <w:cnfStyle w:val="100000000000" w:firstRow="1" w:lastRow="0" w:firstColumn="0" w:lastColumn="0" w:oddVBand="0" w:evenVBand="0" w:oddHBand="0" w:evenHBand="0" w:firstRowFirstColumn="0" w:firstRowLastColumn="0" w:lastRowFirstColumn="0" w:lastRowLastColumn="0"/>
          <w:trHeight w:val="290"/>
          <w:jc w:val="center"/>
        </w:trPr>
        <w:tc>
          <w:tcPr>
            <w:tcW w:w="2899" w:type="dxa"/>
            <w:tcBorders>
              <w:bottom w:val="nil"/>
            </w:tcBorders>
          </w:tcPr>
          <w:p w:rsidR="0057321C" w:rsidRPr="00CF3673" w:rsidRDefault="0057321C">
            <w:pPr>
              <w:autoSpaceDE w:val="0"/>
              <w:autoSpaceDN w:val="0"/>
              <w:adjustRightInd w:val="0"/>
              <w:rPr>
                <w:rFonts w:ascii="Calibri" w:hAnsi="Calibri" w:cs="Calibri"/>
                <w:color w:val="000000"/>
              </w:rPr>
            </w:pPr>
          </w:p>
        </w:tc>
        <w:tc>
          <w:tcPr>
            <w:tcW w:w="4584" w:type="dxa"/>
            <w:gridSpan w:val="3"/>
          </w:tcPr>
          <w:p w:rsidR="0057321C" w:rsidRPr="00CF3673" w:rsidRDefault="006A4724" w:rsidP="006A4724">
            <w:pPr>
              <w:autoSpaceDE w:val="0"/>
              <w:autoSpaceDN w:val="0"/>
              <w:adjustRightInd w:val="0"/>
              <w:jc w:val="center"/>
              <w:rPr>
                <w:rFonts w:ascii="Calibri" w:hAnsi="Calibri" w:cs="Calibri"/>
                <w:color w:val="000000"/>
              </w:rPr>
            </w:pPr>
            <w:r w:rsidRPr="00CF3673">
              <w:rPr>
                <w:rFonts w:ascii="Calibri" w:hAnsi="Calibri" w:cs="Calibri"/>
                <w:color w:val="000000"/>
              </w:rPr>
              <w:t>Matéria-prima geralmente não disponíveis</w:t>
            </w:r>
          </w:p>
        </w:tc>
      </w:tr>
      <w:tr w:rsidR="0057321C" w:rsidRPr="00CF3673" w:rsidTr="00A602BA">
        <w:trPr>
          <w:trHeight w:val="290"/>
          <w:jc w:val="center"/>
        </w:trPr>
        <w:tc>
          <w:tcPr>
            <w:tcW w:w="2899" w:type="dxa"/>
            <w:tcBorders>
              <w:top w:val="nil"/>
              <w:bottom w:val="single" w:sz="4" w:space="0" w:color="auto"/>
            </w:tcBorders>
          </w:tcPr>
          <w:p w:rsidR="003F1A66" w:rsidRPr="00CF3673" w:rsidRDefault="003F1A66" w:rsidP="001A3B39">
            <w:pPr>
              <w:autoSpaceDE w:val="0"/>
              <w:autoSpaceDN w:val="0"/>
              <w:adjustRightInd w:val="0"/>
              <w:rPr>
                <w:rFonts w:ascii="Calibri" w:hAnsi="Calibri" w:cs="Calibri"/>
                <w:color w:val="000000"/>
              </w:rPr>
            </w:pPr>
          </w:p>
        </w:tc>
        <w:tc>
          <w:tcPr>
            <w:tcW w:w="2064" w:type="dxa"/>
            <w:tcBorders>
              <w:top w:val="single" w:sz="4" w:space="0" w:color="auto"/>
              <w:bottom w:val="single" w:sz="4" w:space="0" w:color="auto"/>
            </w:tcBorders>
          </w:tcPr>
          <w:p w:rsidR="003F1A66" w:rsidRPr="00CF3673" w:rsidRDefault="006A4724" w:rsidP="006A4724">
            <w:pPr>
              <w:autoSpaceDE w:val="0"/>
              <w:autoSpaceDN w:val="0"/>
              <w:adjustRightInd w:val="0"/>
              <w:jc w:val="center"/>
              <w:rPr>
                <w:rFonts w:ascii="Calibri" w:hAnsi="Calibri" w:cs="Calibri"/>
                <w:color w:val="000000"/>
              </w:rPr>
            </w:pPr>
            <w:proofErr w:type="spellStart"/>
            <w:r w:rsidRPr="00CF3673">
              <w:rPr>
                <w:rFonts w:ascii="Calibri" w:hAnsi="Calibri" w:cs="Calibri"/>
                <w:color w:val="000000"/>
              </w:rPr>
              <w:t>Qtd</w:t>
            </w:r>
            <w:proofErr w:type="spellEnd"/>
            <w:r w:rsidRPr="00CF3673">
              <w:rPr>
                <w:rFonts w:ascii="Calibri" w:hAnsi="Calibri" w:cs="Calibri"/>
                <w:color w:val="000000"/>
              </w:rPr>
              <w:t xml:space="preserve"> </w:t>
            </w:r>
            <w:proofErr w:type="spellStart"/>
            <w:r w:rsidRPr="00CF3673">
              <w:rPr>
                <w:rFonts w:ascii="Calibri" w:hAnsi="Calibri" w:cs="Calibri"/>
                <w:color w:val="000000"/>
              </w:rPr>
              <w:t>desejaveis</w:t>
            </w:r>
            <w:proofErr w:type="spellEnd"/>
          </w:p>
        </w:tc>
        <w:tc>
          <w:tcPr>
            <w:tcW w:w="1937" w:type="dxa"/>
            <w:tcBorders>
              <w:top w:val="single" w:sz="4" w:space="0" w:color="auto"/>
              <w:bottom w:val="single" w:sz="4" w:space="0" w:color="auto"/>
            </w:tcBorders>
          </w:tcPr>
          <w:p w:rsidR="003F1A66" w:rsidRPr="00CF3673" w:rsidRDefault="006A4724" w:rsidP="006A4724">
            <w:pPr>
              <w:autoSpaceDE w:val="0"/>
              <w:autoSpaceDN w:val="0"/>
              <w:adjustRightInd w:val="0"/>
              <w:jc w:val="center"/>
              <w:rPr>
                <w:rFonts w:ascii="Calibri" w:hAnsi="Calibri" w:cs="Calibri"/>
                <w:color w:val="000000"/>
              </w:rPr>
            </w:pPr>
            <w:proofErr w:type="spellStart"/>
            <w:r w:rsidRPr="00CF3673">
              <w:rPr>
                <w:rFonts w:ascii="Calibri" w:hAnsi="Calibri" w:cs="Calibri"/>
                <w:color w:val="000000"/>
              </w:rPr>
              <w:t>Qld</w:t>
            </w:r>
            <w:proofErr w:type="spellEnd"/>
            <w:r w:rsidRPr="00CF3673">
              <w:rPr>
                <w:rFonts w:ascii="Calibri" w:hAnsi="Calibri" w:cs="Calibri"/>
                <w:color w:val="000000"/>
              </w:rPr>
              <w:t xml:space="preserve"> desejáveis</w:t>
            </w:r>
          </w:p>
        </w:tc>
        <w:tc>
          <w:tcPr>
            <w:tcW w:w="583" w:type="dxa"/>
            <w:tcBorders>
              <w:top w:val="single" w:sz="4" w:space="0" w:color="auto"/>
              <w:bottom w:val="single" w:sz="4" w:space="0" w:color="auto"/>
            </w:tcBorders>
          </w:tcPr>
          <w:p w:rsidR="003F1A66" w:rsidRPr="00CF3673" w:rsidRDefault="0057321C" w:rsidP="0057321C">
            <w:pPr>
              <w:autoSpaceDE w:val="0"/>
              <w:autoSpaceDN w:val="0"/>
              <w:adjustRightInd w:val="0"/>
              <w:jc w:val="center"/>
              <w:rPr>
                <w:rFonts w:ascii="Calibri" w:hAnsi="Calibri" w:cs="Calibri"/>
                <w:color w:val="000000"/>
              </w:rPr>
            </w:pPr>
            <w:r w:rsidRPr="00CF3673">
              <w:rPr>
                <w:rFonts w:ascii="Calibri" w:hAnsi="Calibri" w:cs="Calibri"/>
                <w:color w:val="000000"/>
              </w:rPr>
              <w:t>O</w:t>
            </w:r>
            <w:r w:rsidR="003F1A66" w:rsidRPr="00CF3673">
              <w:rPr>
                <w:rFonts w:ascii="Calibri" w:hAnsi="Calibri" w:cs="Calibri"/>
                <w:color w:val="000000"/>
              </w:rPr>
              <w:t>bs</w:t>
            </w:r>
            <w:r w:rsidRPr="00CF3673">
              <w:rPr>
                <w:rFonts w:ascii="Calibri" w:hAnsi="Calibri" w:cs="Calibri"/>
                <w:color w:val="000000"/>
              </w:rPr>
              <w:t>.</w:t>
            </w:r>
          </w:p>
        </w:tc>
      </w:tr>
      <w:tr w:rsidR="00A602BA" w:rsidRPr="00CF3673" w:rsidTr="00A602BA">
        <w:trPr>
          <w:trHeight w:val="290"/>
          <w:jc w:val="center"/>
        </w:trPr>
        <w:tc>
          <w:tcPr>
            <w:tcW w:w="2899" w:type="dxa"/>
            <w:tcBorders>
              <w:top w:val="single" w:sz="4" w:space="0" w:color="auto"/>
            </w:tcBorders>
          </w:tcPr>
          <w:p w:rsidR="00A602BA" w:rsidRPr="00CF3673" w:rsidRDefault="006A4724" w:rsidP="001A3B39">
            <w:pPr>
              <w:rPr>
                <w:rFonts w:ascii="Calibri" w:eastAsia="Times New Roman" w:hAnsi="Calibri" w:cs="Times New Roman"/>
                <w:lang w:eastAsia="zh-CN"/>
              </w:rPr>
            </w:pPr>
            <w:proofErr w:type="spellStart"/>
            <w:r w:rsidRPr="00CF3673">
              <w:rPr>
                <w:rFonts w:ascii="Calibri" w:eastAsia="Times New Roman" w:hAnsi="Calibri" w:cs="Times New Roman"/>
                <w:lang w:val="en-US" w:eastAsia="zh-CN"/>
              </w:rPr>
              <w:t>Todos</w:t>
            </w:r>
            <w:proofErr w:type="spellEnd"/>
          </w:p>
        </w:tc>
        <w:tc>
          <w:tcPr>
            <w:tcW w:w="2064" w:type="dxa"/>
            <w:tcBorders>
              <w:top w:val="single" w:sz="4" w:space="0" w:color="auto"/>
            </w:tcBorders>
          </w:tcPr>
          <w:p w:rsidR="00A602BA" w:rsidRPr="00CF3673" w:rsidRDefault="00A602BA" w:rsidP="00A602BA">
            <w:pPr>
              <w:jc w:val="center"/>
            </w:pPr>
            <w:r w:rsidRPr="00CF3673">
              <w:t>12.7</w:t>
            </w:r>
          </w:p>
        </w:tc>
        <w:tc>
          <w:tcPr>
            <w:tcW w:w="1937" w:type="dxa"/>
            <w:tcBorders>
              <w:top w:val="single" w:sz="4" w:space="0" w:color="auto"/>
            </w:tcBorders>
          </w:tcPr>
          <w:p w:rsidR="00A602BA" w:rsidRPr="00CF3673" w:rsidRDefault="00A602BA" w:rsidP="00A602BA">
            <w:pPr>
              <w:jc w:val="center"/>
            </w:pPr>
            <w:r w:rsidRPr="00CF3673">
              <w:t>13.1</w:t>
            </w:r>
          </w:p>
        </w:tc>
        <w:tc>
          <w:tcPr>
            <w:tcW w:w="583" w:type="dxa"/>
            <w:tcBorders>
              <w:top w:val="single" w:sz="4" w:space="0" w:color="auto"/>
            </w:tcBorders>
          </w:tcPr>
          <w:p w:rsidR="00A602BA" w:rsidRPr="00CF3673" w:rsidRDefault="00A602BA" w:rsidP="00A602BA">
            <w:pPr>
              <w:jc w:val="center"/>
            </w:pPr>
            <w:r w:rsidRPr="00CF3673">
              <w:t>756</w:t>
            </w:r>
          </w:p>
        </w:tc>
      </w:tr>
      <w:tr w:rsidR="00A602BA" w:rsidRPr="00CF3673" w:rsidTr="00A602BA">
        <w:trPr>
          <w:trHeight w:val="290"/>
          <w:jc w:val="center"/>
        </w:trPr>
        <w:tc>
          <w:tcPr>
            <w:tcW w:w="2899" w:type="dxa"/>
          </w:tcPr>
          <w:p w:rsidR="00A602BA" w:rsidRPr="00CF3673" w:rsidRDefault="00A602BA" w:rsidP="001A3B39">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2064" w:type="dxa"/>
          </w:tcPr>
          <w:p w:rsidR="00A602BA" w:rsidRPr="00CF3673" w:rsidRDefault="00A602BA" w:rsidP="00A602BA">
            <w:pPr>
              <w:jc w:val="center"/>
            </w:pPr>
            <w:r w:rsidRPr="00CF3673">
              <w:t>12.9</w:t>
            </w:r>
          </w:p>
        </w:tc>
        <w:tc>
          <w:tcPr>
            <w:tcW w:w="1937" w:type="dxa"/>
          </w:tcPr>
          <w:p w:rsidR="00A602BA" w:rsidRPr="00CF3673" w:rsidRDefault="00A602BA" w:rsidP="00A602BA">
            <w:pPr>
              <w:jc w:val="center"/>
            </w:pPr>
            <w:r w:rsidRPr="00CF3673">
              <w:t>13.7</w:t>
            </w:r>
          </w:p>
        </w:tc>
        <w:tc>
          <w:tcPr>
            <w:tcW w:w="583" w:type="dxa"/>
          </w:tcPr>
          <w:p w:rsidR="00A602BA" w:rsidRPr="00CF3673" w:rsidRDefault="00A602BA" w:rsidP="00A602BA">
            <w:pPr>
              <w:jc w:val="center"/>
            </w:pPr>
            <w:r w:rsidRPr="00CF3673">
              <w:t>512</w:t>
            </w:r>
          </w:p>
        </w:tc>
      </w:tr>
      <w:tr w:rsidR="00A602BA" w:rsidRPr="00CF3673" w:rsidTr="00A602BA">
        <w:trPr>
          <w:trHeight w:val="290"/>
          <w:jc w:val="center"/>
        </w:trPr>
        <w:tc>
          <w:tcPr>
            <w:tcW w:w="2899" w:type="dxa"/>
            <w:tcBorders>
              <w:bottom w:val="nil"/>
            </w:tcBorders>
          </w:tcPr>
          <w:p w:rsidR="00A602BA" w:rsidRPr="00CF3673" w:rsidRDefault="0072412E" w:rsidP="001A3B39">
            <w:pP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2064" w:type="dxa"/>
            <w:tcBorders>
              <w:bottom w:val="nil"/>
            </w:tcBorders>
          </w:tcPr>
          <w:p w:rsidR="00A602BA" w:rsidRPr="00CF3673" w:rsidRDefault="00A602BA" w:rsidP="00A602BA">
            <w:pPr>
              <w:jc w:val="center"/>
            </w:pPr>
            <w:r w:rsidRPr="00CF3673">
              <w:t>15.2</w:t>
            </w:r>
          </w:p>
        </w:tc>
        <w:tc>
          <w:tcPr>
            <w:tcW w:w="1937" w:type="dxa"/>
            <w:tcBorders>
              <w:bottom w:val="nil"/>
            </w:tcBorders>
          </w:tcPr>
          <w:p w:rsidR="00A602BA" w:rsidRPr="00CF3673" w:rsidRDefault="00A602BA" w:rsidP="00A602BA">
            <w:pPr>
              <w:jc w:val="center"/>
            </w:pPr>
            <w:r w:rsidRPr="00CF3673">
              <w:t>11.2</w:t>
            </w:r>
          </w:p>
        </w:tc>
        <w:tc>
          <w:tcPr>
            <w:tcW w:w="583" w:type="dxa"/>
            <w:tcBorders>
              <w:bottom w:val="nil"/>
            </w:tcBorders>
          </w:tcPr>
          <w:p w:rsidR="00A602BA" w:rsidRPr="00CF3673" w:rsidRDefault="00A602BA" w:rsidP="00A602BA">
            <w:pPr>
              <w:jc w:val="center"/>
            </w:pPr>
            <w:r w:rsidRPr="00CF3673">
              <w:t>178</w:t>
            </w:r>
          </w:p>
        </w:tc>
      </w:tr>
      <w:tr w:rsidR="00A602BA" w:rsidRPr="00CF3673" w:rsidTr="00A602BA">
        <w:trPr>
          <w:trHeight w:val="290"/>
          <w:jc w:val="center"/>
        </w:trPr>
        <w:tc>
          <w:tcPr>
            <w:tcW w:w="2899" w:type="dxa"/>
            <w:tcBorders>
              <w:top w:val="nil"/>
              <w:bottom w:val="single" w:sz="4" w:space="0" w:color="auto"/>
            </w:tcBorders>
          </w:tcPr>
          <w:p w:rsidR="00A602BA" w:rsidRPr="00CF3673" w:rsidRDefault="0072412E" w:rsidP="001A3B39">
            <w:pPr>
              <w:rPr>
                <w:rFonts w:ascii="Calibri" w:eastAsia="Times New Roman" w:hAnsi="Calibri" w:cs="Times New Roman"/>
                <w:lang w:eastAsia="zh-CN"/>
              </w:rPr>
            </w:pPr>
            <w:r w:rsidRPr="00CF3673">
              <w:rPr>
                <w:rFonts w:ascii="Calibri" w:eastAsia="Times New Roman" w:hAnsi="Calibri" w:cs="Times New Roman"/>
                <w:lang w:eastAsia="zh-CN"/>
              </w:rPr>
              <w:t>Media</w:t>
            </w:r>
          </w:p>
        </w:tc>
        <w:tc>
          <w:tcPr>
            <w:tcW w:w="2064" w:type="dxa"/>
            <w:tcBorders>
              <w:top w:val="nil"/>
              <w:bottom w:val="single" w:sz="4" w:space="0" w:color="auto"/>
            </w:tcBorders>
          </w:tcPr>
          <w:p w:rsidR="00A602BA" w:rsidRPr="00CF3673" w:rsidRDefault="00A602BA" w:rsidP="00A602BA">
            <w:pPr>
              <w:jc w:val="center"/>
            </w:pPr>
            <w:r w:rsidRPr="00CF3673">
              <w:t>4.5</w:t>
            </w:r>
          </w:p>
        </w:tc>
        <w:tc>
          <w:tcPr>
            <w:tcW w:w="1937" w:type="dxa"/>
            <w:tcBorders>
              <w:top w:val="nil"/>
              <w:bottom w:val="single" w:sz="4" w:space="0" w:color="auto"/>
            </w:tcBorders>
          </w:tcPr>
          <w:p w:rsidR="00A602BA" w:rsidRPr="00CF3673" w:rsidRDefault="00A602BA" w:rsidP="00A602BA">
            <w:pPr>
              <w:jc w:val="center"/>
            </w:pPr>
            <w:r w:rsidRPr="00CF3673">
              <w:t>13.6</w:t>
            </w:r>
          </w:p>
        </w:tc>
        <w:tc>
          <w:tcPr>
            <w:tcW w:w="583" w:type="dxa"/>
            <w:tcBorders>
              <w:top w:val="nil"/>
              <w:bottom w:val="single" w:sz="4" w:space="0" w:color="auto"/>
            </w:tcBorders>
          </w:tcPr>
          <w:p w:rsidR="00A602BA" w:rsidRPr="00CF3673" w:rsidRDefault="00A602BA" w:rsidP="00A602BA">
            <w:pPr>
              <w:jc w:val="center"/>
            </w:pPr>
            <w:r w:rsidRPr="00CF3673">
              <w:t>66</w:t>
            </w:r>
          </w:p>
        </w:tc>
      </w:tr>
      <w:tr w:rsidR="00A602BA" w:rsidRPr="00CF3673" w:rsidTr="00A602BA">
        <w:trPr>
          <w:trHeight w:val="290"/>
          <w:jc w:val="center"/>
        </w:trPr>
        <w:tc>
          <w:tcPr>
            <w:tcW w:w="2899" w:type="dxa"/>
            <w:tcBorders>
              <w:top w:val="single" w:sz="4" w:space="0" w:color="auto"/>
              <w:bottom w:val="nil"/>
            </w:tcBorders>
          </w:tcPr>
          <w:p w:rsidR="00A602BA" w:rsidRPr="00CF3673" w:rsidRDefault="00A602BA" w:rsidP="001A3B39">
            <w:pP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2064" w:type="dxa"/>
            <w:tcBorders>
              <w:top w:val="single" w:sz="4" w:space="0" w:color="auto"/>
              <w:bottom w:val="nil"/>
            </w:tcBorders>
          </w:tcPr>
          <w:p w:rsidR="00A602BA" w:rsidRPr="00CF3673" w:rsidRDefault="00A602BA" w:rsidP="00A602BA">
            <w:pPr>
              <w:jc w:val="center"/>
            </w:pPr>
            <w:r w:rsidRPr="00CF3673">
              <w:t>12.9</w:t>
            </w:r>
          </w:p>
        </w:tc>
        <w:tc>
          <w:tcPr>
            <w:tcW w:w="1937" w:type="dxa"/>
            <w:tcBorders>
              <w:top w:val="single" w:sz="4" w:space="0" w:color="auto"/>
              <w:bottom w:val="nil"/>
            </w:tcBorders>
          </w:tcPr>
          <w:p w:rsidR="00A602BA" w:rsidRPr="00CF3673" w:rsidRDefault="00A602BA" w:rsidP="00A602BA">
            <w:pPr>
              <w:jc w:val="center"/>
            </w:pPr>
            <w:r w:rsidRPr="00CF3673">
              <w:t>12.3</w:t>
            </w:r>
          </w:p>
        </w:tc>
        <w:tc>
          <w:tcPr>
            <w:tcW w:w="583" w:type="dxa"/>
            <w:tcBorders>
              <w:top w:val="single" w:sz="4" w:space="0" w:color="auto"/>
              <w:bottom w:val="nil"/>
            </w:tcBorders>
          </w:tcPr>
          <w:p w:rsidR="00A602BA" w:rsidRPr="00CF3673" w:rsidRDefault="00A602BA" w:rsidP="00A602BA">
            <w:pPr>
              <w:jc w:val="center"/>
            </w:pPr>
            <w:r w:rsidRPr="00CF3673">
              <w:t>163</w:t>
            </w:r>
          </w:p>
        </w:tc>
      </w:tr>
      <w:tr w:rsidR="00A602BA" w:rsidRPr="00CF3673" w:rsidTr="00A602BA">
        <w:trPr>
          <w:trHeight w:val="290"/>
          <w:jc w:val="center"/>
        </w:trPr>
        <w:tc>
          <w:tcPr>
            <w:tcW w:w="2899" w:type="dxa"/>
            <w:tcBorders>
              <w:top w:val="nil"/>
              <w:bottom w:val="single" w:sz="4" w:space="0" w:color="auto"/>
            </w:tcBorders>
          </w:tcPr>
          <w:p w:rsidR="00A602BA" w:rsidRPr="00CF3673" w:rsidRDefault="00A602BA" w:rsidP="001A3B39">
            <w:pPr>
              <w:rPr>
                <w:rFonts w:ascii="Calibri" w:eastAsia="Times New Roman" w:hAnsi="Calibri" w:cs="Times New Roman"/>
                <w:lang w:eastAsia="zh-CN"/>
              </w:rPr>
            </w:pPr>
            <w:r w:rsidRPr="00CF3673">
              <w:rPr>
                <w:rFonts w:ascii="Calibri" w:eastAsia="Times New Roman" w:hAnsi="Calibri" w:cs="Times New Roman"/>
                <w:lang w:eastAsia="zh-CN"/>
              </w:rPr>
              <w:t>Formal</w:t>
            </w:r>
          </w:p>
        </w:tc>
        <w:tc>
          <w:tcPr>
            <w:tcW w:w="2064" w:type="dxa"/>
            <w:tcBorders>
              <w:top w:val="nil"/>
              <w:bottom w:val="single" w:sz="4" w:space="0" w:color="auto"/>
            </w:tcBorders>
          </w:tcPr>
          <w:p w:rsidR="00A602BA" w:rsidRPr="00CF3673" w:rsidRDefault="00A602BA" w:rsidP="00A602BA">
            <w:pPr>
              <w:jc w:val="center"/>
            </w:pPr>
            <w:r w:rsidRPr="00CF3673">
              <w:t>12.7</w:t>
            </w:r>
          </w:p>
        </w:tc>
        <w:tc>
          <w:tcPr>
            <w:tcW w:w="1937" w:type="dxa"/>
            <w:tcBorders>
              <w:top w:val="nil"/>
              <w:bottom w:val="single" w:sz="4" w:space="0" w:color="auto"/>
            </w:tcBorders>
          </w:tcPr>
          <w:p w:rsidR="00A602BA" w:rsidRPr="00CF3673" w:rsidRDefault="00A602BA" w:rsidP="00A602BA">
            <w:pPr>
              <w:jc w:val="center"/>
            </w:pPr>
            <w:r w:rsidRPr="00CF3673">
              <w:t>13.4</w:t>
            </w:r>
          </w:p>
        </w:tc>
        <w:tc>
          <w:tcPr>
            <w:tcW w:w="583" w:type="dxa"/>
            <w:tcBorders>
              <w:top w:val="nil"/>
              <w:bottom w:val="single" w:sz="4" w:space="0" w:color="auto"/>
            </w:tcBorders>
          </w:tcPr>
          <w:p w:rsidR="00A602BA" w:rsidRPr="00CF3673" w:rsidRDefault="00A602BA" w:rsidP="00A602BA">
            <w:pPr>
              <w:jc w:val="center"/>
            </w:pPr>
            <w:r w:rsidRPr="00CF3673">
              <w:t>591</w:t>
            </w:r>
          </w:p>
        </w:tc>
      </w:tr>
      <w:tr w:rsidR="00A602BA" w:rsidRPr="00CF3673" w:rsidTr="00A602BA">
        <w:trPr>
          <w:trHeight w:val="290"/>
          <w:jc w:val="center"/>
        </w:trPr>
        <w:tc>
          <w:tcPr>
            <w:tcW w:w="2899" w:type="dxa"/>
            <w:tcBorders>
              <w:top w:val="single" w:sz="4" w:space="0" w:color="auto"/>
            </w:tcBorders>
          </w:tcPr>
          <w:p w:rsidR="00A602BA" w:rsidRPr="00CF3673" w:rsidRDefault="0072412E" w:rsidP="0072412E">
            <w:r w:rsidRPr="00CF3673">
              <w:t>Alimentação</w:t>
            </w:r>
            <w:r w:rsidR="00A602BA" w:rsidRPr="00CF3673">
              <w:t xml:space="preserve">, </w:t>
            </w:r>
            <w:r w:rsidRPr="00CF3673">
              <w:t>Bebidas</w:t>
            </w:r>
            <w:r w:rsidR="00A602BA" w:rsidRPr="00CF3673">
              <w:t>, T</w:t>
            </w:r>
            <w:r w:rsidRPr="00CF3673">
              <w:t>a</w:t>
            </w:r>
            <w:r w:rsidR="00A602BA" w:rsidRPr="00CF3673">
              <w:t>baco</w:t>
            </w:r>
          </w:p>
        </w:tc>
        <w:tc>
          <w:tcPr>
            <w:tcW w:w="2064" w:type="dxa"/>
            <w:tcBorders>
              <w:top w:val="single" w:sz="4" w:space="0" w:color="auto"/>
            </w:tcBorders>
          </w:tcPr>
          <w:p w:rsidR="00A602BA" w:rsidRPr="00CF3673" w:rsidRDefault="00A602BA" w:rsidP="00A602BA">
            <w:pPr>
              <w:jc w:val="center"/>
            </w:pPr>
            <w:r w:rsidRPr="00CF3673">
              <w:t>11.0</w:t>
            </w:r>
          </w:p>
        </w:tc>
        <w:tc>
          <w:tcPr>
            <w:tcW w:w="1937" w:type="dxa"/>
            <w:tcBorders>
              <w:top w:val="single" w:sz="4" w:space="0" w:color="auto"/>
            </w:tcBorders>
          </w:tcPr>
          <w:p w:rsidR="00A602BA" w:rsidRPr="00CF3673" w:rsidRDefault="00A602BA" w:rsidP="00A602BA">
            <w:pPr>
              <w:jc w:val="center"/>
            </w:pPr>
            <w:r w:rsidRPr="00CF3673">
              <w:t>12.6</w:t>
            </w:r>
          </w:p>
        </w:tc>
        <w:tc>
          <w:tcPr>
            <w:tcW w:w="583" w:type="dxa"/>
            <w:tcBorders>
              <w:top w:val="single" w:sz="4" w:space="0" w:color="auto"/>
            </w:tcBorders>
          </w:tcPr>
          <w:p w:rsidR="00A602BA" w:rsidRPr="00CF3673" w:rsidRDefault="00A602BA" w:rsidP="00A602BA">
            <w:pPr>
              <w:jc w:val="center"/>
            </w:pPr>
            <w:r w:rsidRPr="00CF3673">
              <w:t>127</w:t>
            </w:r>
          </w:p>
        </w:tc>
      </w:tr>
      <w:tr w:rsidR="00A602BA" w:rsidRPr="00CF3673" w:rsidTr="00A602BA">
        <w:trPr>
          <w:trHeight w:val="290"/>
          <w:jc w:val="center"/>
        </w:trPr>
        <w:tc>
          <w:tcPr>
            <w:tcW w:w="2899" w:type="dxa"/>
          </w:tcPr>
          <w:p w:rsidR="00A602BA" w:rsidRPr="00CF3673" w:rsidRDefault="006A4724" w:rsidP="0072412E">
            <w:r w:rsidRPr="00CF3673">
              <w:t>Têxteis</w:t>
            </w:r>
          </w:p>
        </w:tc>
        <w:tc>
          <w:tcPr>
            <w:tcW w:w="2064" w:type="dxa"/>
          </w:tcPr>
          <w:p w:rsidR="00A602BA" w:rsidRPr="00CF3673" w:rsidRDefault="00A602BA" w:rsidP="00A602BA">
            <w:pPr>
              <w:jc w:val="center"/>
            </w:pPr>
            <w:r w:rsidRPr="00CF3673">
              <w:t>11.1</w:t>
            </w:r>
          </w:p>
        </w:tc>
        <w:tc>
          <w:tcPr>
            <w:tcW w:w="1937" w:type="dxa"/>
          </w:tcPr>
          <w:p w:rsidR="00A602BA" w:rsidRPr="00CF3673" w:rsidRDefault="00A602BA" w:rsidP="00A602BA">
            <w:pPr>
              <w:jc w:val="center"/>
            </w:pPr>
            <w:r w:rsidRPr="00CF3673">
              <w:t>22.2</w:t>
            </w:r>
          </w:p>
        </w:tc>
        <w:tc>
          <w:tcPr>
            <w:tcW w:w="583" w:type="dxa"/>
          </w:tcPr>
          <w:p w:rsidR="00A602BA" w:rsidRPr="00CF3673" w:rsidRDefault="00A602BA" w:rsidP="00A602BA">
            <w:pPr>
              <w:jc w:val="center"/>
            </w:pPr>
            <w:r w:rsidRPr="00CF3673">
              <w:t>9</w:t>
            </w:r>
          </w:p>
        </w:tc>
      </w:tr>
      <w:tr w:rsidR="00A602BA" w:rsidRPr="00CF3673" w:rsidTr="00A602BA">
        <w:trPr>
          <w:trHeight w:val="290"/>
          <w:jc w:val="center"/>
        </w:trPr>
        <w:tc>
          <w:tcPr>
            <w:tcW w:w="2899" w:type="dxa"/>
          </w:tcPr>
          <w:p w:rsidR="00A602BA" w:rsidRPr="00CF3673" w:rsidRDefault="0072412E" w:rsidP="0072412E">
            <w:r w:rsidRPr="00CF3673">
              <w:t>Vestuário e Calçado</w:t>
            </w:r>
          </w:p>
        </w:tc>
        <w:tc>
          <w:tcPr>
            <w:tcW w:w="2064" w:type="dxa"/>
          </w:tcPr>
          <w:p w:rsidR="00A602BA" w:rsidRPr="00CF3673" w:rsidRDefault="00A602BA" w:rsidP="00A602BA">
            <w:pPr>
              <w:jc w:val="center"/>
            </w:pPr>
            <w:r w:rsidRPr="00CF3673">
              <w:t>9.9</w:t>
            </w:r>
          </w:p>
        </w:tc>
        <w:tc>
          <w:tcPr>
            <w:tcW w:w="1937" w:type="dxa"/>
          </w:tcPr>
          <w:p w:rsidR="00A602BA" w:rsidRPr="00CF3673" w:rsidRDefault="00A602BA" w:rsidP="00A602BA">
            <w:pPr>
              <w:jc w:val="center"/>
            </w:pPr>
            <w:r w:rsidRPr="00CF3673">
              <w:t>9.9</w:t>
            </w:r>
          </w:p>
        </w:tc>
        <w:tc>
          <w:tcPr>
            <w:tcW w:w="583" w:type="dxa"/>
          </w:tcPr>
          <w:p w:rsidR="00A602BA" w:rsidRPr="00CF3673" w:rsidRDefault="00A602BA" w:rsidP="00A602BA">
            <w:pPr>
              <w:jc w:val="center"/>
            </w:pPr>
            <w:r w:rsidRPr="00CF3673">
              <w:t>91</w:t>
            </w:r>
          </w:p>
        </w:tc>
      </w:tr>
      <w:tr w:rsidR="00A602BA" w:rsidRPr="00CF3673" w:rsidTr="00A602BA">
        <w:trPr>
          <w:trHeight w:val="290"/>
          <w:jc w:val="center"/>
        </w:trPr>
        <w:tc>
          <w:tcPr>
            <w:tcW w:w="2899" w:type="dxa"/>
          </w:tcPr>
          <w:p w:rsidR="00A602BA" w:rsidRPr="00CF3673" w:rsidRDefault="0072412E" w:rsidP="0072412E">
            <w:r w:rsidRPr="00CF3673">
              <w:t xml:space="preserve">Madeira e Papel </w:t>
            </w:r>
          </w:p>
        </w:tc>
        <w:tc>
          <w:tcPr>
            <w:tcW w:w="2064" w:type="dxa"/>
          </w:tcPr>
          <w:p w:rsidR="00A602BA" w:rsidRPr="00CF3673" w:rsidRDefault="00A602BA" w:rsidP="00A602BA">
            <w:pPr>
              <w:jc w:val="center"/>
            </w:pPr>
            <w:r w:rsidRPr="00CF3673">
              <w:t>16.3</w:t>
            </w:r>
          </w:p>
        </w:tc>
        <w:tc>
          <w:tcPr>
            <w:tcW w:w="1937" w:type="dxa"/>
          </w:tcPr>
          <w:p w:rsidR="00A602BA" w:rsidRPr="00CF3673" w:rsidRDefault="00A602BA" w:rsidP="00A602BA">
            <w:pPr>
              <w:jc w:val="center"/>
            </w:pPr>
            <w:r w:rsidRPr="00CF3673">
              <w:t>17.3</w:t>
            </w:r>
          </w:p>
        </w:tc>
        <w:tc>
          <w:tcPr>
            <w:tcW w:w="583" w:type="dxa"/>
          </w:tcPr>
          <w:p w:rsidR="00A602BA" w:rsidRPr="00CF3673" w:rsidRDefault="00A602BA" w:rsidP="00A602BA">
            <w:pPr>
              <w:jc w:val="center"/>
            </w:pPr>
            <w:r w:rsidRPr="00CF3673">
              <w:t>98</w:t>
            </w:r>
          </w:p>
        </w:tc>
      </w:tr>
      <w:tr w:rsidR="00A602BA" w:rsidRPr="00CF3673" w:rsidTr="00A602BA">
        <w:trPr>
          <w:trHeight w:val="290"/>
          <w:jc w:val="center"/>
        </w:trPr>
        <w:tc>
          <w:tcPr>
            <w:tcW w:w="2899" w:type="dxa"/>
          </w:tcPr>
          <w:p w:rsidR="00A602BA" w:rsidRPr="00CF3673" w:rsidRDefault="00A602BA" w:rsidP="0072412E">
            <w:r w:rsidRPr="00CF3673">
              <w:t>Publi</w:t>
            </w:r>
            <w:r w:rsidR="0072412E" w:rsidRPr="00CF3673">
              <w:t>cação e Impressão</w:t>
            </w:r>
          </w:p>
        </w:tc>
        <w:tc>
          <w:tcPr>
            <w:tcW w:w="2064" w:type="dxa"/>
          </w:tcPr>
          <w:p w:rsidR="00A602BA" w:rsidRPr="00CF3673" w:rsidRDefault="00A602BA" w:rsidP="00A602BA">
            <w:pPr>
              <w:jc w:val="center"/>
            </w:pPr>
            <w:r w:rsidRPr="00CF3673">
              <w:t>5.9</w:t>
            </w:r>
          </w:p>
        </w:tc>
        <w:tc>
          <w:tcPr>
            <w:tcW w:w="1937" w:type="dxa"/>
          </w:tcPr>
          <w:p w:rsidR="00A602BA" w:rsidRPr="00CF3673" w:rsidRDefault="00A602BA" w:rsidP="00A602BA">
            <w:pPr>
              <w:jc w:val="center"/>
            </w:pPr>
            <w:r w:rsidRPr="00CF3673">
              <w:t>0.0</w:t>
            </w:r>
          </w:p>
        </w:tc>
        <w:tc>
          <w:tcPr>
            <w:tcW w:w="583" w:type="dxa"/>
          </w:tcPr>
          <w:p w:rsidR="00A602BA" w:rsidRPr="00CF3673" w:rsidRDefault="00A602BA" w:rsidP="00A602BA">
            <w:pPr>
              <w:jc w:val="center"/>
            </w:pPr>
            <w:r w:rsidRPr="00CF3673">
              <w:t>17</w:t>
            </w:r>
          </w:p>
        </w:tc>
      </w:tr>
      <w:tr w:rsidR="00A602BA" w:rsidRPr="00CF3673" w:rsidTr="00A602BA">
        <w:trPr>
          <w:trHeight w:val="290"/>
          <w:jc w:val="center"/>
        </w:trPr>
        <w:tc>
          <w:tcPr>
            <w:tcW w:w="2899" w:type="dxa"/>
          </w:tcPr>
          <w:p w:rsidR="00A602BA" w:rsidRPr="00CF3673" w:rsidRDefault="0072412E" w:rsidP="0072412E">
            <w:r w:rsidRPr="00CF3673">
              <w:t>Químicos</w:t>
            </w:r>
            <w:r w:rsidR="00A602BA" w:rsidRPr="00CF3673">
              <w:t xml:space="preserve">, </w:t>
            </w:r>
            <w:r w:rsidRPr="00CF3673">
              <w:t>Borracha</w:t>
            </w:r>
            <w:r w:rsidR="00A602BA" w:rsidRPr="00CF3673">
              <w:t xml:space="preserve">, </w:t>
            </w:r>
            <w:r w:rsidR="006A4724" w:rsidRPr="00CF3673">
              <w:t>Plástico</w:t>
            </w:r>
          </w:p>
        </w:tc>
        <w:tc>
          <w:tcPr>
            <w:tcW w:w="2064" w:type="dxa"/>
          </w:tcPr>
          <w:p w:rsidR="00A602BA" w:rsidRPr="00CF3673" w:rsidRDefault="00A602BA" w:rsidP="00A602BA">
            <w:pPr>
              <w:jc w:val="center"/>
            </w:pPr>
            <w:r w:rsidRPr="00CF3673">
              <w:t>20.0</w:t>
            </w:r>
          </w:p>
        </w:tc>
        <w:tc>
          <w:tcPr>
            <w:tcW w:w="1937" w:type="dxa"/>
          </w:tcPr>
          <w:p w:rsidR="00A602BA" w:rsidRPr="00CF3673" w:rsidRDefault="00A602BA" w:rsidP="00A602BA">
            <w:pPr>
              <w:jc w:val="center"/>
            </w:pPr>
            <w:r w:rsidRPr="00CF3673">
              <w:t>20.0</w:t>
            </w:r>
          </w:p>
        </w:tc>
        <w:tc>
          <w:tcPr>
            <w:tcW w:w="583" w:type="dxa"/>
          </w:tcPr>
          <w:p w:rsidR="00A602BA" w:rsidRPr="00CF3673" w:rsidRDefault="00A602BA" w:rsidP="00A602BA">
            <w:pPr>
              <w:jc w:val="center"/>
            </w:pPr>
            <w:r w:rsidRPr="00CF3673">
              <w:t>10</w:t>
            </w:r>
          </w:p>
        </w:tc>
      </w:tr>
      <w:tr w:rsidR="00A602BA" w:rsidRPr="00CF3673" w:rsidTr="00A602BA">
        <w:trPr>
          <w:trHeight w:val="290"/>
          <w:jc w:val="center"/>
        </w:trPr>
        <w:tc>
          <w:tcPr>
            <w:tcW w:w="2899" w:type="dxa"/>
          </w:tcPr>
          <w:p w:rsidR="00A602BA" w:rsidRPr="00CF3673" w:rsidRDefault="0072412E" w:rsidP="0072412E">
            <w:r w:rsidRPr="00CF3673">
              <w:t>Minerais não-metálicos</w:t>
            </w:r>
          </w:p>
        </w:tc>
        <w:tc>
          <w:tcPr>
            <w:tcW w:w="2064" w:type="dxa"/>
          </w:tcPr>
          <w:p w:rsidR="00A602BA" w:rsidRPr="00CF3673" w:rsidRDefault="00A602BA" w:rsidP="00A602BA">
            <w:pPr>
              <w:jc w:val="center"/>
            </w:pPr>
            <w:r w:rsidRPr="00CF3673">
              <w:t>6.3</w:t>
            </w:r>
          </w:p>
        </w:tc>
        <w:tc>
          <w:tcPr>
            <w:tcW w:w="1937" w:type="dxa"/>
          </w:tcPr>
          <w:p w:rsidR="00A602BA" w:rsidRPr="00CF3673" w:rsidRDefault="00A602BA" w:rsidP="00A602BA">
            <w:pPr>
              <w:jc w:val="center"/>
            </w:pPr>
            <w:r w:rsidRPr="00CF3673">
              <w:t>7.8</w:t>
            </w:r>
          </w:p>
        </w:tc>
        <w:tc>
          <w:tcPr>
            <w:tcW w:w="583" w:type="dxa"/>
          </w:tcPr>
          <w:p w:rsidR="00A602BA" w:rsidRPr="00CF3673" w:rsidRDefault="00A602BA" w:rsidP="00A602BA">
            <w:pPr>
              <w:jc w:val="center"/>
            </w:pPr>
            <w:r w:rsidRPr="00CF3673">
              <w:t>64</w:t>
            </w:r>
          </w:p>
        </w:tc>
      </w:tr>
      <w:tr w:rsidR="00A602BA" w:rsidRPr="00CF3673" w:rsidTr="00A602BA">
        <w:trPr>
          <w:trHeight w:val="290"/>
          <w:jc w:val="center"/>
        </w:trPr>
        <w:tc>
          <w:tcPr>
            <w:tcW w:w="2899" w:type="dxa"/>
          </w:tcPr>
          <w:p w:rsidR="00A602BA" w:rsidRPr="00CF3673" w:rsidRDefault="0072412E" w:rsidP="0072412E">
            <w:proofErr w:type="spellStart"/>
            <w:r w:rsidRPr="00CF3673">
              <w:t>Materias</w:t>
            </w:r>
            <w:proofErr w:type="spellEnd"/>
            <w:r w:rsidRPr="00CF3673">
              <w:t xml:space="preserve"> metálicos fabricados</w:t>
            </w:r>
          </w:p>
        </w:tc>
        <w:tc>
          <w:tcPr>
            <w:tcW w:w="2064" w:type="dxa"/>
          </w:tcPr>
          <w:p w:rsidR="00A602BA" w:rsidRPr="00CF3673" w:rsidRDefault="00A602BA" w:rsidP="00A602BA">
            <w:pPr>
              <w:jc w:val="center"/>
            </w:pPr>
            <w:r w:rsidRPr="00CF3673">
              <w:t>15.4</w:t>
            </w:r>
          </w:p>
        </w:tc>
        <w:tc>
          <w:tcPr>
            <w:tcW w:w="1937" w:type="dxa"/>
          </w:tcPr>
          <w:p w:rsidR="00A602BA" w:rsidRPr="00CF3673" w:rsidRDefault="00A602BA" w:rsidP="00A602BA">
            <w:pPr>
              <w:jc w:val="center"/>
            </w:pPr>
            <w:r w:rsidRPr="00CF3673">
              <w:t>13.0</w:t>
            </w:r>
          </w:p>
        </w:tc>
        <w:tc>
          <w:tcPr>
            <w:tcW w:w="583" w:type="dxa"/>
          </w:tcPr>
          <w:p w:rsidR="00A602BA" w:rsidRPr="00CF3673" w:rsidRDefault="00A602BA" w:rsidP="00A602BA">
            <w:pPr>
              <w:jc w:val="center"/>
            </w:pPr>
            <w:r w:rsidRPr="00CF3673">
              <w:t>162</w:t>
            </w:r>
          </w:p>
        </w:tc>
      </w:tr>
      <w:tr w:rsidR="00A602BA" w:rsidRPr="00CF3673" w:rsidTr="00A602BA">
        <w:trPr>
          <w:trHeight w:val="290"/>
          <w:jc w:val="center"/>
        </w:trPr>
        <w:tc>
          <w:tcPr>
            <w:tcW w:w="2899" w:type="dxa"/>
          </w:tcPr>
          <w:p w:rsidR="00A602BA" w:rsidRPr="00CF3673" w:rsidRDefault="00A602BA" w:rsidP="0072412E">
            <w:proofErr w:type="spellStart"/>
            <w:r w:rsidRPr="00CF3673">
              <w:t>Ma</w:t>
            </w:r>
            <w:r w:rsidR="0072412E" w:rsidRPr="00CF3673">
              <w:t>quinaria</w:t>
            </w:r>
            <w:r w:rsidRPr="00CF3673">
              <w:t>etc</w:t>
            </w:r>
            <w:proofErr w:type="spellEnd"/>
            <w:r w:rsidRPr="00CF3673">
              <w:t>.</w:t>
            </w:r>
          </w:p>
        </w:tc>
        <w:tc>
          <w:tcPr>
            <w:tcW w:w="2064" w:type="dxa"/>
          </w:tcPr>
          <w:p w:rsidR="00A602BA" w:rsidRPr="00CF3673" w:rsidRDefault="00A602BA" w:rsidP="00A602BA">
            <w:pPr>
              <w:jc w:val="center"/>
            </w:pPr>
            <w:r w:rsidRPr="00CF3673">
              <w:t>7.1</w:t>
            </w:r>
          </w:p>
        </w:tc>
        <w:tc>
          <w:tcPr>
            <w:tcW w:w="1937" w:type="dxa"/>
          </w:tcPr>
          <w:p w:rsidR="00A602BA" w:rsidRPr="00CF3673" w:rsidRDefault="00A602BA" w:rsidP="00A602BA">
            <w:pPr>
              <w:jc w:val="center"/>
            </w:pPr>
            <w:r w:rsidRPr="00CF3673">
              <w:t>7.1</w:t>
            </w:r>
          </w:p>
        </w:tc>
        <w:tc>
          <w:tcPr>
            <w:tcW w:w="583" w:type="dxa"/>
          </w:tcPr>
          <w:p w:rsidR="00A602BA" w:rsidRPr="00CF3673" w:rsidRDefault="00A602BA" w:rsidP="00A602BA">
            <w:pPr>
              <w:jc w:val="center"/>
            </w:pPr>
            <w:r w:rsidRPr="00CF3673">
              <w:t>14</w:t>
            </w:r>
          </w:p>
        </w:tc>
      </w:tr>
      <w:tr w:rsidR="00A602BA" w:rsidRPr="00CF3673" w:rsidTr="00A602BA">
        <w:trPr>
          <w:trHeight w:val="290"/>
          <w:jc w:val="center"/>
        </w:trPr>
        <w:tc>
          <w:tcPr>
            <w:tcW w:w="2899" w:type="dxa"/>
            <w:tcBorders>
              <w:bottom w:val="double" w:sz="4" w:space="0" w:color="auto"/>
            </w:tcBorders>
          </w:tcPr>
          <w:p w:rsidR="00A602BA" w:rsidRPr="00CF3673" w:rsidRDefault="006A4724" w:rsidP="0072412E">
            <w:r w:rsidRPr="00CF3673">
              <w:t>Mobília</w:t>
            </w:r>
            <w:r w:rsidR="00A602BA" w:rsidRPr="00CF3673">
              <w:t xml:space="preserve"> &amp; </w:t>
            </w:r>
            <w:r w:rsidR="0072412E" w:rsidRPr="00CF3673">
              <w:t>Manufacturas</w:t>
            </w:r>
          </w:p>
        </w:tc>
        <w:tc>
          <w:tcPr>
            <w:tcW w:w="2064" w:type="dxa"/>
            <w:tcBorders>
              <w:bottom w:val="double" w:sz="4" w:space="0" w:color="auto"/>
            </w:tcBorders>
          </w:tcPr>
          <w:p w:rsidR="00A602BA" w:rsidRPr="00CF3673" w:rsidRDefault="00A602BA" w:rsidP="00A602BA">
            <w:pPr>
              <w:jc w:val="center"/>
            </w:pPr>
            <w:r w:rsidRPr="00CF3673">
              <w:t>14.0</w:t>
            </w:r>
          </w:p>
        </w:tc>
        <w:tc>
          <w:tcPr>
            <w:tcW w:w="1937" w:type="dxa"/>
            <w:tcBorders>
              <w:bottom w:val="double" w:sz="4" w:space="0" w:color="auto"/>
            </w:tcBorders>
          </w:tcPr>
          <w:p w:rsidR="00A602BA" w:rsidRPr="00CF3673" w:rsidRDefault="00A602BA" w:rsidP="00A602BA">
            <w:pPr>
              <w:jc w:val="center"/>
            </w:pPr>
            <w:r w:rsidRPr="00CF3673">
              <w:t>15.9</w:t>
            </w:r>
          </w:p>
        </w:tc>
        <w:tc>
          <w:tcPr>
            <w:tcW w:w="583" w:type="dxa"/>
            <w:tcBorders>
              <w:bottom w:val="double" w:sz="4" w:space="0" w:color="auto"/>
            </w:tcBorders>
          </w:tcPr>
          <w:p w:rsidR="00A602BA" w:rsidRPr="00CF3673" w:rsidRDefault="00A602BA" w:rsidP="00A602BA">
            <w:pPr>
              <w:jc w:val="center"/>
            </w:pPr>
            <w:r w:rsidRPr="00CF3673">
              <w:t>164</w:t>
            </w:r>
          </w:p>
        </w:tc>
      </w:tr>
      <w:tr w:rsidR="00A602BA" w:rsidRPr="00CF3673" w:rsidTr="00A602BA">
        <w:trPr>
          <w:trHeight w:val="290"/>
          <w:jc w:val="center"/>
        </w:trPr>
        <w:tc>
          <w:tcPr>
            <w:tcW w:w="7483" w:type="dxa"/>
            <w:gridSpan w:val="4"/>
            <w:tcBorders>
              <w:top w:val="double" w:sz="4" w:space="0" w:color="auto"/>
              <w:bottom w:val="nil"/>
            </w:tcBorders>
          </w:tcPr>
          <w:p w:rsidR="00A602BA" w:rsidRPr="00CF3673" w:rsidRDefault="0072412E" w:rsidP="0072412E">
            <w:pPr>
              <w:pStyle w:val="Tablenote"/>
              <w:rPr>
                <w:b/>
                <w:lang w:val="pt-PT"/>
              </w:rPr>
            </w:pPr>
            <w:r w:rsidRPr="00CF3673">
              <w:rPr>
                <w:b/>
                <w:lang w:val="pt-PT"/>
              </w:rPr>
              <w:t>Nota</w:t>
            </w:r>
            <w:r w:rsidR="00A602BA" w:rsidRPr="00CF3673">
              <w:rPr>
                <w:b/>
                <w:lang w:val="pt-PT"/>
              </w:rPr>
              <w:t>:</w:t>
            </w:r>
            <w:r w:rsidR="00A602BA" w:rsidRPr="00CF3673">
              <w:rPr>
                <w:lang w:val="pt-PT"/>
              </w:rPr>
              <w:t xml:space="preserve"> </w:t>
            </w:r>
            <w:r w:rsidRPr="00CF3673">
              <w:rPr>
                <w:lang w:val="pt-PT"/>
              </w:rPr>
              <w:t>5 observações em falta</w:t>
            </w:r>
          </w:p>
        </w:tc>
      </w:tr>
      <w:tr w:rsidR="00A602BA" w:rsidRPr="00CF3673" w:rsidTr="00A602BA">
        <w:trPr>
          <w:trHeight w:val="290"/>
          <w:jc w:val="center"/>
        </w:trPr>
        <w:tc>
          <w:tcPr>
            <w:tcW w:w="7483" w:type="dxa"/>
            <w:gridSpan w:val="4"/>
            <w:tcBorders>
              <w:top w:val="nil"/>
              <w:bottom w:val="nil"/>
            </w:tcBorders>
          </w:tcPr>
          <w:p w:rsidR="00A602BA" w:rsidRPr="00CF3673" w:rsidRDefault="0072412E" w:rsidP="0072412E">
            <w:pPr>
              <w:pStyle w:val="Tablenote"/>
              <w:rPr>
                <w:b/>
                <w:lang w:val="pt-PT"/>
              </w:rPr>
            </w:pPr>
            <w:r w:rsidRPr="00CF3673">
              <w:rPr>
                <w:b/>
                <w:lang w:val="pt-PT"/>
              </w:rPr>
              <w:t>Fonte</w:t>
            </w:r>
            <w:r w:rsidR="00A602BA" w:rsidRPr="00CF3673">
              <w:rPr>
                <w:b/>
                <w:lang w:val="pt-PT"/>
              </w:rPr>
              <w:t>:</w:t>
            </w:r>
            <w:r w:rsidR="00A602BA" w:rsidRPr="00CF3673">
              <w:rPr>
                <w:lang w:val="pt-PT"/>
              </w:rPr>
              <w:t xml:space="preserve"> </w:t>
            </w:r>
            <w:r w:rsidR="006A4724" w:rsidRPr="00CF3673">
              <w:rPr>
                <w:lang w:val="pt-PT"/>
              </w:rPr>
              <w:t>Cálculos</w:t>
            </w:r>
            <w:r w:rsidRPr="00CF3673">
              <w:rPr>
                <w:lang w:val="pt-PT"/>
              </w:rPr>
              <w:t xml:space="preserve"> dos autores usando </w:t>
            </w:r>
            <w:r w:rsidR="00A602BA" w:rsidRPr="00CF3673">
              <w:rPr>
                <w:lang w:val="pt-PT"/>
              </w:rPr>
              <w:t>IIM 2012.</w:t>
            </w:r>
          </w:p>
        </w:tc>
      </w:tr>
    </w:tbl>
    <w:p w:rsidR="000C5416" w:rsidRPr="00CF3673" w:rsidRDefault="000C5416" w:rsidP="001E664B">
      <w:pPr>
        <w:pStyle w:val="MainText"/>
        <w:rPr>
          <w:lang w:val="pt-PT"/>
        </w:rPr>
      </w:pPr>
    </w:p>
    <w:p w:rsidR="008728F0" w:rsidRPr="00CF3673" w:rsidRDefault="008728F0" w:rsidP="001E664B">
      <w:pPr>
        <w:pStyle w:val="MainText"/>
        <w:rPr>
          <w:lang w:val="pt-PT"/>
        </w:rPr>
      </w:pPr>
      <w:r w:rsidRPr="00CF3673">
        <w:rPr>
          <w:lang w:val="pt-PT"/>
        </w:rPr>
        <w:t xml:space="preserve">A figura 7.5 faz o seguimento do desenvolvimento da disponibilidade de matéria-prima durante um certo </w:t>
      </w:r>
      <w:r w:rsidR="006A4724" w:rsidRPr="00CF3673">
        <w:rPr>
          <w:lang w:val="pt-PT"/>
        </w:rPr>
        <w:t>período</w:t>
      </w:r>
      <w:r w:rsidRPr="00CF3673">
        <w:rPr>
          <w:lang w:val="pt-PT"/>
        </w:rPr>
        <w:t xml:space="preserve"> de tempo- a proporção das empresas que responde que as </w:t>
      </w:r>
      <w:r w:rsidR="002142F1" w:rsidRPr="00CF3673">
        <w:rPr>
          <w:lang w:val="pt-PT"/>
        </w:rPr>
        <w:t>matérias-primas</w:t>
      </w:r>
      <w:r w:rsidRPr="00CF3673">
        <w:rPr>
          <w:lang w:val="pt-PT"/>
        </w:rPr>
        <w:t xml:space="preserve"> não estão disponíveis em qualidade desejada foi mais de metade desde 2006 (a imagem não muda qualitativamente se verificar as quantidades). Em diapasão com as constatações na </w:t>
      </w:r>
      <w:r w:rsidR="006A4724" w:rsidRPr="00CF3673">
        <w:rPr>
          <w:lang w:val="pt-PT"/>
        </w:rPr>
        <w:t>figura</w:t>
      </w:r>
      <w:r w:rsidRPr="00CF3673">
        <w:rPr>
          <w:lang w:val="pt-PT"/>
        </w:rPr>
        <w:t xml:space="preserve"> 7.4, isto sugere que a situação da oferta melhorou substancialmente em </w:t>
      </w:r>
      <w:r w:rsidR="006A4724" w:rsidRPr="00CF3673">
        <w:rPr>
          <w:lang w:val="pt-PT"/>
        </w:rPr>
        <w:t>Moçambique</w:t>
      </w:r>
      <w:r w:rsidRPr="00CF3673">
        <w:rPr>
          <w:lang w:val="pt-PT"/>
        </w:rPr>
        <w:t>, o que mais uma vez reflecte melhoria nas ligações domesticas entre empresas no período desde 2006.</w:t>
      </w:r>
    </w:p>
    <w:p w:rsidR="0097438C" w:rsidRPr="00CF3673" w:rsidRDefault="0097438C" w:rsidP="00F41831">
      <w:pPr>
        <w:pStyle w:val="FigureTitle"/>
        <w:rPr>
          <w:lang w:val="pt-PT"/>
        </w:rPr>
      </w:pPr>
      <w:bookmarkStart w:id="50" w:name="_Toc360720522"/>
      <w:r w:rsidRPr="00CF3673">
        <w:rPr>
          <w:lang w:val="pt-PT"/>
        </w:rPr>
        <w:t>Figur</w:t>
      </w:r>
      <w:r w:rsidR="008728F0" w:rsidRPr="00CF3673">
        <w:rPr>
          <w:lang w:val="pt-PT"/>
        </w:rPr>
        <w:t>a</w:t>
      </w:r>
      <w:r w:rsidRPr="00CF3673">
        <w:rPr>
          <w:lang w:val="pt-PT"/>
        </w:rPr>
        <w:t xml:space="preserve"> </w:t>
      </w:r>
      <w:r w:rsidR="004D1585" w:rsidRPr="00CF3673">
        <w:rPr>
          <w:lang w:val="pt-PT"/>
        </w:rPr>
        <w:t>7</w:t>
      </w:r>
      <w:r w:rsidRPr="00CF3673">
        <w:rPr>
          <w:lang w:val="pt-PT"/>
        </w:rPr>
        <w:t>.</w:t>
      </w:r>
      <w:r w:rsidR="0082747F" w:rsidRPr="00CF3673">
        <w:rPr>
          <w:lang w:val="pt-PT"/>
        </w:rPr>
        <w:t>5</w:t>
      </w:r>
      <w:r w:rsidR="003B376C" w:rsidRPr="00CF3673">
        <w:rPr>
          <w:lang w:val="pt-PT"/>
        </w:rPr>
        <w:t xml:space="preserve">: </w:t>
      </w:r>
      <w:r w:rsidR="002142F1" w:rsidRPr="00CF3673">
        <w:rPr>
          <w:lang w:val="pt-PT"/>
        </w:rPr>
        <w:t xml:space="preserve">Contribuição das empresas referindo geralmente material prima não </w:t>
      </w:r>
      <w:r w:rsidR="006A4724" w:rsidRPr="00CF3673">
        <w:rPr>
          <w:lang w:val="pt-PT"/>
        </w:rPr>
        <w:t>disponível</w:t>
      </w:r>
      <w:r w:rsidR="0082747F" w:rsidRPr="00CF3673">
        <w:rPr>
          <w:lang w:val="pt-PT"/>
        </w:rPr>
        <w:t xml:space="preserve">, 2006-2011, </w:t>
      </w:r>
      <w:r w:rsidR="002142F1" w:rsidRPr="00CF3673">
        <w:rPr>
          <w:lang w:val="pt-PT"/>
        </w:rPr>
        <w:t>%</w:t>
      </w:r>
      <w:r w:rsidR="0082747F" w:rsidRPr="00CF3673">
        <w:rPr>
          <w:lang w:val="pt-PT"/>
        </w:rPr>
        <w:t>.</w:t>
      </w:r>
      <w:bookmarkEnd w:id="50"/>
    </w:p>
    <w:tbl>
      <w:tblPr>
        <w:tblStyle w:val="SrensTable"/>
        <w:tblpPr w:leftFromText="141" w:rightFromText="141" w:vertAnchor="text" w:horzAnchor="page" w:tblpX="2505" w:tblpY="3770"/>
        <w:tblW w:w="6900" w:type="dxa"/>
        <w:tblLook w:val="04A0" w:firstRow="1" w:lastRow="0" w:firstColumn="1" w:lastColumn="0" w:noHBand="0" w:noVBand="1"/>
      </w:tblPr>
      <w:tblGrid>
        <w:gridCol w:w="6900"/>
      </w:tblGrid>
      <w:tr w:rsidR="0082747F" w:rsidRPr="00CF3673" w:rsidTr="0082747F">
        <w:trPr>
          <w:trHeight w:val="319"/>
        </w:trPr>
        <w:tc>
          <w:tcPr>
            <w:tcW w:w="0" w:type="auto"/>
          </w:tcPr>
          <w:p w:rsidR="0082747F" w:rsidRPr="00CF3673" w:rsidRDefault="0082747F" w:rsidP="0072412E">
            <w:pPr>
              <w:pStyle w:val="Tablenote"/>
              <w:rPr>
                <w:b/>
                <w:lang w:val="pt-PT"/>
              </w:rPr>
            </w:pPr>
            <w:r w:rsidRPr="00CF3673">
              <w:rPr>
                <w:b/>
                <w:lang w:val="pt-PT"/>
              </w:rPr>
              <w:t>Not</w:t>
            </w:r>
            <w:r w:rsidR="0072412E" w:rsidRPr="00CF3673">
              <w:rPr>
                <w:b/>
                <w:lang w:val="pt-PT"/>
              </w:rPr>
              <w:t>a</w:t>
            </w:r>
            <w:r w:rsidRPr="00CF3673">
              <w:rPr>
                <w:b/>
                <w:lang w:val="pt-PT"/>
              </w:rPr>
              <w:t>:</w:t>
            </w:r>
            <w:r w:rsidRPr="00CF3673">
              <w:rPr>
                <w:lang w:val="pt-PT"/>
              </w:rPr>
              <w:t xml:space="preserve"> </w:t>
            </w:r>
            <w:r w:rsidR="00045A06" w:rsidRPr="00CF3673">
              <w:rPr>
                <w:lang w:val="pt-PT"/>
              </w:rPr>
              <w:t xml:space="preserve"> </w:t>
            </w:r>
            <w:r w:rsidR="0072412E" w:rsidRPr="00CF3673">
              <w:rPr>
                <w:lang w:val="pt-PT"/>
              </w:rPr>
              <w:t>Painel equilibrado</w:t>
            </w:r>
            <w:r w:rsidR="00045A06" w:rsidRPr="00CF3673">
              <w:rPr>
                <w:lang w:val="pt-PT"/>
              </w:rPr>
              <w:t xml:space="preserve">, i.e. </w:t>
            </w:r>
            <w:r w:rsidR="0072412E" w:rsidRPr="00CF3673">
              <w:rPr>
                <w:lang w:val="pt-PT"/>
              </w:rPr>
              <w:t xml:space="preserve">seguir a mesma empresa por um </w:t>
            </w:r>
            <w:r w:rsidR="006A4724" w:rsidRPr="00CF3673">
              <w:rPr>
                <w:lang w:val="pt-PT"/>
              </w:rPr>
              <w:t>período</w:t>
            </w:r>
            <w:r w:rsidR="0072412E" w:rsidRPr="00CF3673">
              <w:rPr>
                <w:lang w:val="pt-PT"/>
              </w:rPr>
              <w:t xml:space="preserve"> de tempo</w:t>
            </w:r>
            <w:r w:rsidR="00045A06" w:rsidRPr="00CF3673">
              <w:rPr>
                <w:lang w:val="pt-PT"/>
              </w:rPr>
              <w:t xml:space="preserve">. </w:t>
            </w:r>
            <w:r w:rsidR="0072412E" w:rsidRPr="00CF3673">
              <w:rPr>
                <w:lang w:val="pt-PT"/>
              </w:rPr>
              <w:t xml:space="preserve">Este indicador pode ser construído nos dados </w:t>
            </w:r>
            <w:r w:rsidRPr="00CF3673">
              <w:rPr>
                <w:lang w:val="pt-PT"/>
              </w:rPr>
              <w:t xml:space="preserve">ICA09 , </w:t>
            </w:r>
            <w:r w:rsidR="0072412E" w:rsidRPr="00CF3673">
              <w:rPr>
                <w:lang w:val="pt-PT"/>
              </w:rPr>
              <w:t>assim este número</w:t>
            </w:r>
            <w:r w:rsidR="006A4724" w:rsidRPr="00CF3673">
              <w:rPr>
                <w:lang w:val="pt-PT"/>
              </w:rPr>
              <w:t xml:space="preserve"> apenas incorpora</w:t>
            </w:r>
            <w:r w:rsidR="0072412E" w:rsidRPr="00CF3673">
              <w:rPr>
                <w:lang w:val="pt-PT"/>
              </w:rPr>
              <w:t xml:space="preserve"> empresas nos dados do </w:t>
            </w:r>
            <w:r w:rsidRPr="00CF3673">
              <w:rPr>
                <w:lang w:val="pt-PT"/>
              </w:rPr>
              <w:t xml:space="preserve">DNEAP (2006). </w:t>
            </w:r>
            <w:r w:rsidR="006A4724" w:rsidRPr="00CF3673">
              <w:rPr>
                <w:lang w:val="pt-PT"/>
              </w:rPr>
              <w:t>Número</w:t>
            </w:r>
            <w:r w:rsidRPr="00CF3673">
              <w:rPr>
                <w:lang w:val="pt-PT"/>
              </w:rPr>
              <w:t xml:space="preserve"> </w:t>
            </w:r>
            <w:r w:rsidR="0072412E" w:rsidRPr="00CF3673">
              <w:rPr>
                <w:lang w:val="pt-PT"/>
              </w:rPr>
              <w:t>de</w:t>
            </w:r>
            <w:r w:rsidRPr="00CF3673">
              <w:rPr>
                <w:lang w:val="pt-PT"/>
              </w:rPr>
              <w:t xml:space="preserve"> observa</w:t>
            </w:r>
            <w:r w:rsidR="0072412E" w:rsidRPr="00CF3673">
              <w:rPr>
                <w:lang w:val="pt-PT"/>
              </w:rPr>
              <w:t>ções</w:t>
            </w:r>
            <w:r w:rsidRPr="00CF3673">
              <w:rPr>
                <w:lang w:val="pt-PT"/>
              </w:rPr>
              <w:t xml:space="preserve">: 74 (1 </w:t>
            </w:r>
            <w:r w:rsidR="0072412E" w:rsidRPr="00CF3673">
              <w:rPr>
                <w:lang w:val="pt-PT"/>
              </w:rPr>
              <w:t>em falta</w:t>
            </w:r>
            <w:r w:rsidRPr="00CF3673">
              <w:rPr>
                <w:lang w:val="pt-PT"/>
              </w:rPr>
              <w:t>).</w:t>
            </w:r>
          </w:p>
        </w:tc>
      </w:tr>
      <w:tr w:rsidR="0082747F" w:rsidRPr="00CF3673" w:rsidTr="0082747F">
        <w:trPr>
          <w:trHeight w:val="319"/>
        </w:trPr>
        <w:tc>
          <w:tcPr>
            <w:tcW w:w="0" w:type="auto"/>
          </w:tcPr>
          <w:p w:rsidR="0082747F" w:rsidRPr="00CF3673" w:rsidRDefault="0072412E" w:rsidP="0072412E">
            <w:pPr>
              <w:pStyle w:val="Tablenote"/>
              <w:rPr>
                <w:b/>
                <w:lang w:val="pt-PT"/>
              </w:rPr>
            </w:pPr>
            <w:r w:rsidRPr="00CF3673">
              <w:rPr>
                <w:b/>
                <w:lang w:val="pt-PT"/>
              </w:rPr>
              <w:lastRenderedPageBreak/>
              <w:t>Fonte</w:t>
            </w:r>
            <w:r w:rsidR="0082747F" w:rsidRPr="00CF3673">
              <w:rPr>
                <w:b/>
                <w:lang w:val="pt-PT"/>
              </w:rPr>
              <w:t>:</w:t>
            </w:r>
            <w:r w:rsidR="0082747F" w:rsidRPr="00CF3673">
              <w:rPr>
                <w:lang w:val="pt-PT"/>
              </w:rPr>
              <w:t xml:space="preserve"> </w:t>
            </w:r>
            <w:r w:rsidR="006A4724" w:rsidRPr="00CF3673">
              <w:rPr>
                <w:lang w:val="pt-PT"/>
              </w:rPr>
              <w:t>Cálculos</w:t>
            </w:r>
            <w:r w:rsidRPr="00CF3673">
              <w:rPr>
                <w:lang w:val="pt-PT"/>
              </w:rPr>
              <w:t xml:space="preserve"> dos autores usando II</w:t>
            </w:r>
            <w:r w:rsidR="0082747F" w:rsidRPr="00CF3673">
              <w:rPr>
                <w:lang w:val="pt-PT"/>
              </w:rPr>
              <w:t xml:space="preserve">M 2012 </w:t>
            </w:r>
            <w:r w:rsidRPr="00CF3673">
              <w:rPr>
                <w:lang w:val="pt-PT"/>
              </w:rPr>
              <w:t>e</w:t>
            </w:r>
            <w:r w:rsidR="0082747F" w:rsidRPr="00CF3673">
              <w:rPr>
                <w:lang w:val="pt-PT"/>
              </w:rPr>
              <w:t xml:space="preserve"> DNEAP (2006).</w:t>
            </w:r>
          </w:p>
        </w:tc>
      </w:tr>
    </w:tbl>
    <w:p w:rsidR="001F7695" w:rsidRPr="00CF3673" w:rsidRDefault="001F7695" w:rsidP="0082747F">
      <w:pPr>
        <w:spacing w:after="0"/>
        <w:jc w:val="center"/>
      </w:pPr>
      <w:r w:rsidRPr="00CF3673">
        <w:rPr>
          <w:noProof/>
          <w:lang w:val="en-US"/>
        </w:rPr>
        <w:drawing>
          <wp:inline distT="0" distB="0" distL="0" distR="0" wp14:anchorId="277F6E7C" wp14:editId="5EBE5992">
            <wp:extent cx="4253023" cy="2317897"/>
            <wp:effectExtent l="0" t="0" r="14605" b="2540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82747F" w:rsidRPr="00CF3673" w:rsidRDefault="0082747F" w:rsidP="00B03046"/>
    <w:p w:rsidR="0082747F" w:rsidRPr="00CF3673" w:rsidRDefault="0082747F" w:rsidP="00A93F3A">
      <w:pPr>
        <w:pStyle w:val="Tablenote"/>
        <w:rPr>
          <w:lang w:val="pt-PT"/>
        </w:rPr>
      </w:pPr>
    </w:p>
    <w:p w:rsidR="0082747F" w:rsidRPr="00CF3673" w:rsidRDefault="0082747F" w:rsidP="00A93F3A">
      <w:pPr>
        <w:pStyle w:val="Tablenote"/>
        <w:rPr>
          <w:lang w:val="pt-PT"/>
        </w:rPr>
      </w:pPr>
    </w:p>
    <w:p w:rsidR="005A0BC4" w:rsidRPr="00CF3673" w:rsidRDefault="005A0BC4">
      <w:pPr>
        <w:rPr>
          <w:b/>
          <w:u w:val="single"/>
        </w:rPr>
      </w:pPr>
    </w:p>
    <w:p w:rsidR="002A1B40" w:rsidRPr="00CF3673" w:rsidRDefault="002A1B40">
      <w:pPr>
        <w:rPr>
          <w:rFonts w:asciiTheme="majorHAnsi" w:hAnsiTheme="majorHAnsi"/>
          <w:b/>
          <w:sz w:val="28"/>
        </w:rPr>
      </w:pPr>
      <w:bookmarkStart w:id="51" w:name="_Toc350758918"/>
      <w:r w:rsidRPr="00CF3673">
        <w:br w:type="page"/>
      </w:r>
    </w:p>
    <w:p w:rsidR="00376503" w:rsidRPr="00CF3673" w:rsidRDefault="00376503" w:rsidP="001E664B">
      <w:pPr>
        <w:pStyle w:val="ChapterTitle"/>
        <w:rPr>
          <w:lang w:val="pt-PT"/>
        </w:rPr>
      </w:pPr>
      <w:bookmarkStart w:id="52" w:name="_Toc360720401"/>
      <w:r w:rsidRPr="00CF3673">
        <w:rPr>
          <w:lang w:val="pt-PT"/>
        </w:rPr>
        <w:lastRenderedPageBreak/>
        <w:t xml:space="preserve">8. </w:t>
      </w:r>
      <w:r w:rsidR="00767CF4" w:rsidRPr="00CF3673">
        <w:rPr>
          <w:lang w:val="pt-PT"/>
        </w:rPr>
        <w:t>Redes Sociais</w:t>
      </w:r>
      <w:bookmarkEnd w:id="51"/>
      <w:bookmarkEnd w:id="52"/>
    </w:p>
    <w:p w:rsidR="00A5499F" w:rsidRPr="00CF3673" w:rsidRDefault="00A5499F" w:rsidP="001E664B">
      <w:pPr>
        <w:pStyle w:val="MainText"/>
        <w:rPr>
          <w:lang w:val="pt-PT"/>
        </w:rPr>
      </w:pPr>
      <w:r w:rsidRPr="00CF3673">
        <w:rPr>
          <w:lang w:val="pt-PT"/>
        </w:rPr>
        <w:t>Este capítulo cobre vários aspectos sobre as redes sociais das empresas incluindo o tamanho d</w:t>
      </w:r>
      <w:r w:rsidR="00D723D3" w:rsidRPr="00CF3673">
        <w:rPr>
          <w:lang w:val="pt-PT"/>
        </w:rPr>
        <w:t xml:space="preserve">a rede de </w:t>
      </w:r>
      <w:r w:rsidR="006A4724" w:rsidRPr="00CF3673">
        <w:rPr>
          <w:lang w:val="pt-PT"/>
        </w:rPr>
        <w:t>negócios</w:t>
      </w:r>
      <w:r w:rsidR="00D723D3" w:rsidRPr="00CF3673">
        <w:rPr>
          <w:lang w:val="pt-PT"/>
        </w:rPr>
        <w:t xml:space="preserve"> da empresa, a composição e diversidade das relações e os seus efeitos no crescimento da empresa e inovação. A análise é baseada na informação dada na </w:t>
      </w:r>
      <w:r w:rsidR="00F349F1" w:rsidRPr="00CF3673">
        <w:rPr>
          <w:lang w:val="pt-PT"/>
        </w:rPr>
        <w:t xml:space="preserve">secção relativa à rede social do IIM2012 ao mesmo tempo que incorpora questões relativas inovação e membros nas associações </w:t>
      </w:r>
      <w:r w:rsidR="006A4724" w:rsidRPr="00CF3673">
        <w:rPr>
          <w:lang w:val="pt-PT"/>
        </w:rPr>
        <w:t>económicas</w:t>
      </w:r>
      <w:r w:rsidR="00F349F1" w:rsidRPr="00CF3673">
        <w:rPr>
          <w:lang w:val="pt-PT"/>
        </w:rPr>
        <w:t xml:space="preserve"> formais. A subsecção sobre membros nas associações económicas está relacionada como um estudo sobre as associações económicas em </w:t>
      </w:r>
      <w:r w:rsidR="006A4724" w:rsidRPr="00CF3673">
        <w:rPr>
          <w:lang w:val="pt-PT"/>
        </w:rPr>
        <w:t>Moçambique</w:t>
      </w:r>
      <w:r w:rsidR="00F349F1" w:rsidRPr="00CF3673">
        <w:rPr>
          <w:lang w:val="pt-PT"/>
        </w:rPr>
        <w:t xml:space="preserve">. Este estudo foi levado a cabo em Agosto de 2012 sobre a validação do IIM 2012 que é a base deste relatório. O principal objectivo do estudo </w:t>
      </w:r>
      <w:r w:rsidR="0032071E" w:rsidRPr="00CF3673">
        <w:rPr>
          <w:lang w:val="pt-PT"/>
        </w:rPr>
        <w:t>foi de obter melhor compreensão dos aspectos qualitativos da dinâmica das empresas relativamente a associação e ao mesmo tempo as percepções sobre os benefícios de pertencer a rede social</w:t>
      </w:r>
      <w:r w:rsidR="0032071E" w:rsidRPr="00CF3673">
        <w:rPr>
          <w:rStyle w:val="FootnoteReference"/>
          <w:lang w:val="pt-PT"/>
        </w:rPr>
        <w:footnoteReference w:id="37"/>
      </w:r>
      <w:r w:rsidR="0032071E" w:rsidRPr="00CF3673">
        <w:rPr>
          <w:lang w:val="pt-PT"/>
        </w:rPr>
        <w:t>.</w:t>
      </w:r>
      <w:r w:rsidR="00F349F1" w:rsidRPr="00CF3673">
        <w:rPr>
          <w:lang w:val="pt-PT"/>
        </w:rPr>
        <w:t xml:space="preserve">  </w:t>
      </w:r>
    </w:p>
    <w:p w:rsidR="0032071E" w:rsidRPr="00CF3673" w:rsidRDefault="0032071E" w:rsidP="001E664B">
      <w:pPr>
        <w:pStyle w:val="MainText"/>
        <w:rPr>
          <w:lang w:val="pt-PT"/>
        </w:rPr>
      </w:pPr>
      <w:r w:rsidRPr="00CF3673">
        <w:rPr>
          <w:lang w:val="pt-PT"/>
        </w:rPr>
        <w:t xml:space="preserve">In contraposição ao outro capítulo deste relatório, a parte relativa a rede social não mostra o desenvolvimento entre 2006 e 2012, devido à incompatibilidade entre os questionários sobre este mesmo tópico. </w:t>
      </w:r>
    </w:p>
    <w:p w:rsidR="0032071E" w:rsidRPr="00CF3673" w:rsidRDefault="004F074D" w:rsidP="001E664B">
      <w:pPr>
        <w:pStyle w:val="MainText"/>
        <w:rPr>
          <w:rStyle w:val="Strong"/>
          <w:rFonts w:cs="Calibri"/>
          <w:b w:val="0"/>
          <w:lang w:val="pt-PT"/>
        </w:rPr>
      </w:pPr>
      <w:r w:rsidRPr="00CF3673">
        <w:rPr>
          <w:rStyle w:val="Strong"/>
          <w:rFonts w:cs="Calibri"/>
          <w:b w:val="0"/>
          <w:lang w:val="pt-PT"/>
        </w:rPr>
        <w:t xml:space="preserve">Neste capítulo, redes sociais é entendida como um bem individual que beneficia uma única empresa, onde as empresas beneficiam do facto de conhecerem outras com as quais formam as redes de ligação entre empresas (veja </w:t>
      </w:r>
      <w:proofErr w:type="spellStart"/>
      <w:r w:rsidRPr="00CF3673">
        <w:rPr>
          <w:rStyle w:val="Strong"/>
          <w:rFonts w:cs="Calibri"/>
          <w:b w:val="0"/>
          <w:lang w:val="pt-PT"/>
        </w:rPr>
        <w:t>Granovetter</w:t>
      </w:r>
      <w:proofErr w:type="spellEnd"/>
      <w:r w:rsidRPr="00CF3673">
        <w:rPr>
          <w:rStyle w:val="Strong"/>
          <w:rFonts w:cs="Calibri"/>
          <w:b w:val="0"/>
          <w:lang w:val="pt-PT"/>
        </w:rPr>
        <w:t xml:space="preserve">, 1995). </w:t>
      </w:r>
      <w:r w:rsidR="002A278D" w:rsidRPr="00CF3673">
        <w:rPr>
          <w:rStyle w:val="Strong"/>
          <w:rFonts w:cs="Calibri"/>
          <w:b w:val="0"/>
          <w:lang w:val="pt-PT"/>
        </w:rPr>
        <w:t>Possuir</w:t>
      </w:r>
      <w:r w:rsidRPr="00CF3673">
        <w:rPr>
          <w:rStyle w:val="Strong"/>
          <w:rFonts w:cs="Calibri"/>
          <w:b w:val="0"/>
          <w:lang w:val="pt-PT"/>
        </w:rPr>
        <w:t xml:space="preserve"> rede social extensa é um valioso bem que pode ajudar os empresários a obterem </w:t>
      </w:r>
      <w:r w:rsidR="002A278D" w:rsidRPr="00CF3673">
        <w:rPr>
          <w:rStyle w:val="Strong"/>
          <w:rFonts w:cs="Calibri"/>
          <w:b w:val="0"/>
          <w:lang w:val="pt-PT"/>
        </w:rPr>
        <w:t xml:space="preserve">informação e novas tecnologias que podem conduzir para oportunidades lucrativas bem como ao acesso dos recursos (por exemplo crédito). </w:t>
      </w:r>
      <w:r w:rsidR="00417C89" w:rsidRPr="00CF3673">
        <w:rPr>
          <w:rStyle w:val="Strong"/>
          <w:rFonts w:cs="Calibri"/>
          <w:b w:val="0"/>
          <w:lang w:val="pt-PT"/>
        </w:rPr>
        <w:t xml:space="preserve">A literatura aponta para a importância das redes sociais em ultrapassar obstáculos relacionados com os custos de </w:t>
      </w:r>
      <w:r w:rsidR="006A4724" w:rsidRPr="00CF3673">
        <w:rPr>
          <w:rStyle w:val="Strong"/>
          <w:rFonts w:cs="Calibri"/>
          <w:b w:val="0"/>
          <w:lang w:val="pt-PT"/>
        </w:rPr>
        <w:t>transacção</w:t>
      </w:r>
      <w:r w:rsidR="00417C89" w:rsidRPr="00CF3673">
        <w:rPr>
          <w:rStyle w:val="Strong"/>
          <w:rFonts w:cs="Calibri"/>
          <w:b w:val="0"/>
          <w:lang w:val="pt-PT"/>
        </w:rPr>
        <w:t xml:space="preserve"> (</w:t>
      </w:r>
      <w:proofErr w:type="spellStart"/>
      <w:r w:rsidR="00417C89" w:rsidRPr="00CF3673">
        <w:rPr>
          <w:rStyle w:val="Strong"/>
          <w:rFonts w:cs="Calibri"/>
          <w:b w:val="0"/>
          <w:lang w:val="pt-PT"/>
        </w:rPr>
        <w:t>Kranton</w:t>
      </w:r>
      <w:proofErr w:type="spellEnd"/>
      <w:r w:rsidR="00417C89" w:rsidRPr="00CF3673">
        <w:rPr>
          <w:rStyle w:val="Strong"/>
          <w:rFonts w:cs="Calibri"/>
          <w:b w:val="0"/>
          <w:lang w:val="pt-PT"/>
        </w:rPr>
        <w:t xml:space="preserve">, 1996; </w:t>
      </w:r>
      <w:proofErr w:type="spellStart"/>
      <w:r w:rsidR="00417C89" w:rsidRPr="00CF3673">
        <w:rPr>
          <w:rStyle w:val="Strong"/>
          <w:rFonts w:cs="Calibri"/>
          <w:b w:val="0"/>
          <w:lang w:val="pt-PT"/>
        </w:rPr>
        <w:t>MacMillan</w:t>
      </w:r>
      <w:proofErr w:type="spellEnd"/>
      <w:r w:rsidR="00417C89" w:rsidRPr="00CF3673">
        <w:rPr>
          <w:rStyle w:val="Strong"/>
          <w:rFonts w:cs="Calibri"/>
          <w:b w:val="0"/>
          <w:lang w:val="pt-PT"/>
        </w:rPr>
        <w:t xml:space="preserve"> </w:t>
      </w:r>
      <w:proofErr w:type="spellStart"/>
      <w:r w:rsidR="00417C89" w:rsidRPr="00CF3673">
        <w:rPr>
          <w:rStyle w:val="Strong"/>
          <w:rFonts w:cs="Calibri"/>
          <w:b w:val="0"/>
          <w:lang w:val="pt-PT"/>
        </w:rPr>
        <w:t>and</w:t>
      </w:r>
      <w:proofErr w:type="spellEnd"/>
      <w:r w:rsidR="00417C89" w:rsidRPr="00CF3673">
        <w:rPr>
          <w:rStyle w:val="Strong"/>
          <w:rFonts w:cs="Calibri"/>
          <w:b w:val="0"/>
          <w:lang w:val="pt-PT"/>
        </w:rPr>
        <w:t xml:space="preserve"> </w:t>
      </w:r>
      <w:proofErr w:type="spellStart"/>
      <w:r w:rsidR="00417C89" w:rsidRPr="00CF3673">
        <w:rPr>
          <w:rStyle w:val="Strong"/>
          <w:rFonts w:cs="Calibri"/>
          <w:b w:val="0"/>
          <w:lang w:val="pt-PT"/>
        </w:rPr>
        <w:t>Woodruff</w:t>
      </w:r>
      <w:proofErr w:type="spellEnd"/>
      <w:r w:rsidR="00417C89" w:rsidRPr="00CF3673">
        <w:rPr>
          <w:rStyle w:val="Strong"/>
          <w:rFonts w:cs="Calibri"/>
          <w:b w:val="0"/>
          <w:lang w:val="pt-PT"/>
        </w:rPr>
        <w:t>, 1999), cumprimento de contratos (</w:t>
      </w:r>
      <w:proofErr w:type="spellStart"/>
      <w:r w:rsidR="00417C89" w:rsidRPr="00CF3673">
        <w:rPr>
          <w:rStyle w:val="Strong"/>
          <w:rFonts w:cs="Calibri"/>
          <w:b w:val="0"/>
          <w:lang w:val="pt-PT"/>
        </w:rPr>
        <w:t>Fafchamps</w:t>
      </w:r>
      <w:proofErr w:type="spellEnd"/>
      <w:r w:rsidR="00417C89" w:rsidRPr="00CF3673">
        <w:rPr>
          <w:rStyle w:val="Strong"/>
          <w:rFonts w:cs="Calibri"/>
          <w:b w:val="0"/>
          <w:lang w:val="pt-PT"/>
        </w:rPr>
        <w:t>, 1998), e regulamentos (</w:t>
      </w:r>
      <w:proofErr w:type="spellStart"/>
      <w:r w:rsidR="00417C89" w:rsidRPr="00CF3673">
        <w:rPr>
          <w:rStyle w:val="Strong"/>
          <w:rFonts w:cs="Calibri"/>
          <w:b w:val="0"/>
          <w:lang w:val="pt-PT"/>
        </w:rPr>
        <w:t>Putma</w:t>
      </w:r>
      <w:proofErr w:type="spellEnd"/>
      <w:r w:rsidR="00417C89" w:rsidRPr="00CF3673">
        <w:rPr>
          <w:rStyle w:val="Strong"/>
          <w:rFonts w:cs="Calibri"/>
          <w:b w:val="0"/>
          <w:lang w:val="pt-PT"/>
        </w:rPr>
        <w:t>, 1993). Mais ainda, a confiança mutua, gerada por via da longa relação com clientes e fornecedores, podem tornar fácil os agentes renegociarem os termos contratuais e por via disso gerar maior flexibilidade em lidar com choques externos (</w:t>
      </w:r>
      <w:proofErr w:type="spellStart"/>
      <w:r w:rsidR="00417C89" w:rsidRPr="00CF3673">
        <w:rPr>
          <w:rStyle w:val="Strong"/>
          <w:rFonts w:cs="Calibri"/>
          <w:b w:val="0"/>
          <w:lang w:val="pt-PT"/>
        </w:rPr>
        <w:t>Bigsten</w:t>
      </w:r>
      <w:proofErr w:type="spellEnd"/>
      <w:r w:rsidR="00417C89" w:rsidRPr="00CF3673">
        <w:rPr>
          <w:rStyle w:val="Strong"/>
          <w:rFonts w:cs="Calibri"/>
          <w:b w:val="0"/>
          <w:lang w:val="pt-PT"/>
        </w:rPr>
        <w:t xml:space="preserve"> </w:t>
      </w:r>
      <w:proofErr w:type="spellStart"/>
      <w:r w:rsidR="00417C89" w:rsidRPr="00CF3673">
        <w:rPr>
          <w:rStyle w:val="Strong"/>
          <w:rFonts w:cs="Calibri"/>
          <w:b w:val="0"/>
          <w:lang w:val="pt-PT"/>
        </w:rPr>
        <w:t>et</w:t>
      </w:r>
      <w:proofErr w:type="spellEnd"/>
      <w:r w:rsidR="00417C89" w:rsidRPr="00CF3673">
        <w:rPr>
          <w:rStyle w:val="Strong"/>
          <w:rFonts w:cs="Calibri"/>
          <w:b w:val="0"/>
          <w:lang w:val="pt-PT"/>
        </w:rPr>
        <w:t xml:space="preserve"> al, 2000)</w:t>
      </w:r>
    </w:p>
    <w:p w:rsidR="00376503" w:rsidRPr="00CF3673" w:rsidRDefault="00376503" w:rsidP="001E664B">
      <w:pPr>
        <w:pStyle w:val="SectionTitle"/>
        <w:rPr>
          <w:lang w:val="pt-PT"/>
        </w:rPr>
      </w:pPr>
      <w:bookmarkStart w:id="53" w:name="_Toc323907227"/>
      <w:bookmarkStart w:id="54" w:name="_Toc350758919"/>
      <w:bookmarkStart w:id="55" w:name="_Toc360720402"/>
      <w:r w:rsidRPr="00CF3673">
        <w:rPr>
          <w:lang w:val="pt-PT"/>
        </w:rPr>
        <w:t xml:space="preserve">8.1 </w:t>
      </w:r>
      <w:r w:rsidR="006A4724" w:rsidRPr="00CF3673">
        <w:rPr>
          <w:lang w:val="pt-PT"/>
        </w:rPr>
        <w:t>Composição</w:t>
      </w:r>
      <w:r w:rsidR="002A72D9" w:rsidRPr="00CF3673">
        <w:rPr>
          <w:lang w:val="pt-PT"/>
        </w:rPr>
        <w:t xml:space="preserve"> da rede de negócios da empresa</w:t>
      </w:r>
      <w:bookmarkEnd w:id="53"/>
      <w:bookmarkEnd w:id="54"/>
      <w:bookmarkEnd w:id="55"/>
    </w:p>
    <w:p w:rsidR="002A72D9" w:rsidRPr="00CF3673" w:rsidRDefault="002A72D9" w:rsidP="001E664B">
      <w:pPr>
        <w:pStyle w:val="MainText"/>
        <w:rPr>
          <w:lang w:val="pt-PT"/>
        </w:rPr>
      </w:pPr>
      <w:r w:rsidRPr="00CF3673">
        <w:rPr>
          <w:lang w:val="pt-PT"/>
        </w:rPr>
        <w:t>Foi colectada informação variada sobre várias dimensões sobre redes sociais. A tabela 8.1 mostra o nível de capital de redes sociais, medido como números de que são importantes para a empresa. Em 2011, um empresário tinha em média 15 contactos de negócios que eram potencialmente importantes para a empresa.</w:t>
      </w:r>
      <w:r w:rsidR="00D66581" w:rsidRPr="00CF3673">
        <w:rPr>
          <w:lang w:val="pt-PT"/>
        </w:rPr>
        <w:t xml:space="preserve"> O número de contactos aumenta com o tamanho da empresa, e em média </w:t>
      </w:r>
      <w:r w:rsidR="006A4724" w:rsidRPr="00CF3673">
        <w:rPr>
          <w:lang w:val="pt-PT"/>
        </w:rPr>
        <w:t>microempresas</w:t>
      </w:r>
      <w:r w:rsidR="00D66581" w:rsidRPr="00CF3673">
        <w:rPr>
          <w:lang w:val="pt-PT"/>
        </w:rPr>
        <w:t xml:space="preserve"> informais tem menos contactos que aquelas no sector formal.  </w:t>
      </w:r>
      <w:proofErr w:type="spellStart"/>
      <w:r w:rsidR="00D66581" w:rsidRPr="00CF3673">
        <w:rPr>
          <w:lang w:val="pt-PT"/>
        </w:rPr>
        <w:t>Barr</w:t>
      </w:r>
      <w:proofErr w:type="spellEnd"/>
      <w:r w:rsidR="00D66581" w:rsidRPr="00CF3673">
        <w:rPr>
          <w:lang w:val="pt-PT"/>
        </w:rPr>
        <w:t xml:space="preserve"> (2000) encontrou também </w:t>
      </w:r>
      <w:r w:rsidR="006A4724" w:rsidRPr="00CF3673">
        <w:rPr>
          <w:lang w:val="pt-PT"/>
        </w:rPr>
        <w:t>evidências</w:t>
      </w:r>
      <w:r w:rsidR="00D66581" w:rsidRPr="00CF3673">
        <w:rPr>
          <w:lang w:val="pt-PT"/>
        </w:rPr>
        <w:t xml:space="preserve"> </w:t>
      </w:r>
      <w:r w:rsidR="00D66581" w:rsidRPr="00CF3673">
        <w:rPr>
          <w:lang w:val="pt-PT"/>
        </w:rPr>
        <w:lastRenderedPageBreak/>
        <w:t xml:space="preserve">que a </w:t>
      </w:r>
      <w:proofErr w:type="spellStart"/>
      <w:r w:rsidR="00D66581" w:rsidRPr="00CF3673">
        <w:rPr>
          <w:lang w:val="pt-PT"/>
        </w:rPr>
        <w:t>conecção</w:t>
      </w:r>
      <w:proofErr w:type="spellEnd"/>
      <w:r w:rsidR="00D66581" w:rsidRPr="00CF3673">
        <w:rPr>
          <w:lang w:val="pt-PT"/>
        </w:rPr>
        <w:t xml:space="preserve">/rede social </w:t>
      </w:r>
      <w:r w:rsidR="00037B14" w:rsidRPr="00CF3673">
        <w:rPr>
          <w:lang w:val="pt-PT"/>
        </w:rPr>
        <w:t>das empresas</w:t>
      </w:r>
      <w:r w:rsidR="00D66581" w:rsidRPr="00CF3673">
        <w:rPr>
          <w:lang w:val="pt-PT"/>
        </w:rPr>
        <w:t xml:space="preserve"> aumenta com o tamanho </w:t>
      </w:r>
      <w:r w:rsidR="00037B14" w:rsidRPr="00CF3673">
        <w:rPr>
          <w:lang w:val="pt-PT"/>
        </w:rPr>
        <w:t>destas,</w:t>
      </w:r>
      <w:r w:rsidR="00D66581" w:rsidRPr="00CF3673">
        <w:rPr>
          <w:lang w:val="pt-PT"/>
        </w:rPr>
        <w:t xml:space="preserve"> enquanto </w:t>
      </w:r>
      <w:proofErr w:type="spellStart"/>
      <w:r w:rsidR="00D66581" w:rsidRPr="00CF3673">
        <w:rPr>
          <w:lang w:val="pt-PT"/>
        </w:rPr>
        <w:t>Fafchamps</w:t>
      </w:r>
      <w:proofErr w:type="spellEnd"/>
      <w:r w:rsidR="00D66581" w:rsidRPr="00CF3673">
        <w:rPr>
          <w:lang w:val="pt-PT"/>
        </w:rPr>
        <w:t xml:space="preserve"> e </w:t>
      </w:r>
      <w:proofErr w:type="spellStart"/>
      <w:r w:rsidR="00D66581" w:rsidRPr="00CF3673">
        <w:rPr>
          <w:lang w:val="pt-PT"/>
        </w:rPr>
        <w:t>Minten</w:t>
      </w:r>
      <w:proofErr w:type="spellEnd"/>
      <w:r w:rsidR="00D66581" w:rsidRPr="00CF3673">
        <w:rPr>
          <w:lang w:val="pt-PT"/>
        </w:rPr>
        <w:t xml:space="preserve"> (2002) observaram pouco ou nenhuma correlação directa entre o capital social da rede da empresa e o tamanho.</w:t>
      </w:r>
    </w:p>
    <w:p w:rsidR="00037B14" w:rsidRPr="00CF3673" w:rsidRDefault="00037B14" w:rsidP="001E664B">
      <w:pPr>
        <w:pStyle w:val="MainText"/>
        <w:rPr>
          <w:lang w:val="pt-PT"/>
        </w:rPr>
      </w:pPr>
      <w:r w:rsidRPr="00CF3673">
        <w:rPr>
          <w:lang w:val="pt-PT"/>
        </w:rPr>
        <w:t xml:space="preserve">As empresas foram solicitadas a categorizar os seus contactos em 8 categorias e a segunda parte da tabela 8.1 </w:t>
      </w:r>
      <w:r w:rsidR="006A4724" w:rsidRPr="00CF3673">
        <w:rPr>
          <w:lang w:val="pt-PT"/>
        </w:rPr>
        <w:t>decompõe</w:t>
      </w:r>
      <w:r w:rsidRPr="00CF3673">
        <w:rPr>
          <w:lang w:val="pt-PT"/>
        </w:rPr>
        <w:t xml:space="preserve"> os contactos da empresas nestes 8 grupos. Independe</w:t>
      </w:r>
      <w:r w:rsidR="006A4724" w:rsidRPr="00CF3673">
        <w:rPr>
          <w:lang w:val="pt-PT"/>
        </w:rPr>
        <w:t>nte</w:t>
      </w:r>
      <w:r w:rsidRPr="00CF3673">
        <w:rPr>
          <w:lang w:val="pt-PT"/>
        </w:rPr>
        <w:t xml:space="preserve">mente do tamanho, as empresas tendem a ter contactos com homens de negócios num sector diferente daquele que elas operam. Comparando os empresários </w:t>
      </w:r>
      <w:r w:rsidR="006A4724" w:rsidRPr="00CF3673">
        <w:rPr>
          <w:lang w:val="pt-PT"/>
        </w:rPr>
        <w:t>moçambicanos</w:t>
      </w:r>
      <w:r w:rsidRPr="00CF3673">
        <w:rPr>
          <w:lang w:val="pt-PT"/>
        </w:rPr>
        <w:t xml:space="preserve"> e não- </w:t>
      </w:r>
      <w:r w:rsidR="006A4724" w:rsidRPr="00CF3673">
        <w:rPr>
          <w:lang w:val="pt-PT"/>
        </w:rPr>
        <w:t>moçambicanos</w:t>
      </w:r>
      <w:r w:rsidRPr="00CF3673">
        <w:rPr>
          <w:lang w:val="pt-PT"/>
        </w:rPr>
        <w:t xml:space="preserve">, os primeiros tendem a ter pequenas redes, o que ira certamente influenciar ou reflectir-se no seu tamanho menor (veja tabela 2.8). De modo particular, os empresários </w:t>
      </w:r>
      <w:r w:rsidR="006A4724" w:rsidRPr="00CF3673">
        <w:rPr>
          <w:lang w:val="pt-PT"/>
        </w:rPr>
        <w:t>moçambicanos</w:t>
      </w:r>
      <w:r w:rsidRPr="00CF3673">
        <w:rPr>
          <w:lang w:val="pt-PT"/>
        </w:rPr>
        <w:t xml:space="preserve"> tende a ter poucas ligações com homens de negócios em outros países, como se pode esperar. Nem todas as </w:t>
      </w:r>
      <w:r w:rsidR="006A4724" w:rsidRPr="00CF3673">
        <w:rPr>
          <w:lang w:val="pt-PT"/>
        </w:rPr>
        <w:t>microempresas</w:t>
      </w:r>
      <w:r w:rsidRPr="00CF3673">
        <w:rPr>
          <w:lang w:val="pt-PT"/>
        </w:rPr>
        <w:t xml:space="preserve"> têm contactos com oficiais dos bancos, políticos e agências governamentais, enquanto as pequenas e medias-empresas em média têm entre 1-5 contactos em cada uma das categorias. Geralmente, </w:t>
      </w:r>
      <w:r w:rsidR="006A4724" w:rsidRPr="00CF3673">
        <w:rPr>
          <w:lang w:val="pt-PT"/>
        </w:rPr>
        <w:t>microempresas</w:t>
      </w:r>
      <w:r w:rsidRPr="00CF3673">
        <w:rPr>
          <w:lang w:val="pt-PT"/>
        </w:rPr>
        <w:t xml:space="preserve"> informais tem o mais baixo número de contactos, independentemente do tipo de contactos.</w:t>
      </w:r>
    </w:p>
    <w:p w:rsidR="00973536" w:rsidRPr="00CF3673" w:rsidRDefault="00376503" w:rsidP="00376503">
      <w:pPr>
        <w:pStyle w:val="TableTitle"/>
        <w:rPr>
          <w:lang w:val="pt-PT"/>
        </w:rPr>
      </w:pPr>
      <w:bookmarkStart w:id="56" w:name="_Toc323907302"/>
      <w:bookmarkStart w:id="57" w:name="_Toc360720487"/>
      <w:r w:rsidRPr="00CF3673">
        <w:rPr>
          <w:lang w:val="pt-PT"/>
        </w:rPr>
        <w:t>Tab</w:t>
      </w:r>
      <w:r w:rsidR="00037B14" w:rsidRPr="00CF3673">
        <w:rPr>
          <w:lang w:val="pt-PT"/>
        </w:rPr>
        <w:t>ela</w:t>
      </w:r>
      <w:r w:rsidRPr="00CF3673">
        <w:rPr>
          <w:lang w:val="pt-PT"/>
        </w:rPr>
        <w:t xml:space="preserve"> 8.</w:t>
      </w:r>
      <w:r w:rsidRPr="00CF3673">
        <w:rPr>
          <w:lang w:val="pt-PT"/>
        </w:rPr>
        <w:fldChar w:fldCharType="begin"/>
      </w:r>
      <w:r w:rsidRPr="00CF3673">
        <w:rPr>
          <w:lang w:val="pt-PT"/>
        </w:rPr>
        <w:instrText xml:space="preserve"> SEQ Table \* ARABIC \s 1 </w:instrText>
      </w:r>
      <w:r w:rsidRPr="00CF3673">
        <w:rPr>
          <w:lang w:val="pt-PT"/>
        </w:rPr>
        <w:fldChar w:fldCharType="separate"/>
      </w:r>
      <w:r w:rsidR="00C30935" w:rsidRPr="00CF3673">
        <w:rPr>
          <w:noProof/>
          <w:lang w:val="pt-PT"/>
        </w:rPr>
        <w:t>1</w:t>
      </w:r>
      <w:r w:rsidRPr="00CF3673">
        <w:rPr>
          <w:lang w:val="pt-PT"/>
        </w:rPr>
        <w:fldChar w:fldCharType="end"/>
      </w:r>
      <w:r w:rsidR="00973536" w:rsidRPr="00CF3673">
        <w:rPr>
          <w:lang w:val="pt-PT"/>
        </w:rPr>
        <w:t>: Nú</w:t>
      </w:r>
      <w:r w:rsidRPr="00CF3673">
        <w:rPr>
          <w:lang w:val="pt-PT"/>
        </w:rPr>
        <w:t>m</w:t>
      </w:r>
      <w:r w:rsidR="00973536" w:rsidRPr="00CF3673">
        <w:rPr>
          <w:lang w:val="pt-PT"/>
        </w:rPr>
        <w:t>ero de pessoas com as quais as empresas têm contacto</w:t>
      </w:r>
    </w:p>
    <w:bookmarkEnd w:id="56"/>
    <w:bookmarkEnd w:id="57"/>
    <w:p w:rsidR="00376503" w:rsidRPr="00CF3673" w:rsidRDefault="00376503" w:rsidP="00376503">
      <w:pPr>
        <w:pStyle w:val="TableTitle"/>
        <w:rPr>
          <w:lang w:val="pt-PT"/>
        </w:rPr>
      </w:pPr>
    </w:p>
    <w:tbl>
      <w:tblPr>
        <w:tblW w:w="9562" w:type="dxa"/>
        <w:tblInd w:w="93" w:type="dxa"/>
        <w:tblLook w:val="04A0" w:firstRow="1" w:lastRow="0" w:firstColumn="1" w:lastColumn="0" w:noHBand="0" w:noVBand="1"/>
      </w:tblPr>
      <w:tblGrid>
        <w:gridCol w:w="2693"/>
        <w:gridCol w:w="671"/>
        <w:gridCol w:w="847"/>
        <w:gridCol w:w="822"/>
        <w:gridCol w:w="718"/>
        <w:gridCol w:w="907"/>
        <w:gridCol w:w="1064"/>
        <w:gridCol w:w="1230"/>
        <w:gridCol w:w="809"/>
      </w:tblGrid>
      <w:tr w:rsidR="00B608B5" w:rsidRPr="00CF3673" w:rsidTr="00063143">
        <w:trPr>
          <w:trHeight w:val="315"/>
        </w:trPr>
        <w:tc>
          <w:tcPr>
            <w:tcW w:w="2740" w:type="dxa"/>
            <w:tcBorders>
              <w:top w:val="double" w:sz="6" w:space="0" w:color="auto"/>
              <w:left w:val="nil"/>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680" w:type="dxa"/>
            <w:tcBorders>
              <w:top w:val="double" w:sz="6" w:space="0" w:color="auto"/>
              <w:left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Micro</w:t>
            </w:r>
          </w:p>
        </w:tc>
        <w:tc>
          <w:tcPr>
            <w:tcW w:w="680" w:type="dxa"/>
            <w:tcBorders>
              <w:top w:val="double" w:sz="6" w:space="0" w:color="auto"/>
              <w:left w:val="nil"/>
              <w:right w:val="nil"/>
            </w:tcBorders>
            <w:shd w:val="clear" w:color="000000" w:fill="FFFFFF"/>
            <w:noWrap/>
            <w:vAlign w:val="bottom"/>
            <w:hideMark/>
          </w:tcPr>
          <w:p w:rsidR="00376503" w:rsidRPr="00CF3673" w:rsidRDefault="00B608B5" w:rsidP="00B608B5">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Pequena</w:t>
            </w:r>
          </w:p>
        </w:tc>
        <w:tc>
          <w:tcPr>
            <w:tcW w:w="834" w:type="dxa"/>
            <w:tcBorders>
              <w:top w:val="double" w:sz="6" w:space="0" w:color="auto"/>
              <w:left w:val="nil"/>
              <w:right w:val="nil"/>
            </w:tcBorders>
            <w:shd w:val="clear" w:color="000000" w:fill="FFFFFF"/>
            <w:noWrap/>
            <w:vAlign w:val="bottom"/>
            <w:hideMark/>
          </w:tcPr>
          <w:p w:rsidR="00376503" w:rsidRPr="00CF3673" w:rsidRDefault="00376503" w:rsidP="00B608B5">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Medi</w:t>
            </w:r>
            <w:r w:rsidR="00B608B5" w:rsidRPr="00CF3673">
              <w:rPr>
                <w:rFonts w:ascii="Calibri" w:eastAsia="Times New Roman" w:hAnsi="Calibri" w:cs="Times New Roman"/>
                <w:color w:val="000000"/>
                <w:sz w:val="18"/>
                <w:szCs w:val="18"/>
                <w:lang w:eastAsia="en-GB"/>
              </w:rPr>
              <w:t>a</w:t>
            </w:r>
          </w:p>
        </w:tc>
        <w:tc>
          <w:tcPr>
            <w:tcW w:w="728" w:type="dxa"/>
            <w:tcBorders>
              <w:top w:val="double" w:sz="6" w:space="0" w:color="auto"/>
              <w:left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Formal</w:t>
            </w:r>
          </w:p>
        </w:tc>
        <w:tc>
          <w:tcPr>
            <w:tcW w:w="920" w:type="dxa"/>
            <w:tcBorders>
              <w:top w:val="double" w:sz="6" w:space="0" w:color="auto"/>
              <w:left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Informal</w:t>
            </w:r>
          </w:p>
        </w:tc>
        <w:tc>
          <w:tcPr>
            <w:tcW w:w="1080" w:type="dxa"/>
            <w:tcBorders>
              <w:top w:val="double" w:sz="6" w:space="0" w:color="auto"/>
              <w:left w:val="nil"/>
              <w:right w:val="nil"/>
            </w:tcBorders>
            <w:shd w:val="clear" w:color="000000" w:fill="FFFFFF"/>
            <w:noWrap/>
            <w:vAlign w:val="bottom"/>
            <w:hideMark/>
          </w:tcPr>
          <w:p w:rsidR="00376503" w:rsidRPr="00CF3673" w:rsidRDefault="00B608B5" w:rsidP="00B608B5">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Detida por estrangeiro</w:t>
            </w:r>
          </w:p>
        </w:tc>
        <w:tc>
          <w:tcPr>
            <w:tcW w:w="1080" w:type="dxa"/>
            <w:tcBorders>
              <w:top w:val="double" w:sz="6" w:space="0" w:color="auto"/>
              <w:left w:val="nil"/>
              <w:right w:val="nil"/>
            </w:tcBorders>
            <w:shd w:val="clear" w:color="000000" w:fill="FFFFFF"/>
            <w:noWrap/>
            <w:vAlign w:val="bottom"/>
            <w:hideMark/>
          </w:tcPr>
          <w:p w:rsidR="00376503" w:rsidRPr="00CF3673" w:rsidRDefault="00B608B5" w:rsidP="00B608B5">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xml:space="preserve">Detida por </w:t>
            </w:r>
            <w:r w:rsidR="006A4724" w:rsidRPr="00CF3673">
              <w:rPr>
                <w:rFonts w:ascii="Calibri" w:eastAsia="Times New Roman" w:hAnsi="Calibri" w:cs="Times New Roman"/>
                <w:color w:val="000000"/>
                <w:sz w:val="18"/>
                <w:szCs w:val="18"/>
                <w:lang w:eastAsia="en-GB"/>
              </w:rPr>
              <w:t>moçambicano</w:t>
            </w:r>
          </w:p>
        </w:tc>
        <w:tc>
          <w:tcPr>
            <w:tcW w:w="820" w:type="dxa"/>
            <w:tcBorders>
              <w:top w:val="double" w:sz="6" w:space="0" w:color="auto"/>
              <w:left w:val="nil"/>
              <w:right w:val="nil"/>
            </w:tcBorders>
            <w:shd w:val="clear" w:color="000000" w:fill="FFFFFF"/>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Total</w:t>
            </w:r>
          </w:p>
        </w:tc>
      </w:tr>
      <w:tr w:rsidR="00B608B5" w:rsidRPr="00CF3673" w:rsidTr="00063143">
        <w:trPr>
          <w:trHeight w:val="300"/>
        </w:trPr>
        <w:tc>
          <w:tcPr>
            <w:tcW w:w="2740" w:type="dxa"/>
            <w:tcBorders>
              <w:left w:val="nil"/>
              <w:bottom w:val="nil"/>
              <w:right w:val="nil"/>
            </w:tcBorders>
            <w:shd w:val="clear" w:color="000000" w:fill="FFFFFF"/>
            <w:noWrap/>
            <w:vAlign w:val="bottom"/>
            <w:hideMark/>
          </w:tcPr>
          <w:p w:rsidR="00376503" w:rsidRPr="00CF3673" w:rsidRDefault="006E51E2" w:rsidP="006E51E2">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Número total de contactos</w:t>
            </w:r>
          </w:p>
        </w:tc>
        <w:tc>
          <w:tcPr>
            <w:tcW w:w="680"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8.9</w:t>
            </w:r>
          </w:p>
        </w:tc>
        <w:tc>
          <w:tcPr>
            <w:tcW w:w="680"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21.0</w:t>
            </w:r>
          </w:p>
        </w:tc>
        <w:tc>
          <w:tcPr>
            <w:tcW w:w="834"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45.6</w:t>
            </w:r>
          </w:p>
        </w:tc>
        <w:tc>
          <w:tcPr>
            <w:tcW w:w="728"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16.8</w:t>
            </w:r>
          </w:p>
        </w:tc>
        <w:tc>
          <w:tcPr>
            <w:tcW w:w="920"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8.2</w:t>
            </w:r>
          </w:p>
        </w:tc>
        <w:tc>
          <w:tcPr>
            <w:tcW w:w="1080"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34.2</w:t>
            </w:r>
          </w:p>
        </w:tc>
        <w:tc>
          <w:tcPr>
            <w:tcW w:w="1080"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12.6</w:t>
            </w:r>
          </w:p>
        </w:tc>
        <w:tc>
          <w:tcPr>
            <w:tcW w:w="820"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14.9</w:t>
            </w:r>
          </w:p>
        </w:tc>
      </w:tr>
      <w:tr w:rsidR="00B608B5" w:rsidRPr="00CF3673" w:rsidTr="00063143">
        <w:trPr>
          <w:trHeight w:val="300"/>
        </w:trPr>
        <w:tc>
          <w:tcPr>
            <w:tcW w:w="27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18"/>
                <w:szCs w:val="18"/>
                <w:lang w:eastAsia="en-GB"/>
              </w:rPr>
            </w:pPr>
            <w:r w:rsidRPr="00CF3673">
              <w:rPr>
                <w:rFonts w:ascii="Calibri" w:eastAsia="Times New Roman" w:hAnsi="Calibri" w:cs="Times New Roman"/>
                <w:b/>
                <w:bCs/>
                <w:color w:val="000000"/>
                <w:sz w:val="18"/>
                <w:szCs w:val="18"/>
                <w:lang w:eastAsia="en-GB"/>
              </w:rPr>
              <w:t>505</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18"/>
                <w:szCs w:val="18"/>
                <w:lang w:eastAsia="en-GB"/>
              </w:rPr>
            </w:pPr>
            <w:r w:rsidRPr="00CF3673">
              <w:rPr>
                <w:rFonts w:ascii="Calibri" w:eastAsia="Times New Roman" w:hAnsi="Calibri" w:cs="Times New Roman"/>
                <w:b/>
                <w:bCs/>
                <w:color w:val="000000"/>
                <w:sz w:val="18"/>
                <w:szCs w:val="18"/>
                <w:lang w:eastAsia="en-GB"/>
              </w:rPr>
              <w:t>168</w:t>
            </w:r>
          </w:p>
        </w:tc>
        <w:tc>
          <w:tcPr>
            <w:tcW w:w="834"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18"/>
                <w:szCs w:val="18"/>
                <w:lang w:eastAsia="en-GB"/>
              </w:rPr>
            </w:pPr>
            <w:r w:rsidRPr="00CF3673">
              <w:rPr>
                <w:rFonts w:ascii="Calibri" w:eastAsia="Times New Roman" w:hAnsi="Calibri" w:cs="Times New Roman"/>
                <w:b/>
                <w:bCs/>
                <w:color w:val="000000"/>
                <w:sz w:val="18"/>
                <w:szCs w:val="18"/>
                <w:lang w:eastAsia="en-GB"/>
              </w:rPr>
              <w:t>65</w:t>
            </w:r>
          </w:p>
        </w:tc>
        <w:tc>
          <w:tcPr>
            <w:tcW w:w="72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18"/>
                <w:szCs w:val="18"/>
                <w:lang w:eastAsia="en-GB"/>
              </w:rPr>
            </w:pPr>
            <w:r w:rsidRPr="00CF3673">
              <w:rPr>
                <w:rFonts w:ascii="Calibri" w:eastAsia="Times New Roman" w:hAnsi="Calibri" w:cs="Times New Roman"/>
                <w:b/>
                <w:bCs/>
                <w:color w:val="000000"/>
                <w:sz w:val="18"/>
                <w:szCs w:val="18"/>
                <w:lang w:eastAsia="en-GB"/>
              </w:rPr>
              <w:t>575</w:t>
            </w:r>
          </w:p>
        </w:tc>
        <w:tc>
          <w:tcPr>
            <w:tcW w:w="9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18"/>
                <w:szCs w:val="18"/>
                <w:lang w:eastAsia="en-GB"/>
              </w:rPr>
            </w:pPr>
            <w:r w:rsidRPr="00CF3673">
              <w:rPr>
                <w:rFonts w:ascii="Calibri" w:eastAsia="Times New Roman" w:hAnsi="Calibri" w:cs="Times New Roman"/>
                <w:b/>
                <w:bCs/>
                <w:color w:val="000000"/>
                <w:sz w:val="18"/>
                <w:szCs w:val="18"/>
                <w:lang w:eastAsia="en-GB"/>
              </w:rPr>
              <w:t>161</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18"/>
                <w:szCs w:val="18"/>
                <w:lang w:eastAsia="en-GB"/>
              </w:rPr>
            </w:pPr>
            <w:r w:rsidRPr="00CF3673">
              <w:rPr>
                <w:rFonts w:ascii="Calibri" w:eastAsia="Times New Roman" w:hAnsi="Calibri" w:cs="Times New Roman"/>
                <w:b/>
                <w:bCs/>
                <w:color w:val="000000"/>
                <w:sz w:val="18"/>
                <w:szCs w:val="18"/>
                <w:lang w:eastAsia="en-GB"/>
              </w:rPr>
              <w:t>77</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18"/>
                <w:szCs w:val="18"/>
                <w:lang w:eastAsia="en-GB"/>
              </w:rPr>
            </w:pPr>
            <w:r w:rsidRPr="00CF3673">
              <w:rPr>
                <w:rFonts w:ascii="Calibri" w:eastAsia="Times New Roman" w:hAnsi="Calibri" w:cs="Times New Roman"/>
                <w:b/>
                <w:bCs/>
                <w:color w:val="000000"/>
                <w:sz w:val="18"/>
                <w:szCs w:val="18"/>
                <w:lang w:eastAsia="en-GB"/>
              </w:rPr>
              <w:t>660</w:t>
            </w:r>
          </w:p>
        </w:tc>
        <w:tc>
          <w:tcPr>
            <w:tcW w:w="8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18"/>
                <w:szCs w:val="18"/>
                <w:lang w:eastAsia="en-GB"/>
              </w:rPr>
            </w:pPr>
            <w:r w:rsidRPr="00CF3673">
              <w:rPr>
                <w:rFonts w:ascii="Calibri" w:eastAsia="Times New Roman" w:hAnsi="Calibri" w:cs="Times New Roman"/>
                <w:b/>
                <w:bCs/>
                <w:color w:val="000000"/>
                <w:sz w:val="18"/>
                <w:szCs w:val="18"/>
                <w:lang w:eastAsia="en-GB"/>
              </w:rPr>
              <w:t>738</w:t>
            </w:r>
          </w:p>
        </w:tc>
      </w:tr>
      <w:tr w:rsidR="00B608B5" w:rsidRPr="00CF3673" w:rsidTr="00063143">
        <w:trPr>
          <w:trHeight w:val="300"/>
        </w:trPr>
        <w:tc>
          <w:tcPr>
            <w:tcW w:w="2740" w:type="dxa"/>
            <w:tcBorders>
              <w:top w:val="single" w:sz="4" w:space="0" w:color="auto"/>
              <w:left w:val="nil"/>
              <w:bottom w:val="nil"/>
              <w:right w:val="nil"/>
            </w:tcBorders>
            <w:shd w:val="clear" w:color="000000" w:fill="FFFFFF"/>
            <w:noWrap/>
            <w:vAlign w:val="bottom"/>
            <w:hideMark/>
          </w:tcPr>
          <w:p w:rsidR="00376503" w:rsidRPr="00CF3673" w:rsidRDefault="006E51E2" w:rsidP="006E51E2">
            <w:pPr>
              <w:spacing w:after="0" w:line="240" w:lineRule="auto"/>
              <w:rPr>
                <w:rFonts w:ascii="Calibri" w:eastAsia="Times New Roman" w:hAnsi="Calibri" w:cs="Times New Roman"/>
                <w:i/>
                <w:iCs/>
                <w:color w:val="000000"/>
                <w:sz w:val="18"/>
                <w:szCs w:val="18"/>
                <w:lang w:eastAsia="en-GB"/>
              </w:rPr>
            </w:pPr>
            <w:r w:rsidRPr="00CF3673">
              <w:rPr>
                <w:rFonts w:ascii="Calibri" w:eastAsia="Times New Roman" w:hAnsi="Calibri" w:cs="Times New Roman"/>
                <w:i/>
                <w:iCs/>
                <w:color w:val="000000"/>
                <w:sz w:val="18"/>
                <w:szCs w:val="18"/>
                <w:lang w:eastAsia="en-GB"/>
              </w:rPr>
              <w:t>Média do número de contactos</w:t>
            </w:r>
          </w:p>
        </w:tc>
        <w:tc>
          <w:tcPr>
            <w:tcW w:w="68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68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834"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728"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92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108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108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82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r>
      <w:tr w:rsidR="00B608B5" w:rsidRPr="00CF3673" w:rsidTr="00063143">
        <w:trPr>
          <w:trHeight w:val="300"/>
        </w:trPr>
        <w:tc>
          <w:tcPr>
            <w:tcW w:w="2740" w:type="dxa"/>
            <w:tcBorders>
              <w:top w:val="nil"/>
              <w:left w:val="nil"/>
              <w:bottom w:val="nil"/>
              <w:right w:val="nil"/>
            </w:tcBorders>
            <w:shd w:val="clear" w:color="000000" w:fill="FFFFFF"/>
            <w:noWrap/>
            <w:vAlign w:val="bottom"/>
            <w:hideMark/>
          </w:tcPr>
          <w:p w:rsidR="00376503" w:rsidRPr="00CF3673" w:rsidRDefault="006E51E2" w:rsidP="006E51E2">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Contactos de negócio no mesmo sector</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3.8</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5.5</w:t>
            </w:r>
          </w:p>
        </w:tc>
        <w:tc>
          <w:tcPr>
            <w:tcW w:w="834"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7.5</w:t>
            </w:r>
          </w:p>
        </w:tc>
        <w:tc>
          <w:tcPr>
            <w:tcW w:w="72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4.6</w:t>
            </w:r>
          </w:p>
        </w:tc>
        <w:tc>
          <w:tcPr>
            <w:tcW w:w="9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4.2</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6.6</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4.3</w:t>
            </w:r>
          </w:p>
        </w:tc>
        <w:tc>
          <w:tcPr>
            <w:tcW w:w="8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4.6</w:t>
            </w:r>
          </w:p>
        </w:tc>
      </w:tr>
      <w:tr w:rsidR="00B608B5" w:rsidRPr="00CF3673" w:rsidTr="00063143">
        <w:trPr>
          <w:trHeight w:val="300"/>
        </w:trPr>
        <w:tc>
          <w:tcPr>
            <w:tcW w:w="2740" w:type="dxa"/>
            <w:tcBorders>
              <w:top w:val="nil"/>
              <w:left w:val="nil"/>
              <w:bottom w:val="nil"/>
              <w:right w:val="nil"/>
            </w:tcBorders>
            <w:shd w:val="clear" w:color="000000" w:fill="FFFFFF"/>
            <w:noWrap/>
            <w:vAlign w:val="bottom"/>
            <w:hideMark/>
          </w:tcPr>
          <w:p w:rsidR="006E51E2" w:rsidRPr="00CF3673" w:rsidRDefault="006E51E2" w:rsidP="006E51E2">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Contactos de negócio sector diferente</w:t>
            </w:r>
          </w:p>
        </w:tc>
        <w:tc>
          <w:tcPr>
            <w:tcW w:w="680" w:type="dxa"/>
            <w:tcBorders>
              <w:top w:val="nil"/>
              <w:left w:val="nil"/>
              <w:bottom w:val="nil"/>
              <w:right w:val="nil"/>
            </w:tcBorders>
            <w:shd w:val="clear" w:color="000000" w:fill="FFFFFF"/>
            <w:noWrap/>
            <w:vAlign w:val="bottom"/>
            <w:hideMark/>
          </w:tcPr>
          <w:p w:rsidR="006E51E2" w:rsidRPr="00CF3673" w:rsidRDefault="006E51E2"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3.3</w:t>
            </w:r>
          </w:p>
        </w:tc>
        <w:tc>
          <w:tcPr>
            <w:tcW w:w="680" w:type="dxa"/>
            <w:tcBorders>
              <w:top w:val="nil"/>
              <w:left w:val="nil"/>
              <w:bottom w:val="nil"/>
              <w:right w:val="nil"/>
            </w:tcBorders>
            <w:shd w:val="clear" w:color="000000" w:fill="FFFFFF"/>
            <w:noWrap/>
            <w:vAlign w:val="bottom"/>
            <w:hideMark/>
          </w:tcPr>
          <w:p w:rsidR="006E51E2" w:rsidRPr="00CF3673" w:rsidRDefault="006E51E2"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6.6</w:t>
            </w:r>
          </w:p>
        </w:tc>
        <w:tc>
          <w:tcPr>
            <w:tcW w:w="834" w:type="dxa"/>
            <w:tcBorders>
              <w:top w:val="nil"/>
              <w:left w:val="nil"/>
              <w:bottom w:val="nil"/>
              <w:right w:val="nil"/>
            </w:tcBorders>
            <w:shd w:val="clear" w:color="000000" w:fill="FFFFFF"/>
            <w:noWrap/>
            <w:vAlign w:val="bottom"/>
            <w:hideMark/>
          </w:tcPr>
          <w:p w:rsidR="006E51E2" w:rsidRPr="00CF3673" w:rsidRDefault="006E51E2"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15.7</w:t>
            </w:r>
          </w:p>
        </w:tc>
        <w:tc>
          <w:tcPr>
            <w:tcW w:w="728" w:type="dxa"/>
            <w:tcBorders>
              <w:top w:val="nil"/>
              <w:left w:val="nil"/>
              <w:bottom w:val="nil"/>
              <w:right w:val="nil"/>
            </w:tcBorders>
            <w:shd w:val="clear" w:color="000000" w:fill="FFFFFF"/>
            <w:noWrap/>
            <w:vAlign w:val="bottom"/>
            <w:hideMark/>
          </w:tcPr>
          <w:p w:rsidR="006E51E2" w:rsidRPr="00CF3673" w:rsidRDefault="006E51E2"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5.9</w:t>
            </w:r>
          </w:p>
        </w:tc>
        <w:tc>
          <w:tcPr>
            <w:tcW w:w="920" w:type="dxa"/>
            <w:tcBorders>
              <w:top w:val="nil"/>
              <w:left w:val="nil"/>
              <w:bottom w:val="nil"/>
              <w:right w:val="nil"/>
            </w:tcBorders>
            <w:shd w:val="clear" w:color="000000" w:fill="FFFFFF"/>
            <w:noWrap/>
            <w:vAlign w:val="bottom"/>
            <w:hideMark/>
          </w:tcPr>
          <w:p w:rsidR="006E51E2" w:rsidRPr="00CF3673" w:rsidRDefault="006E51E2"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2.6</w:t>
            </w:r>
          </w:p>
        </w:tc>
        <w:tc>
          <w:tcPr>
            <w:tcW w:w="1080" w:type="dxa"/>
            <w:tcBorders>
              <w:top w:val="nil"/>
              <w:left w:val="nil"/>
              <w:bottom w:val="nil"/>
              <w:right w:val="nil"/>
            </w:tcBorders>
            <w:shd w:val="clear" w:color="000000" w:fill="FFFFFF"/>
            <w:noWrap/>
            <w:vAlign w:val="bottom"/>
            <w:hideMark/>
          </w:tcPr>
          <w:p w:rsidR="006E51E2" w:rsidRPr="00CF3673" w:rsidRDefault="006E51E2"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11.8</w:t>
            </w:r>
          </w:p>
        </w:tc>
        <w:tc>
          <w:tcPr>
            <w:tcW w:w="1080" w:type="dxa"/>
            <w:tcBorders>
              <w:top w:val="nil"/>
              <w:left w:val="nil"/>
              <w:bottom w:val="nil"/>
              <w:right w:val="nil"/>
            </w:tcBorders>
            <w:shd w:val="clear" w:color="000000" w:fill="FFFFFF"/>
            <w:noWrap/>
            <w:vAlign w:val="bottom"/>
            <w:hideMark/>
          </w:tcPr>
          <w:p w:rsidR="006E51E2" w:rsidRPr="00CF3673" w:rsidRDefault="006E51E2"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4.4</w:t>
            </w:r>
          </w:p>
        </w:tc>
        <w:tc>
          <w:tcPr>
            <w:tcW w:w="820" w:type="dxa"/>
            <w:tcBorders>
              <w:top w:val="nil"/>
              <w:left w:val="nil"/>
              <w:bottom w:val="nil"/>
              <w:right w:val="nil"/>
            </w:tcBorders>
            <w:shd w:val="clear" w:color="000000" w:fill="FFFFFF"/>
            <w:noWrap/>
            <w:vAlign w:val="bottom"/>
            <w:hideMark/>
          </w:tcPr>
          <w:p w:rsidR="006E51E2" w:rsidRPr="00CF3673" w:rsidRDefault="006E51E2"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5.2</w:t>
            </w:r>
          </w:p>
        </w:tc>
      </w:tr>
      <w:tr w:rsidR="00B608B5" w:rsidRPr="00CF3673" w:rsidTr="00063143">
        <w:trPr>
          <w:trHeight w:val="300"/>
        </w:trPr>
        <w:tc>
          <w:tcPr>
            <w:tcW w:w="2740" w:type="dxa"/>
            <w:tcBorders>
              <w:top w:val="nil"/>
              <w:left w:val="nil"/>
              <w:bottom w:val="nil"/>
              <w:right w:val="nil"/>
            </w:tcBorders>
            <w:shd w:val="clear" w:color="000000" w:fill="FFFFFF"/>
            <w:noWrap/>
            <w:vAlign w:val="bottom"/>
            <w:hideMark/>
          </w:tcPr>
          <w:p w:rsidR="00376503" w:rsidRPr="00CF3673" w:rsidRDefault="00376503" w:rsidP="00B608B5">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Contact</w:t>
            </w:r>
            <w:r w:rsidR="00B608B5" w:rsidRPr="00CF3673">
              <w:rPr>
                <w:rFonts w:ascii="Calibri" w:eastAsia="Times New Roman" w:hAnsi="Calibri" w:cs="Times New Roman"/>
                <w:color w:val="000000"/>
                <w:sz w:val="18"/>
                <w:szCs w:val="18"/>
                <w:lang w:eastAsia="en-GB"/>
              </w:rPr>
              <w:t>os em empresas no estrangeiro</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0.3</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1.4</w:t>
            </w:r>
          </w:p>
        </w:tc>
        <w:tc>
          <w:tcPr>
            <w:tcW w:w="834"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6.3</w:t>
            </w:r>
          </w:p>
        </w:tc>
        <w:tc>
          <w:tcPr>
            <w:tcW w:w="72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1.3</w:t>
            </w:r>
          </w:p>
        </w:tc>
        <w:tc>
          <w:tcPr>
            <w:tcW w:w="9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0.2</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5.7</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0.5</w:t>
            </w:r>
          </w:p>
        </w:tc>
        <w:tc>
          <w:tcPr>
            <w:tcW w:w="8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1.0</w:t>
            </w:r>
          </w:p>
        </w:tc>
      </w:tr>
      <w:tr w:rsidR="00B608B5" w:rsidRPr="00CF3673" w:rsidTr="00063143">
        <w:trPr>
          <w:trHeight w:val="300"/>
        </w:trPr>
        <w:tc>
          <w:tcPr>
            <w:tcW w:w="2740" w:type="dxa"/>
            <w:tcBorders>
              <w:top w:val="nil"/>
              <w:left w:val="nil"/>
              <w:bottom w:val="nil"/>
              <w:right w:val="nil"/>
            </w:tcBorders>
            <w:shd w:val="clear" w:color="000000" w:fill="FFFFFF"/>
            <w:noWrap/>
            <w:vAlign w:val="bottom"/>
            <w:hideMark/>
          </w:tcPr>
          <w:p w:rsidR="00376503" w:rsidRPr="00CF3673" w:rsidRDefault="00B608B5" w:rsidP="00B608B5">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xml:space="preserve">Bancários </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0.4</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1.7</w:t>
            </w:r>
          </w:p>
        </w:tc>
        <w:tc>
          <w:tcPr>
            <w:tcW w:w="834"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4.3</w:t>
            </w:r>
          </w:p>
        </w:tc>
        <w:tc>
          <w:tcPr>
            <w:tcW w:w="72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1.3</w:t>
            </w:r>
          </w:p>
        </w:tc>
        <w:tc>
          <w:tcPr>
            <w:tcW w:w="9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0.2</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2.9</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0.8</w:t>
            </w:r>
          </w:p>
        </w:tc>
        <w:tc>
          <w:tcPr>
            <w:tcW w:w="8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1.1</w:t>
            </w:r>
          </w:p>
        </w:tc>
      </w:tr>
      <w:tr w:rsidR="00B608B5" w:rsidRPr="00CF3673" w:rsidTr="00063143">
        <w:trPr>
          <w:trHeight w:val="300"/>
        </w:trPr>
        <w:tc>
          <w:tcPr>
            <w:tcW w:w="2740" w:type="dxa"/>
            <w:tcBorders>
              <w:top w:val="nil"/>
              <w:left w:val="nil"/>
              <w:bottom w:val="nil"/>
              <w:right w:val="nil"/>
            </w:tcBorders>
            <w:shd w:val="clear" w:color="000000" w:fill="FFFFFF"/>
            <w:noWrap/>
            <w:vAlign w:val="bottom"/>
            <w:hideMark/>
          </w:tcPr>
          <w:p w:rsidR="00376503" w:rsidRPr="00CF3673" w:rsidRDefault="00B608B5" w:rsidP="00B608B5">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xml:space="preserve">Agencias </w:t>
            </w:r>
            <w:r w:rsidR="00376503" w:rsidRPr="00CF3673">
              <w:rPr>
                <w:rFonts w:ascii="Calibri" w:eastAsia="Times New Roman" w:hAnsi="Calibri" w:cs="Times New Roman"/>
                <w:color w:val="000000"/>
                <w:sz w:val="18"/>
                <w:szCs w:val="18"/>
                <w:lang w:eastAsia="en-GB"/>
              </w:rPr>
              <w:t>Govern</w:t>
            </w:r>
            <w:r w:rsidRPr="00CF3673">
              <w:rPr>
                <w:rFonts w:ascii="Calibri" w:eastAsia="Times New Roman" w:hAnsi="Calibri" w:cs="Times New Roman"/>
                <w:color w:val="000000"/>
                <w:sz w:val="18"/>
                <w:szCs w:val="18"/>
                <w:lang w:eastAsia="en-GB"/>
              </w:rPr>
              <w:t>a</w:t>
            </w:r>
            <w:r w:rsidR="00376503" w:rsidRPr="00CF3673">
              <w:rPr>
                <w:rFonts w:ascii="Calibri" w:eastAsia="Times New Roman" w:hAnsi="Calibri" w:cs="Times New Roman"/>
                <w:color w:val="000000"/>
                <w:sz w:val="18"/>
                <w:szCs w:val="18"/>
                <w:lang w:eastAsia="en-GB"/>
              </w:rPr>
              <w:t>ment</w:t>
            </w:r>
            <w:r w:rsidRPr="00CF3673">
              <w:rPr>
                <w:rFonts w:ascii="Calibri" w:eastAsia="Times New Roman" w:hAnsi="Calibri" w:cs="Times New Roman"/>
                <w:color w:val="000000"/>
                <w:sz w:val="18"/>
                <w:szCs w:val="18"/>
                <w:lang w:eastAsia="en-GB"/>
              </w:rPr>
              <w:t>ais</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0.5</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2.4</w:t>
            </w:r>
          </w:p>
        </w:tc>
        <w:tc>
          <w:tcPr>
            <w:tcW w:w="834"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5.5</w:t>
            </w:r>
          </w:p>
        </w:tc>
        <w:tc>
          <w:tcPr>
            <w:tcW w:w="72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1.7</w:t>
            </w:r>
          </w:p>
        </w:tc>
        <w:tc>
          <w:tcPr>
            <w:tcW w:w="9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0.3</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2.7</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1.2</w:t>
            </w:r>
          </w:p>
        </w:tc>
        <w:tc>
          <w:tcPr>
            <w:tcW w:w="8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1.4</w:t>
            </w:r>
          </w:p>
        </w:tc>
      </w:tr>
      <w:tr w:rsidR="00B608B5" w:rsidRPr="00CF3673" w:rsidTr="00063143">
        <w:trPr>
          <w:trHeight w:val="300"/>
        </w:trPr>
        <w:tc>
          <w:tcPr>
            <w:tcW w:w="2740" w:type="dxa"/>
            <w:tcBorders>
              <w:top w:val="nil"/>
              <w:left w:val="nil"/>
              <w:bottom w:val="nil"/>
              <w:right w:val="nil"/>
            </w:tcBorders>
            <w:shd w:val="clear" w:color="000000" w:fill="FFFFFF"/>
            <w:noWrap/>
            <w:vAlign w:val="bottom"/>
            <w:hideMark/>
          </w:tcPr>
          <w:p w:rsidR="00376503" w:rsidRPr="00CF3673" w:rsidRDefault="006A4724"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Contactos com políticos</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0.2</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1.2</w:t>
            </w:r>
          </w:p>
        </w:tc>
        <w:tc>
          <w:tcPr>
            <w:tcW w:w="834"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2.8</w:t>
            </w:r>
          </w:p>
        </w:tc>
        <w:tc>
          <w:tcPr>
            <w:tcW w:w="72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0.8</w:t>
            </w:r>
          </w:p>
        </w:tc>
        <w:tc>
          <w:tcPr>
            <w:tcW w:w="9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0.1</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1.8</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0.5</w:t>
            </w:r>
          </w:p>
        </w:tc>
        <w:tc>
          <w:tcPr>
            <w:tcW w:w="8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0.6</w:t>
            </w:r>
          </w:p>
        </w:tc>
      </w:tr>
      <w:tr w:rsidR="00B608B5" w:rsidRPr="00CF3673" w:rsidTr="00063143">
        <w:trPr>
          <w:trHeight w:val="300"/>
        </w:trPr>
        <w:tc>
          <w:tcPr>
            <w:tcW w:w="2740" w:type="dxa"/>
            <w:tcBorders>
              <w:top w:val="nil"/>
              <w:left w:val="nil"/>
              <w:bottom w:val="nil"/>
              <w:right w:val="nil"/>
            </w:tcBorders>
            <w:shd w:val="clear" w:color="000000" w:fill="FFFFFF"/>
            <w:noWrap/>
            <w:vAlign w:val="bottom"/>
            <w:hideMark/>
          </w:tcPr>
          <w:p w:rsidR="00376503" w:rsidRPr="00CF3673" w:rsidRDefault="00376503" w:rsidP="00B608B5">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Contact</w:t>
            </w:r>
            <w:r w:rsidR="00B608B5" w:rsidRPr="00CF3673">
              <w:rPr>
                <w:rFonts w:ascii="Calibri" w:eastAsia="Times New Roman" w:hAnsi="Calibri" w:cs="Times New Roman"/>
                <w:color w:val="000000"/>
                <w:sz w:val="18"/>
                <w:szCs w:val="18"/>
                <w:lang w:eastAsia="en-GB"/>
              </w:rPr>
              <w:t>o</w:t>
            </w:r>
            <w:r w:rsidRPr="00CF3673">
              <w:rPr>
                <w:rFonts w:ascii="Calibri" w:eastAsia="Times New Roman" w:hAnsi="Calibri" w:cs="Times New Roman"/>
                <w:color w:val="000000"/>
                <w:sz w:val="18"/>
                <w:szCs w:val="18"/>
                <w:lang w:eastAsia="en-GB"/>
              </w:rPr>
              <w:t xml:space="preserve">s </w:t>
            </w:r>
            <w:r w:rsidR="00B608B5" w:rsidRPr="00CF3673">
              <w:rPr>
                <w:rFonts w:ascii="Calibri" w:eastAsia="Times New Roman" w:hAnsi="Calibri" w:cs="Times New Roman"/>
                <w:color w:val="000000"/>
                <w:sz w:val="18"/>
                <w:szCs w:val="18"/>
                <w:lang w:eastAsia="en-GB"/>
              </w:rPr>
              <w:t>nas</w:t>
            </w:r>
            <w:r w:rsidRPr="00CF3673">
              <w:rPr>
                <w:rFonts w:ascii="Calibri" w:eastAsia="Times New Roman" w:hAnsi="Calibri" w:cs="Times New Roman"/>
                <w:color w:val="000000"/>
                <w:sz w:val="18"/>
                <w:szCs w:val="18"/>
                <w:lang w:eastAsia="en-GB"/>
              </w:rPr>
              <w:t xml:space="preserve"> </w:t>
            </w:r>
            <w:proofErr w:type="spellStart"/>
            <w:r w:rsidR="00B608B5" w:rsidRPr="00CF3673">
              <w:rPr>
                <w:rFonts w:ascii="Calibri" w:eastAsia="Times New Roman" w:hAnsi="Calibri" w:cs="Times New Roman"/>
                <w:color w:val="000000"/>
                <w:sz w:val="18"/>
                <w:szCs w:val="18"/>
                <w:lang w:eastAsia="en-GB"/>
              </w:rPr>
              <w:t>O</w:t>
            </w:r>
            <w:r w:rsidRPr="00CF3673">
              <w:rPr>
                <w:rFonts w:ascii="Calibri" w:eastAsia="Times New Roman" w:hAnsi="Calibri" w:cs="Times New Roman"/>
                <w:color w:val="000000"/>
                <w:sz w:val="18"/>
                <w:szCs w:val="18"/>
                <w:lang w:eastAsia="en-GB"/>
              </w:rPr>
              <w:t>NGs</w:t>
            </w:r>
            <w:proofErr w:type="spellEnd"/>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0.2</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0.9</w:t>
            </w:r>
          </w:p>
        </w:tc>
        <w:tc>
          <w:tcPr>
            <w:tcW w:w="834"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1.4</w:t>
            </w:r>
          </w:p>
        </w:tc>
        <w:tc>
          <w:tcPr>
            <w:tcW w:w="72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0.6</w:t>
            </w:r>
          </w:p>
        </w:tc>
        <w:tc>
          <w:tcPr>
            <w:tcW w:w="9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0.3</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1.1</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0.4</w:t>
            </w:r>
          </w:p>
        </w:tc>
        <w:tc>
          <w:tcPr>
            <w:tcW w:w="8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0.5</w:t>
            </w:r>
          </w:p>
        </w:tc>
      </w:tr>
      <w:tr w:rsidR="00B608B5" w:rsidRPr="00CF3673" w:rsidTr="00063143">
        <w:trPr>
          <w:trHeight w:val="300"/>
        </w:trPr>
        <w:tc>
          <w:tcPr>
            <w:tcW w:w="2740" w:type="dxa"/>
            <w:tcBorders>
              <w:top w:val="nil"/>
              <w:left w:val="nil"/>
              <w:bottom w:val="nil"/>
              <w:right w:val="nil"/>
            </w:tcBorders>
            <w:shd w:val="clear" w:color="000000" w:fill="FFFFFF"/>
            <w:noWrap/>
            <w:vAlign w:val="bottom"/>
            <w:hideMark/>
          </w:tcPr>
          <w:p w:rsidR="00376503" w:rsidRPr="00CF3673" w:rsidRDefault="00B608B5" w:rsidP="00B608B5">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Contactos com associações comerciais</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0.2</w:t>
            </w:r>
          </w:p>
        </w:tc>
        <w:tc>
          <w:tcPr>
            <w:tcW w:w="6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1.2</w:t>
            </w:r>
          </w:p>
        </w:tc>
        <w:tc>
          <w:tcPr>
            <w:tcW w:w="834"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2.2</w:t>
            </w:r>
          </w:p>
        </w:tc>
        <w:tc>
          <w:tcPr>
            <w:tcW w:w="72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0.7</w:t>
            </w:r>
          </w:p>
        </w:tc>
        <w:tc>
          <w:tcPr>
            <w:tcW w:w="9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0.2</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1.6</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0.5</w:t>
            </w:r>
          </w:p>
        </w:tc>
        <w:tc>
          <w:tcPr>
            <w:tcW w:w="82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0.6</w:t>
            </w:r>
          </w:p>
        </w:tc>
      </w:tr>
      <w:tr w:rsidR="00B608B5" w:rsidRPr="00CF3673" w:rsidTr="00063143">
        <w:trPr>
          <w:trHeight w:val="300"/>
        </w:trPr>
        <w:tc>
          <w:tcPr>
            <w:tcW w:w="2740" w:type="dxa"/>
            <w:tcBorders>
              <w:top w:val="single" w:sz="4" w:space="0" w:color="auto"/>
              <w:left w:val="nil"/>
              <w:bottom w:val="nil"/>
              <w:right w:val="nil"/>
            </w:tcBorders>
            <w:shd w:val="clear" w:color="000000" w:fill="FFFFFF"/>
            <w:noWrap/>
            <w:vAlign w:val="bottom"/>
            <w:hideMark/>
          </w:tcPr>
          <w:p w:rsidR="00376503" w:rsidRPr="00CF3673" w:rsidRDefault="00376503" w:rsidP="00B608B5">
            <w:pPr>
              <w:spacing w:after="0" w:line="240" w:lineRule="auto"/>
              <w:rPr>
                <w:rFonts w:ascii="Calibri" w:eastAsia="Times New Roman" w:hAnsi="Calibri" w:cs="Times New Roman"/>
                <w:i/>
                <w:iCs/>
                <w:color w:val="000000"/>
                <w:sz w:val="18"/>
                <w:szCs w:val="18"/>
                <w:lang w:eastAsia="en-GB"/>
              </w:rPr>
            </w:pPr>
            <w:r w:rsidRPr="00CF3673">
              <w:rPr>
                <w:rFonts w:ascii="Calibri" w:eastAsia="Times New Roman" w:hAnsi="Calibri" w:cs="Times New Roman"/>
                <w:i/>
                <w:iCs/>
                <w:color w:val="000000"/>
                <w:sz w:val="18"/>
                <w:szCs w:val="18"/>
                <w:lang w:eastAsia="en-GB"/>
              </w:rPr>
              <w:t>Diversi</w:t>
            </w:r>
            <w:r w:rsidR="00B608B5" w:rsidRPr="00CF3673">
              <w:rPr>
                <w:rFonts w:ascii="Calibri" w:eastAsia="Times New Roman" w:hAnsi="Calibri" w:cs="Times New Roman"/>
                <w:i/>
                <w:iCs/>
                <w:color w:val="000000"/>
                <w:sz w:val="18"/>
                <w:szCs w:val="18"/>
                <w:lang w:eastAsia="en-GB"/>
              </w:rPr>
              <w:t>dade de contactos</w:t>
            </w:r>
          </w:p>
        </w:tc>
        <w:tc>
          <w:tcPr>
            <w:tcW w:w="68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68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834"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728"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92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108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108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82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r>
      <w:tr w:rsidR="00B608B5" w:rsidRPr="00CF3673" w:rsidTr="00063143">
        <w:trPr>
          <w:trHeight w:val="315"/>
        </w:trPr>
        <w:tc>
          <w:tcPr>
            <w:tcW w:w="2740" w:type="dxa"/>
            <w:tcBorders>
              <w:top w:val="nil"/>
              <w:left w:val="nil"/>
              <w:bottom w:val="double" w:sz="6" w:space="0" w:color="auto"/>
              <w:right w:val="nil"/>
            </w:tcBorders>
            <w:shd w:val="clear" w:color="000000" w:fill="FFFFFF"/>
            <w:noWrap/>
            <w:vAlign w:val="bottom"/>
            <w:hideMark/>
          </w:tcPr>
          <w:p w:rsidR="00376503" w:rsidRPr="00CF3673" w:rsidRDefault="00B608B5" w:rsidP="00B608B5">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xml:space="preserve">Media dos contactos </w:t>
            </w:r>
            <w:r w:rsidR="006A4724" w:rsidRPr="00CF3673">
              <w:rPr>
                <w:rFonts w:ascii="Calibri" w:eastAsia="Times New Roman" w:hAnsi="Calibri" w:cs="Times New Roman"/>
                <w:color w:val="000000"/>
                <w:sz w:val="18"/>
                <w:szCs w:val="18"/>
                <w:lang w:eastAsia="en-GB"/>
              </w:rPr>
              <w:t>diferentes</w:t>
            </w:r>
          </w:p>
        </w:tc>
        <w:tc>
          <w:tcPr>
            <w:tcW w:w="68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2.2</w:t>
            </w:r>
          </w:p>
        </w:tc>
        <w:tc>
          <w:tcPr>
            <w:tcW w:w="68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3.5</w:t>
            </w:r>
          </w:p>
        </w:tc>
        <w:tc>
          <w:tcPr>
            <w:tcW w:w="834"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4.6</w:t>
            </w:r>
          </w:p>
        </w:tc>
        <w:tc>
          <w:tcPr>
            <w:tcW w:w="728"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2.9</w:t>
            </w:r>
          </w:p>
        </w:tc>
        <w:tc>
          <w:tcPr>
            <w:tcW w:w="92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2.1</w:t>
            </w:r>
          </w:p>
        </w:tc>
        <w:tc>
          <w:tcPr>
            <w:tcW w:w="108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4.0</w:t>
            </w:r>
          </w:p>
        </w:tc>
        <w:tc>
          <w:tcPr>
            <w:tcW w:w="108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2.6</w:t>
            </w:r>
          </w:p>
        </w:tc>
        <w:tc>
          <w:tcPr>
            <w:tcW w:w="82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2.7</w:t>
            </w:r>
          </w:p>
        </w:tc>
      </w:tr>
      <w:tr w:rsidR="00376503" w:rsidRPr="00CF3673" w:rsidTr="00063143">
        <w:trPr>
          <w:trHeight w:val="315"/>
        </w:trPr>
        <w:tc>
          <w:tcPr>
            <w:tcW w:w="9562" w:type="dxa"/>
            <w:gridSpan w:val="9"/>
            <w:tcBorders>
              <w:top w:val="double" w:sz="6" w:space="0" w:color="auto"/>
              <w:left w:val="nil"/>
              <w:bottom w:val="nil"/>
              <w:right w:val="nil"/>
            </w:tcBorders>
            <w:shd w:val="clear" w:color="000000" w:fill="FFFFFF"/>
            <w:noWrap/>
            <w:vAlign w:val="bottom"/>
            <w:hideMark/>
          </w:tcPr>
          <w:p w:rsidR="00376503" w:rsidRPr="00CF3673" w:rsidRDefault="00376503" w:rsidP="00B608B5">
            <w:pPr>
              <w:pStyle w:val="Tablenote"/>
              <w:rPr>
                <w:lang w:val="pt-PT"/>
              </w:rPr>
            </w:pPr>
            <w:r w:rsidRPr="00CF3673">
              <w:rPr>
                <w:b/>
                <w:lang w:val="pt-PT"/>
              </w:rPr>
              <w:t>Not</w:t>
            </w:r>
            <w:r w:rsidR="00B608B5" w:rsidRPr="00CF3673">
              <w:rPr>
                <w:b/>
                <w:lang w:val="pt-PT"/>
              </w:rPr>
              <w:t>a</w:t>
            </w:r>
            <w:r w:rsidRPr="00CF3673">
              <w:rPr>
                <w:lang w:val="pt-PT"/>
              </w:rPr>
              <w:t xml:space="preserve">: </w:t>
            </w:r>
            <w:r w:rsidR="00B608B5" w:rsidRPr="00CF3673">
              <w:rPr>
                <w:lang w:val="pt-PT"/>
              </w:rPr>
              <w:t>Informação em falta num total de 23 observações</w:t>
            </w:r>
            <w:r w:rsidRPr="00CF3673">
              <w:rPr>
                <w:lang w:val="pt-PT"/>
              </w:rPr>
              <w:t xml:space="preserve">. </w:t>
            </w:r>
            <w:r w:rsidR="00B608B5" w:rsidRPr="00CF3673">
              <w:rPr>
                <w:lang w:val="pt-PT"/>
              </w:rPr>
              <w:t xml:space="preserve">Mais ainda, </w:t>
            </w:r>
            <w:r w:rsidRPr="00CF3673">
              <w:rPr>
                <w:lang w:val="pt-PT"/>
              </w:rPr>
              <w:t>1</w:t>
            </w:r>
            <w:r w:rsidR="00B608B5" w:rsidRPr="00CF3673">
              <w:rPr>
                <w:lang w:val="pt-PT"/>
              </w:rPr>
              <w:t xml:space="preserve"> observação em falta sobre o</w:t>
            </w:r>
            <w:r w:rsidR="00B608B5" w:rsidRPr="00CF3673">
              <w:rPr>
                <w:i/>
                <w:lang w:val="pt-PT"/>
              </w:rPr>
              <w:t xml:space="preserve"> status</w:t>
            </w:r>
            <w:r w:rsidR="00B608B5" w:rsidRPr="00CF3673">
              <w:rPr>
                <w:lang w:val="pt-PT"/>
              </w:rPr>
              <w:t xml:space="preserve"> legal e propriedade da empresa</w:t>
            </w:r>
            <w:r w:rsidRPr="00CF3673">
              <w:rPr>
                <w:lang w:val="pt-PT"/>
              </w:rPr>
              <w:t>.</w:t>
            </w:r>
          </w:p>
        </w:tc>
      </w:tr>
      <w:tr w:rsidR="00B608B5" w:rsidRPr="00CF3673" w:rsidTr="00063143">
        <w:trPr>
          <w:trHeight w:val="300"/>
        </w:trPr>
        <w:tc>
          <w:tcPr>
            <w:tcW w:w="4100" w:type="dxa"/>
            <w:gridSpan w:val="3"/>
            <w:tcBorders>
              <w:top w:val="nil"/>
              <w:left w:val="nil"/>
              <w:bottom w:val="nil"/>
              <w:right w:val="nil"/>
            </w:tcBorders>
            <w:shd w:val="clear" w:color="000000" w:fill="FFFFFF"/>
            <w:noWrap/>
            <w:vAlign w:val="bottom"/>
            <w:hideMark/>
          </w:tcPr>
          <w:p w:rsidR="00376503" w:rsidRPr="00CF3673" w:rsidRDefault="00B608B5" w:rsidP="00E94D9F">
            <w:pPr>
              <w:pStyle w:val="Tablenote"/>
              <w:rPr>
                <w:lang w:val="pt-PT"/>
              </w:rPr>
            </w:pPr>
            <w:r w:rsidRPr="00CF3673">
              <w:rPr>
                <w:b/>
                <w:lang w:val="pt-PT"/>
              </w:rPr>
              <w:t>Fonte</w:t>
            </w:r>
            <w:r w:rsidR="00376503" w:rsidRPr="00CF3673">
              <w:rPr>
                <w:lang w:val="pt-PT"/>
              </w:rPr>
              <w:t xml:space="preserve">: </w:t>
            </w:r>
            <w:r w:rsidR="006A4724" w:rsidRPr="00CF3673">
              <w:rPr>
                <w:lang w:val="pt-PT"/>
              </w:rPr>
              <w:t>Cálculos</w:t>
            </w:r>
            <w:r w:rsidR="00E94D9F" w:rsidRPr="00CF3673">
              <w:rPr>
                <w:lang w:val="pt-PT"/>
              </w:rPr>
              <w:t xml:space="preserve"> do</w:t>
            </w:r>
            <w:r w:rsidR="0072412E" w:rsidRPr="00CF3673">
              <w:rPr>
                <w:lang w:val="pt-PT"/>
              </w:rPr>
              <w:t>s</w:t>
            </w:r>
            <w:r w:rsidR="00E94D9F" w:rsidRPr="00CF3673">
              <w:rPr>
                <w:lang w:val="pt-PT"/>
              </w:rPr>
              <w:t xml:space="preserve"> autor</w:t>
            </w:r>
            <w:r w:rsidR="0072412E" w:rsidRPr="00CF3673">
              <w:rPr>
                <w:lang w:val="pt-PT"/>
              </w:rPr>
              <w:t>es</w:t>
            </w:r>
            <w:r w:rsidR="00E94D9F" w:rsidRPr="00CF3673">
              <w:rPr>
                <w:lang w:val="pt-PT"/>
              </w:rPr>
              <w:t xml:space="preserve"> usando </w:t>
            </w:r>
            <w:r w:rsidR="00376503" w:rsidRPr="00CF3673">
              <w:rPr>
                <w:lang w:val="pt-PT"/>
              </w:rPr>
              <w:t>IIM 2012.</w:t>
            </w:r>
          </w:p>
        </w:tc>
        <w:tc>
          <w:tcPr>
            <w:tcW w:w="834"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rPr>
            </w:pPr>
            <w:r w:rsidRPr="00CF3673">
              <w:rPr>
                <w:lang w:val="pt-PT"/>
              </w:rPr>
              <w:t> </w:t>
            </w:r>
          </w:p>
        </w:tc>
        <w:tc>
          <w:tcPr>
            <w:tcW w:w="728"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rPr>
            </w:pPr>
            <w:r w:rsidRPr="00CF3673">
              <w:rPr>
                <w:lang w:val="pt-PT"/>
              </w:rPr>
              <w:t> </w:t>
            </w:r>
          </w:p>
        </w:tc>
        <w:tc>
          <w:tcPr>
            <w:tcW w:w="920"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rPr>
            </w:pPr>
            <w:r w:rsidRPr="00CF3673">
              <w:rPr>
                <w:lang w:val="pt-PT"/>
              </w:rPr>
              <w:t> </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rPr>
            </w:pPr>
            <w:r w:rsidRPr="00CF3673">
              <w:rPr>
                <w:lang w:val="pt-PT"/>
              </w:rPr>
              <w:t> </w:t>
            </w:r>
          </w:p>
        </w:tc>
        <w:tc>
          <w:tcPr>
            <w:tcW w:w="1080"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rPr>
            </w:pPr>
            <w:r w:rsidRPr="00CF3673">
              <w:rPr>
                <w:lang w:val="pt-PT"/>
              </w:rPr>
              <w:t> </w:t>
            </w:r>
          </w:p>
        </w:tc>
        <w:tc>
          <w:tcPr>
            <w:tcW w:w="820"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rPr>
            </w:pPr>
            <w:r w:rsidRPr="00CF3673">
              <w:rPr>
                <w:lang w:val="pt-PT"/>
              </w:rPr>
              <w:t> </w:t>
            </w:r>
          </w:p>
        </w:tc>
      </w:tr>
    </w:tbl>
    <w:p w:rsidR="00376503" w:rsidRPr="00CF3673" w:rsidRDefault="00376503" w:rsidP="001E664B">
      <w:pPr>
        <w:pStyle w:val="MainText"/>
        <w:rPr>
          <w:lang w:val="pt-PT"/>
        </w:rPr>
      </w:pPr>
    </w:p>
    <w:p w:rsidR="00606602" w:rsidRPr="00CF3673" w:rsidRDefault="00606602" w:rsidP="00F16DEF">
      <w:pPr>
        <w:pStyle w:val="MainText"/>
        <w:rPr>
          <w:lang w:val="pt-PT"/>
        </w:rPr>
      </w:pPr>
      <w:r w:rsidRPr="00CF3673">
        <w:rPr>
          <w:lang w:val="pt-PT"/>
        </w:rPr>
        <w:lastRenderedPageBreak/>
        <w:t xml:space="preserve">A </w:t>
      </w:r>
      <w:r w:rsidR="006A4724" w:rsidRPr="00CF3673">
        <w:rPr>
          <w:lang w:val="pt-PT"/>
        </w:rPr>
        <w:t>literatura</w:t>
      </w:r>
      <w:r w:rsidRPr="00CF3673">
        <w:rPr>
          <w:lang w:val="pt-PT"/>
        </w:rPr>
        <w:t xml:space="preserve"> sugere que amizades (ligações fracas) são mais importantes do que empresas amigas (ligações fortes) como forte de novas informações e oportunidades (veja </w:t>
      </w:r>
      <w:proofErr w:type="spellStart"/>
      <w:r w:rsidRPr="00CF3673">
        <w:rPr>
          <w:lang w:val="pt-PT"/>
        </w:rPr>
        <w:t>Granovetter</w:t>
      </w:r>
      <w:proofErr w:type="spellEnd"/>
      <w:r w:rsidRPr="00CF3673">
        <w:rPr>
          <w:lang w:val="pt-PT"/>
        </w:rPr>
        <w:t>, 1995) e que um grupo diverso de amizades é mais valioso dado que providencia informação diferenciada e acesso (</w:t>
      </w:r>
      <w:proofErr w:type="spellStart"/>
      <w:r w:rsidRPr="00CF3673">
        <w:rPr>
          <w:lang w:val="pt-PT"/>
        </w:rPr>
        <w:t>Burt</w:t>
      </w:r>
      <w:proofErr w:type="spellEnd"/>
      <w:r w:rsidRPr="00CF3673">
        <w:rPr>
          <w:lang w:val="pt-PT"/>
        </w:rPr>
        <w:t xml:space="preserve">, 1992). Assim, a diversidade da rede social do empresário </w:t>
      </w:r>
      <w:r w:rsidR="006A4724" w:rsidRPr="00CF3673">
        <w:rPr>
          <w:lang w:val="pt-PT"/>
        </w:rPr>
        <w:t>poderia</w:t>
      </w:r>
      <w:r w:rsidRPr="00CF3673">
        <w:rPr>
          <w:lang w:val="pt-PT"/>
        </w:rPr>
        <w:t xml:space="preserve"> ser um bom indicador da importância do actual capital social das redes de amizades. Assim, construímos uma medida “diversidade de contacto” que é definido pelo número de categorias, apresentadas na tabela 8.1 dentro das quais a empresa tem pelo menos um contacto- por exemplo se o empresário reportar ter 4 de 8 contactos ele tem uma nota de 4. A medida da diversidade do contacto mostra que grandes empresas, empresas formais e as detidas por estrangeiros tende a ter uma diversidade de contactos, sugerindo </w:t>
      </w:r>
      <w:r w:rsidR="006A4724" w:rsidRPr="00CF3673">
        <w:rPr>
          <w:lang w:val="pt-PT"/>
        </w:rPr>
        <w:t>que</w:t>
      </w:r>
      <w:r w:rsidRPr="00CF3673">
        <w:rPr>
          <w:lang w:val="pt-PT"/>
        </w:rPr>
        <w:t xml:space="preserve"> os empresários com estas características têm vantagem sobre os pequenos e empresários locais.</w:t>
      </w:r>
    </w:p>
    <w:p w:rsidR="00376503" w:rsidRPr="00CF3673" w:rsidRDefault="00376503" w:rsidP="00376503">
      <w:pPr>
        <w:pStyle w:val="TableTitle"/>
        <w:rPr>
          <w:lang w:val="pt-PT"/>
        </w:rPr>
      </w:pPr>
      <w:bookmarkStart w:id="58" w:name="_Toc360720488"/>
      <w:r w:rsidRPr="00CF3673">
        <w:rPr>
          <w:lang w:val="pt-PT"/>
        </w:rPr>
        <w:t>Tab</w:t>
      </w:r>
      <w:r w:rsidR="00606602" w:rsidRPr="00CF3673">
        <w:rPr>
          <w:lang w:val="pt-PT"/>
        </w:rPr>
        <w:t>e</w:t>
      </w:r>
      <w:r w:rsidRPr="00CF3673">
        <w:rPr>
          <w:lang w:val="pt-PT"/>
        </w:rPr>
        <w:t>l</w:t>
      </w:r>
      <w:r w:rsidR="00606602" w:rsidRPr="00CF3673">
        <w:rPr>
          <w:lang w:val="pt-PT"/>
        </w:rPr>
        <w:t>a</w:t>
      </w:r>
      <w:r w:rsidRPr="00CF3673">
        <w:rPr>
          <w:lang w:val="pt-PT"/>
        </w:rPr>
        <w:t xml:space="preserve"> 8.2: </w:t>
      </w:r>
      <w:r w:rsidR="00606602" w:rsidRPr="00CF3673">
        <w:rPr>
          <w:lang w:val="pt-PT"/>
        </w:rPr>
        <w:t>Número médio de contactos por localização</w:t>
      </w:r>
      <w:bookmarkEnd w:id="58"/>
      <w:r w:rsidRPr="00CF3673">
        <w:rPr>
          <w:lang w:val="pt-PT"/>
        </w:rPr>
        <w:t xml:space="preserve"> </w:t>
      </w:r>
    </w:p>
    <w:tbl>
      <w:tblPr>
        <w:tblW w:w="9317" w:type="dxa"/>
        <w:tblInd w:w="93" w:type="dxa"/>
        <w:tblLook w:val="04A0" w:firstRow="1" w:lastRow="0" w:firstColumn="1" w:lastColumn="0" w:noHBand="0" w:noVBand="1"/>
      </w:tblPr>
      <w:tblGrid>
        <w:gridCol w:w="1021"/>
        <w:gridCol w:w="602"/>
        <w:gridCol w:w="720"/>
        <w:gridCol w:w="848"/>
        <w:gridCol w:w="971"/>
        <w:gridCol w:w="711"/>
        <w:gridCol w:w="1292"/>
        <w:gridCol w:w="775"/>
        <w:gridCol w:w="1071"/>
        <w:gridCol w:w="748"/>
        <w:gridCol w:w="1002"/>
      </w:tblGrid>
      <w:tr w:rsidR="00606602" w:rsidRPr="00CF3673" w:rsidTr="00063143">
        <w:trPr>
          <w:trHeight w:val="315"/>
        </w:trPr>
        <w:tc>
          <w:tcPr>
            <w:tcW w:w="1100" w:type="dxa"/>
            <w:tcBorders>
              <w:top w:val="double" w:sz="6" w:space="0" w:color="auto"/>
              <w:left w:val="nil"/>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640" w:type="dxa"/>
            <w:tcBorders>
              <w:top w:val="double" w:sz="6" w:space="0" w:color="auto"/>
              <w:left w:val="nil"/>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6729" w:type="dxa"/>
            <w:gridSpan w:val="8"/>
            <w:tcBorders>
              <w:top w:val="double" w:sz="6" w:space="0" w:color="auto"/>
              <w:left w:val="nil"/>
              <w:right w:val="nil"/>
            </w:tcBorders>
            <w:shd w:val="clear" w:color="000000" w:fill="FFFFFF"/>
            <w:noWrap/>
            <w:vAlign w:val="bottom"/>
            <w:hideMark/>
          </w:tcPr>
          <w:p w:rsidR="00376503" w:rsidRPr="00CF3673" w:rsidRDefault="006A4724" w:rsidP="006A4724">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Contactos</w:t>
            </w:r>
            <w:r w:rsidR="00376503" w:rsidRPr="00CF3673">
              <w:rPr>
                <w:rFonts w:ascii="Calibri" w:eastAsia="Times New Roman" w:hAnsi="Calibri" w:cs="Times New Roman"/>
                <w:color w:val="000000"/>
                <w:sz w:val="18"/>
                <w:szCs w:val="18"/>
                <w:lang w:eastAsia="en-GB"/>
              </w:rPr>
              <w:t xml:space="preserve"> </w:t>
            </w:r>
            <w:r w:rsidR="00606602" w:rsidRPr="00CF3673">
              <w:rPr>
                <w:rFonts w:ascii="Calibri" w:eastAsia="Times New Roman" w:hAnsi="Calibri" w:cs="Times New Roman"/>
                <w:color w:val="000000"/>
                <w:sz w:val="18"/>
                <w:szCs w:val="18"/>
                <w:lang w:eastAsia="en-GB"/>
              </w:rPr>
              <w:t>em</w:t>
            </w:r>
            <w:r w:rsidRPr="00CF3673">
              <w:rPr>
                <w:rFonts w:ascii="Calibri" w:eastAsia="Times New Roman" w:hAnsi="Calibri" w:cs="Times New Roman"/>
                <w:color w:val="000000"/>
                <w:sz w:val="18"/>
                <w:szCs w:val="18"/>
                <w:lang w:eastAsia="en-GB"/>
              </w:rPr>
              <w:t xml:space="preserve"> oficiais das</w:t>
            </w:r>
          </w:p>
        </w:tc>
        <w:tc>
          <w:tcPr>
            <w:tcW w:w="848" w:type="dxa"/>
            <w:tcBorders>
              <w:top w:val="double" w:sz="6" w:space="0" w:color="auto"/>
              <w:left w:val="nil"/>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r>
      <w:tr w:rsidR="00606602" w:rsidRPr="00CF3673" w:rsidTr="00063143">
        <w:trPr>
          <w:trHeight w:val="795"/>
        </w:trPr>
        <w:tc>
          <w:tcPr>
            <w:tcW w:w="1100" w:type="dxa"/>
            <w:tcBorders>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w:t>
            </w:r>
          </w:p>
        </w:tc>
        <w:tc>
          <w:tcPr>
            <w:tcW w:w="640" w:type="dxa"/>
            <w:tcBorders>
              <w:left w:val="nil"/>
              <w:bottom w:val="single" w:sz="4" w:space="0" w:color="auto"/>
              <w:right w:val="nil"/>
            </w:tcBorders>
            <w:shd w:val="clear" w:color="000000" w:fill="FFFFFF"/>
            <w:noWrap/>
            <w:vAlign w:val="bottom"/>
            <w:hideMark/>
          </w:tcPr>
          <w:p w:rsidR="00376503" w:rsidRPr="00CF3673" w:rsidRDefault="009446C1" w:rsidP="00606602">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xml:space="preserve">No. </w:t>
            </w:r>
            <w:r w:rsidR="00606602" w:rsidRPr="00CF3673">
              <w:rPr>
                <w:rFonts w:ascii="Calibri" w:eastAsia="Times New Roman" w:hAnsi="Calibri" w:cs="Times New Roman"/>
                <w:color w:val="000000"/>
                <w:sz w:val="18"/>
                <w:szCs w:val="18"/>
                <w:lang w:eastAsia="en-GB"/>
              </w:rPr>
              <w:t>de</w:t>
            </w:r>
            <w:r w:rsidRPr="00CF3673">
              <w:rPr>
                <w:rFonts w:ascii="Calibri" w:eastAsia="Times New Roman" w:hAnsi="Calibri" w:cs="Times New Roman"/>
                <w:color w:val="000000"/>
                <w:sz w:val="18"/>
                <w:szCs w:val="18"/>
                <w:lang w:eastAsia="en-GB"/>
              </w:rPr>
              <w:t xml:space="preserve"> o</w:t>
            </w:r>
            <w:r w:rsidR="00376503" w:rsidRPr="00CF3673">
              <w:rPr>
                <w:rFonts w:ascii="Calibri" w:eastAsia="Times New Roman" w:hAnsi="Calibri" w:cs="Times New Roman"/>
                <w:color w:val="000000"/>
                <w:sz w:val="18"/>
                <w:szCs w:val="18"/>
                <w:lang w:eastAsia="en-GB"/>
              </w:rPr>
              <w:t>bs.</w:t>
            </w:r>
          </w:p>
        </w:tc>
        <w:tc>
          <w:tcPr>
            <w:tcW w:w="760" w:type="dxa"/>
            <w:tcBorders>
              <w:left w:val="nil"/>
              <w:bottom w:val="single" w:sz="4" w:space="0" w:color="auto"/>
              <w:right w:val="nil"/>
            </w:tcBorders>
            <w:shd w:val="clear" w:color="000000" w:fill="FFFFFF"/>
            <w:vAlign w:val="center"/>
            <w:hideMark/>
          </w:tcPr>
          <w:p w:rsidR="00606602" w:rsidRPr="00CF3673" w:rsidRDefault="00606602"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Mesmo</w:t>
            </w:r>
          </w:p>
          <w:p w:rsidR="00376503" w:rsidRPr="00CF3673" w:rsidRDefault="0072412E"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S</w:t>
            </w:r>
            <w:r w:rsidR="00376503" w:rsidRPr="00CF3673">
              <w:rPr>
                <w:rFonts w:ascii="Calibri" w:eastAsia="Times New Roman" w:hAnsi="Calibri" w:cs="Times New Roman"/>
                <w:color w:val="000000"/>
                <w:sz w:val="18"/>
                <w:szCs w:val="18"/>
                <w:lang w:eastAsia="en-GB"/>
              </w:rPr>
              <w:t>ector</w:t>
            </w:r>
          </w:p>
        </w:tc>
        <w:tc>
          <w:tcPr>
            <w:tcW w:w="859" w:type="dxa"/>
            <w:tcBorders>
              <w:left w:val="nil"/>
              <w:bottom w:val="single" w:sz="4" w:space="0" w:color="auto"/>
              <w:right w:val="nil"/>
            </w:tcBorders>
            <w:shd w:val="clear" w:color="000000" w:fill="FFFFFF"/>
            <w:vAlign w:val="center"/>
            <w:hideMark/>
          </w:tcPr>
          <w:p w:rsidR="00376503" w:rsidRPr="00CF3673" w:rsidRDefault="00606602"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Di</w:t>
            </w:r>
            <w:r w:rsidR="00376503" w:rsidRPr="00CF3673">
              <w:rPr>
                <w:rFonts w:ascii="Calibri" w:eastAsia="Times New Roman" w:hAnsi="Calibri" w:cs="Times New Roman"/>
                <w:color w:val="000000"/>
                <w:sz w:val="18"/>
                <w:szCs w:val="18"/>
                <w:lang w:eastAsia="en-GB"/>
              </w:rPr>
              <w:t>ferent</w:t>
            </w:r>
            <w:r w:rsidRPr="00CF3673">
              <w:rPr>
                <w:rFonts w:ascii="Calibri" w:eastAsia="Times New Roman" w:hAnsi="Calibri" w:cs="Times New Roman"/>
                <w:color w:val="000000"/>
                <w:sz w:val="18"/>
                <w:szCs w:val="18"/>
                <w:lang w:eastAsia="en-GB"/>
              </w:rPr>
              <w:t>e</w:t>
            </w:r>
            <w:r w:rsidR="00376503" w:rsidRPr="00CF3673">
              <w:rPr>
                <w:rFonts w:ascii="Calibri" w:eastAsia="Times New Roman" w:hAnsi="Calibri" w:cs="Times New Roman"/>
                <w:color w:val="000000"/>
                <w:sz w:val="18"/>
                <w:szCs w:val="18"/>
                <w:lang w:eastAsia="en-GB"/>
              </w:rPr>
              <w:t xml:space="preserve"> sector</w:t>
            </w:r>
          </w:p>
        </w:tc>
        <w:tc>
          <w:tcPr>
            <w:tcW w:w="760" w:type="dxa"/>
            <w:tcBorders>
              <w:left w:val="nil"/>
              <w:bottom w:val="single" w:sz="4" w:space="0" w:color="auto"/>
              <w:right w:val="nil"/>
            </w:tcBorders>
            <w:shd w:val="clear" w:color="000000" w:fill="FFFFFF"/>
            <w:vAlign w:val="center"/>
            <w:hideMark/>
          </w:tcPr>
          <w:p w:rsidR="00376503" w:rsidRPr="00CF3673" w:rsidRDefault="00606602" w:rsidP="00606602">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Empresa estrangeira</w:t>
            </w:r>
          </w:p>
        </w:tc>
        <w:tc>
          <w:tcPr>
            <w:tcW w:w="760" w:type="dxa"/>
            <w:tcBorders>
              <w:left w:val="nil"/>
              <w:bottom w:val="single" w:sz="4" w:space="0" w:color="auto"/>
              <w:right w:val="nil"/>
            </w:tcBorders>
            <w:shd w:val="clear" w:color="000000" w:fill="FFFFFF"/>
            <w:vAlign w:val="center"/>
            <w:hideMark/>
          </w:tcPr>
          <w:p w:rsidR="00376503" w:rsidRPr="00CF3673" w:rsidRDefault="00F16DEF" w:rsidP="00606602">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B</w:t>
            </w:r>
            <w:r w:rsidR="00376503" w:rsidRPr="00CF3673">
              <w:rPr>
                <w:rFonts w:ascii="Calibri" w:eastAsia="Times New Roman" w:hAnsi="Calibri" w:cs="Times New Roman"/>
                <w:color w:val="000000"/>
                <w:sz w:val="18"/>
                <w:szCs w:val="18"/>
                <w:lang w:eastAsia="en-GB"/>
              </w:rPr>
              <w:t>an</w:t>
            </w:r>
            <w:r w:rsidR="00606602" w:rsidRPr="00CF3673">
              <w:rPr>
                <w:rFonts w:ascii="Calibri" w:eastAsia="Times New Roman" w:hAnsi="Calibri" w:cs="Times New Roman"/>
                <w:color w:val="000000"/>
                <w:sz w:val="18"/>
                <w:szCs w:val="18"/>
                <w:lang w:eastAsia="en-GB"/>
              </w:rPr>
              <w:t>co</w:t>
            </w:r>
            <w:r w:rsidR="00376503" w:rsidRPr="00CF3673">
              <w:rPr>
                <w:rFonts w:ascii="Calibri" w:eastAsia="Times New Roman" w:hAnsi="Calibri" w:cs="Times New Roman"/>
                <w:color w:val="000000"/>
                <w:sz w:val="18"/>
                <w:szCs w:val="18"/>
                <w:lang w:eastAsia="en-GB"/>
              </w:rPr>
              <w:t>s</w:t>
            </w:r>
          </w:p>
        </w:tc>
        <w:tc>
          <w:tcPr>
            <w:tcW w:w="1113" w:type="dxa"/>
            <w:tcBorders>
              <w:left w:val="nil"/>
              <w:bottom w:val="single" w:sz="4" w:space="0" w:color="auto"/>
              <w:right w:val="nil"/>
            </w:tcBorders>
            <w:shd w:val="clear" w:color="000000" w:fill="FFFFFF"/>
            <w:vAlign w:val="center"/>
            <w:hideMark/>
          </w:tcPr>
          <w:p w:rsidR="00376503" w:rsidRPr="00CF3673" w:rsidRDefault="006A4724" w:rsidP="00606602">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Agências</w:t>
            </w:r>
            <w:r w:rsidR="00606602" w:rsidRPr="00CF3673">
              <w:rPr>
                <w:rFonts w:ascii="Calibri" w:eastAsia="Times New Roman" w:hAnsi="Calibri" w:cs="Times New Roman"/>
                <w:color w:val="000000"/>
                <w:sz w:val="18"/>
                <w:szCs w:val="18"/>
                <w:lang w:eastAsia="en-GB"/>
              </w:rPr>
              <w:t xml:space="preserve"> </w:t>
            </w:r>
            <w:r w:rsidR="00376503" w:rsidRPr="00CF3673">
              <w:rPr>
                <w:rFonts w:ascii="Calibri" w:eastAsia="Times New Roman" w:hAnsi="Calibri" w:cs="Times New Roman"/>
                <w:color w:val="000000"/>
                <w:sz w:val="18"/>
                <w:szCs w:val="18"/>
                <w:lang w:eastAsia="en-GB"/>
              </w:rPr>
              <w:t>govern</w:t>
            </w:r>
            <w:r w:rsidR="00606602" w:rsidRPr="00CF3673">
              <w:rPr>
                <w:rFonts w:ascii="Calibri" w:eastAsia="Times New Roman" w:hAnsi="Calibri" w:cs="Times New Roman"/>
                <w:color w:val="000000"/>
                <w:sz w:val="18"/>
                <w:szCs w:val="18"/>
                <w:lang w:eastAsia="en-GB"/>
              </w:rPr>
              <w:t>a</w:t>
            </w:r>
            <w:r w:rsidR="00376503" w:rsidRPr="00CF3673">
              <w:rPr>
                <w:rFonts w:ascii="Calibri" w:eastAsia="Times New Roman" w:hAnsi="Calibri" w:cs="Times New Roman"/>
                <w:color w:val="000000"/>
                <w:sz w:val="18"/>
                <w:szCs w:val="18"/>
                <w:lang w:eastAsia="en-GB"/>
              </w:rPr>
              <w:t>ment</w:t>
            </w:r>
            <w:r w:rsidR="00606602" w:rsidRPr="00CF3673">
              <w:rPr>
                <w:rFonts w:ascii="Calibri" w:eastAsia="Times New Roman" w:hAnsi="Calibri" w:cs="Times New Roman"/>
                <w:color w:val="000000"/>
                <w:sz w:val="18"/>
                <w:szCs w:val="18"/>
                <w:lang w:eastAsia="en-GB"/>
              </w:rPr>
              <w:t>ais</w:t>
            </w:r>
          </w:p>
        </w:tc>
        <w:tc>
          <w:tcPr>
            <w:tcW w:w="737" w:type="dxa"/>
            <w:tcBorders>
              <w:left w:val="nil"/>
              <w:bottom w:val="single" w:sz="4" w:space="0" w:color="auto"/>
              <w:right w:val="nil"/>
            </w:tcBorders>
            <w:shd w:val="clear" w:color="000000" w:fill="FFFFFF"/>
            <w:vAlign w:val="center"/>
            <w:hideMark/>
          </w:tcPr>
          <w:p w:rsidR="00376503" w:rsidRPr="00CF3673" w:rsidRDefault="006A4724"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Políticos</w:t>
            </w:r>
          </w:p>
        </w:tc>
        <w:tc>
          <w:tcPr>
            <w:tcW w:w="940" w:type="dxa"/>
            <w:tcBorders>
              <w:left w:val="nil"/>
              <w:bottom w:val="single" w:sz="4" w:space="0" w:color="auto"/>
              <w:right w:val="nil"/>
            </w:tcBorders>
            <w:shd w:val="clear" w:color="000000" w:fill="FFFFFF"/>
            <w:vAlign w:val="center"/>
            <w:hideMark/>
          </w:tcPr>
          <w:p w:rsidR="00376503" w:rsidRPr="00CF3673" w:rsidRDefault="00606602" w:rsidP="00606602">
            <w:pPr>
              <w:spacing w:after="0" w:line="240" w:lineRule="auto"/>
              <w:jc w:val="center"/>
              <w:rPr>
                <w:rFonts w:ascii="Calibri" w:eastAsia="Times New Roman" w:hAnsi="Calibri" w:cs="Times New Roman"/>
                <w:color w:val="000000"/>
                <w:sz w:val="18"/>
                <w:szCs w:val="18"/>
                <w:lang w:eastAsia="en-GB"/>
              </w:rPr>
            </w:pPr>
            <w:proofErr w:type="spellStart"/>
            <w:r w:rsidRPr="00CF3673">
              <w:rPr>
                <w:rFonts w:ascii="Calibri" w:eastAsia="Times New Roman" w:hAnsi="Calibri" w:cs="Times New Roman"/>
                <w:color w:val="000000"/>
                <w:sz w:val="18"/>
                <w:szCs w:val="18"/>
                <w:lang w:eastAsia="en-GB"/>
              </w:rPr>
              <w:t>Ass</w:t>
            </w:r>
            <w:proofErr w:type="spellEnd"/>
            <w:r w:rsidRPr="00CF3673">
              <w:rPr>
                <w:rFonts w:ascii="Calibri" w:eastAsia="Times New Roman" w:hAnsi="Calibri" w:cs="Times New Roman"/>
                <w:color w:val="000000"/>
                <w:sz w:val="18"/>
                <w:szCs w:val="18"/>
                <w:lang w:eastAsia="en-GB"/>
              </w:rPr>
              <w:t>. empresariais</w:t>
            </w:r>
          </w:p>
        </w:tc>
        <w:tc>
          <w:tcPr>
            <w:tcW w:w="800" w:type="dxa"/>
            <w:tcBorders>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Total</w:t>
            </w:r>
          </w:p>
        </w:tc>
        <w:tc>
          <w:tcPr>
            <w:tcW w:w="848" w:type="dxa"/>
            <w:tcBorders>
              <w:left w:val="nil"/>
              <w:bottom w:val="single" w:sz="4" w:space="0" w:color="auto"/>
              <w:right w:val="nil"/>
            </w:tcBorders>
            <w:shd w:val="clear" w:color="000000" w:fill="FFFFFF"/>
            <w:vAlign w:val="bottom"/>
            <w:hideMark/>
          </w:tcPr>
          <w:p w:rsidR="00376503" w:rsidRPr="00CF3673" w:rsidRDefault="00606602" w:rsidP="00606602">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 xml:space="preserve">Diversidade de </w:t>
            </w:r>
            <w:r w:rsidR="006A4724" w:rsidRPr="00CF3673">
              <w:rPr>
                <w:rFonts w:ascii="Calibri" w:eastAsia="Times New Roman" w:hAnsi="Calibri" w:cs="Times New Roman"/>
                <w:color w:val="000000"/>
                <w:sz w:val="18"/>
                <w:szCs w:val="18"/>
                <w:lang w:eastAsia="en-GB"/>
              </w:rPr>
              <w:t>contactos</w:t>
            </w:r>
          </w:p>
        </w:tc>
      </w:tr>
      <w:tr w:rsidR="00606602" w:rsidRPr="00CF3673" w:rsidTr="00063143">
        <w:trPr>
          <w:trHeight w:val="300"/>
        </w:trPr>
        <w:tc>
          <w:tcPr>
            <w:tcW w:w="1100" w:type="dxa"/>
            <w:tcBorders>
              <w:top w:val="nil"/>
              <w:left w:val="nil"/>
              <w:bottom w:val="nil"/>
              <w:right w:val="nil"/>
            </w:tcBorders>
            <w:shd w:val="clear" w:color="000000" w:fill="FFFFFF"/>
            <w:noWrap/>
            <w:vAlign w:val="center"/>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Maputo</w:t>
            </w:r>
          </w:p>
        </w:tc>
        <w:tc>
          <w:tcPr>
            <w:tcW w:w="6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253</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6.6</w:t>
            </w:r>
          </w:p>
        </w:tc>
        <w:tc>
          <w:tcPr>
            <w:tcW w:w="859"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8.2</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2.0</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1.8</w:t>
            </w:r>
          </w:p>
        </w:tc>
        <w:tc>
          <w:tcPr>
            <w:tcW w:w="111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2.6</w:t>
            </w:r>
          </w:p>
        </w:tc>
        <w:tc>
          <w:tcPr>
            <w:tcW w:w="73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1.1</w:t>
            </w:r>
          </w:p>
        </w:tc>
        <w:tc>
          <w:tcPr>
            <w:tcW w:w="9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1.1</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24.1</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3.1</w:t>
            </w:r>
          </w:p>
        </w:tc>
      </w:tr>
      <w:tr w:rsidR="00606602" w:rsidRPr="00CF3673" w:rsidTr="00063143">
        <w:trPr>
          <w:trHeight w:val="300"/>
        </w:trPr>
        <w:tc>
          <w:tcPr>
            <w:tcW w:w="1100" w:type="dxa"/>
            <w:tcBorders>
              <w:top w:val="nil"/>
              <w:left w:val="nil"/>
              <w:bottom w:val="nil"/>
              <w:right w:val="nil"/>
            </w:tcBorders>
            <w:shd w:val="clear" w:color="000000" w:fill="FFFFFF"/>
            <w:noWrap/>
            <w:vAlign w:val="center"/>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Matola</w:t>
            </w:r>
          </w:p>
        </w:tc>
        <w:tc>
          <w:tcPr>
            <w:tcW w:w="6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67</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3.9</w:t>
            </w:r>
          </w:p>
        </w:tc>
        <w:tc>
          <w:tcPr>
            <w:tcW w:w="859"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5.4</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1.3</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1.0</w:t>
            </w:r>
          </w:p>
        </w:tc>
        <w:tc>
          <w:tcPr>
            <w:tcW w:w="111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1.6</w:t>
            </w:r>
          </w:p>
        </w:tc>
        <w:tc>
          <w:tcPr>
            <w:tcW w:w="73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0.5</w:t>
            </w:r>
          </w:p>
        </w:tc>
        <w:tc>
          <w:tcPr>
            <w:tcW w:w="9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1.0</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15.2</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3.1</w:t>
            </w:r>
          </w:p>
        </w:tc>
      </w:tr>
      <w:tr w:rsidR="00606602" w:rsidRPr="00CF3673" w:rsidTr="00063143">
        <w:trPr>
          <w:trHeight w:val="300"/>
        </w:trPr>
        <w:tc>
          <w:tcPr>
            <w:tcW w:w="1100" w:type="dxa"/>
            <w:tcBorders>
              <w:top w:val="nil"/>
              <w:left w:val="nil"/>
              <w:bottom w:val="nil"/>
              <w:right w:val="nil"/>
            </w:tcBorders>
            <w:shd w:val="clear" w:color="000000" w:fill="FFFFFF"/>
            <w:noWrap/>
            <w:vAlign w:val="center"/>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Beira</w:t>
            </w:r>
          </w:p>
        </w:tc>
        <w:tc>
          <w:tcPr>
            <w:tcW w:w="6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142</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3.6</w:t>
            </w:r>
          </w:p>
        </w:tc>
        <w:tc>
          <w:tcPr>
            <w:tcW w:w="859"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2.9</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0.4</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0.6</w:t>
            </w:r>
          </w:p>
        </w:tc>
        <w:tc>
          <w:tcPr>
            <w:tcW w:w="111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0.5</w:t>
            </w:r>
          </w:p>
        </w:tc>
        <w:tc>
          <w:tcPr>
            <w:tcW w:w="73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0.1</w:t>
            </w:r>
          </w:p>
        </w:tc>
        <w:tc>
          <w:tcPr>
            <w:tcW w:w="9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0.3</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8.6</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2.2</w:t>
            </w:r>
          </w:p>
        </w:tc>
      </w:tr>
      <w:tr w:rsidR="00606602" w:rsidRPr="00CF3673" w:rsidTr="00063143">
        <w:trPr>
          <w:trHeight w:val="300"/>
        </w:trPr>
        <w:tc>
          <w:tcPr>
            <w:tcW w:w="1100" w:type="dxa"/>
            <w:tcBorders>
              <w:top w:val="nil"/>
              <w:left w:val="nil"/>
              <w:bottom w:val="nil"/>
              <w:right w:val="nil"/>
            </w:tcBorders>
            <w:shd w:val="clear" w:color="000000" w:fill="FFFFFF"/>
            <w:noWrap/>
            <w:vAlign w:val="center"/>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Nampula</w:t>
            </w:r>
          </w:p>
        </w:tc>
        <w:tc>
          <w:tcPr>
            <w:tcW w:w="6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43</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4.1</w:t>
            </w:r>
          </w:p>
        </w:tc>
        <w:tc>
          <w:tcPr>
            <w:tcW w:w="859"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4.0</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1.5</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0.7</w:t>
            </w:r>
          </w:p>
        </w:tc>
        <w:tc>
          <w:tcPr>
            <w:tcW w:w="111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1.1</w:t>
            </w:r>
          </w:p>
        </w:tc>
        <w:tc>
          <w:tcPr>
            <w:tcW w:w="73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0.8</w:t>
            </w:r>
          </w:p>
        </w:tc>
        <w:tc>
          <w:tcPr>
            <w:tcW w:w="9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0.8</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13.1</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2.9</w:t>
            </w:r>
          </w:p>
        </w:tc>
      </w:tr>
      <w:tr w:rsidR="00606602" w:rsidRPr="00CF3673" w:rsidTr="00063143">
        <w:trPr>
          <w:trHeight w:val="300"/>
        </w:trPr>
        <w:tc>
          <w:tcPr>
            <w:tcW w:w="1100" w:type="dxa"/>
            <w:tcBorders>
              <w:top w:val="nil"/>
              <w:left w:val="nil"/>
              <w:bottom w:val="nil"/>
              <w:right w:val="nil"/>
            </w:tcBorders>
            <w:shd w:val="clear" w:color="000000" w:fill="FFFFFF"/>
            <w:noWrap/>
            <w:vAlign w:val="center"/>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Nacala</w:t>
            </w:r>
          </w:p>
        </w:tc>
        <w:tc>
          <w:tcPr>
            <w:tcW w:w="6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23</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3.6</w:t>
            </w:r>
          </w:p>
        </w:tc>
        <w:tc>
          <w:tcPr>
            <w:tcW w:w="859"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4.9</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0.3</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0.8</w:t>
            </w:r>
          </w:p>
        </w:tc>
        <w:tc>
          <w:tcPr>
            <w:tcW w:w="111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0.5</w:t>
            </w:r>
          </w:p>
        </w:tc>
        <w:tc>
          <w:tcPr>
            <w:tcW w:w="73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0.2</w:t>
            </w:r>
          </w:p>
        </w:tc>
        <w:tc>
          <w:tcPr>
            <w:tcW w:w="9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0.0</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10.3</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2.2</w:t>
            </w:r>
          </w:p>
        </w:tc>
      </w:tr>
      <w:tr w:rsidR="00606602" w:rsidRPr="00CF3673" w:rsidTr="00063143">
        <w:trPr>
          <w:trHeight w:val="300"/>
        </w:trPr>
        <w:tc>
          <w:tcPr>
            <w:tcW w:w="1100" w:type="dxa"/>
            <w:tcBorders>
              <w:top w:val="nil"/>
              <w:left w:val="nil"/>
              <w:bottom w:val="nil"/>
              <w:right w:val="nil"/>
            </w:tcBorders>
            <w:shd w:val="clear" w:color="000000" w:fill="FFFFFF"/>
            <w:noWrap/>
            <w:vAlign w:val="center"/>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Chimoio</w:t>
            </w:r>
          </w:p>
        </w:tc>
        <w:tc>
          <w:tcPr>
            <w:tcW w:w="6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85</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2.6</w:t>
            </w:r>
          </w:p>
        </w:tc>
        <w:tc>
          <w:tcPr>
            <w:tcW w:w="859"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2.0</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0.4</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0.3</w:t>
            </w:r>
          </w:p>
        </w:tc>
        <w:tc>
          <w:tcPr>
            <w:tcW w:w="111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0.2</w:t>
            </w:r>
          </w:p>
        </w:tc>
        <w:tc>
          <w:tcPr>
            <w:tcW w:w="73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0.7</w:t>
            </w:r>
          </w:p>
        </w:tc>
        <w:tc>
          <w:tcPr>
            <w:tcW w:w="9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0.3</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6.5</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1.8</w:t>
            </w:r>
          </w:p>
        </w:tc>
      </w:tr>
      <w:tr w:rsidR="00606602" w:rsidRPr="00CF3673" w:rsidTr="00063143">
        <w:trPr>
          <w:trHeight w:val="300"/>
        </w:trPr>
        <w:tc>
          <w:tcPr>
            <w:tcW w:w="1100" w:type="dxa"/>
            <w:tcBorders>
              <w:top w:val="nil"/>
              <w:left w:val="nil"/>
              <w:bottom w:val="nil"/>
              <w:right w:val="nil"/>
            </w:tcBorders>
            <w:shd w:val="clear" w:color="000000" w:fill="FFFFFF"/>
            <w:noWrap/>
            <w:vAlign w:val="center"/>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Tete</w:t>
            </w:r>
          </w:p>
        </w:tc>
        <w:tc>
          <w:tcPr>
            <w:tcW w:w="6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36</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4.1</w:t>
            </w:r>
          </w:p>
        </w:tc>
        <w:tc>
          <w:tcPr>
            <w:tcW w:w="859"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5.9</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0.3</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0.9</w:t>
            </w:r>
          </w:p>
        </w:tc>
        <w:tc>
          <w:tcPr>
            <w:tcW w:w="111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0.9</w:t>
            </w:r>
          </w:p>
        </w:tc>
        <w:tc>
          <w:tcPr>
            <w:tcW w:w="73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0.7</w:t>
            </w:r>
          </w:p>
        </w:tc>
        <w:tc>
          <w:tcPr>
            <w:tcW w:w="9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0.1</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12.9</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3.1</w:t>
            </w:r>
          </w:p>
        </w:tc>
      </w:tr>
      <w:tr w:rsidR="00606602" w:rsidRPr="00CF3673" w:rsidTr="00063143">
        <w:trPr>
          <w:trHeight w:val="300"/>
        </w:trPr>
        <w:tc>
          <w:tcPr>
            <w:tcW w:w="1100" w:type="dxa"/>
            <w:tcBorders>
              <w:top w:val="nil"/>
              <w:left w:val="nil"/>
              <w:bottom w:val="nil"/>
              <w:right w:val="nil"/>
            </w:tcBorders>
            <w:shd w:val="clear" w:color="000000" w:fill="FFFFFF"/>
            <w:noWrap/>
            <w:vAlign w:val="center"/>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proofErr w:type="spellStart"/>
            <w:r w:rsidRPr="00CF3673">
              <w:rPr>
                <w:rFonts w:ascii="Calibri" w:eastAsia="Times New Roman" w:hAnsi="Calibri" w:cs="Times New Roman"/>
                <w:color w:val="000000"/>
                <w:sz w:val="18"/>
                <w:szCs w:val="18"/>
                <w:lang w:eastAsia="en-GB"/>
              </w:rPr>
              <w:t>Moatize</w:t>
            </w:r>
            <w:proofErr w:type="spellEnd"/>
          </w:p>
        </w:tc>
        <w:tc>
          <w:tcPr>
            <w:tcW w:w="6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16</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3.9</w:t>
            </w:r>
          </w:p>
        </w:tc>
        <w:tc>
          <w:tcPr>
            <w:tcW w:w="859"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6.6</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0.0</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0.2</w:t>
            </w:r>
          </w:p>
        </w:tc>
        <w:tc>
          <w:tcPr>
            <w:tcW w:w="111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0.6</w:t>
            </w:r>
          </w:p>
        </w:tc>
        <w:tc>
          <w:tcPr>
            <w:tcW w:w="73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0.1</w:t>
            </w:r>
          </w:p>
        </w:tc>
        <w:tc>
          <w:tcPr>
            <w:tcW w:w="9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0.0</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11.4</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2.4</w:t>
            </w:r>
          </w:p>
        </w:tc>
      </w:tr>
      <w:tr w:rsidR="00606602" w:rsidRPr="00CF3673" w:rsidTr="00063143">
        <w:trPr>
          <w:trHeight w:val="300"/>
        </w:trPr>
        <w:tc>
          <w:tcPr>
            <w:tcW w:w="1100" w:type="dxa"/>
            <w:tcBorders>
              <w:top w:val="nil"/>
              <w:left w:val="nil"/>
              <w:bottom w:val="nil"/>
              <w:right w:val="nil"/>
            </w:tcBorders>
            <w:shd w:val="clear" w:color="000000" w:fill="FFFFFF"/>
            <w:noWrap/>
            <w:vAlign w:val="center"/>
            <w:hideMark/>
          </w:tcPr>
          <w:p w:rsidR="00376503" w:rsidRPr="00CF3673" w:rsidRDefault="00376503" w:rsidP="00063143">
            <w:pPr>
              <w:spacing w:after="0" w:line="240" w:lineRule="auto"/>
              <w:rPr>
                <w:rFonts w:ascii="Calibri" w:eastAsia="Times New Roman" w:hAnsi="Calibri" w:cs="Times New Roman"/>
                <w:color w:val="000000"/>
                <w:sz w:val="18"/>
                <w:szCs w:val="18"/>
                <w:lang w:eastAsia="en-GB"/>
              </w:rPr>
            </w:pPr>
            <w:proofErr w:type="spellStart"/>
            <w:r w:rsidRPr="00CF3673">
              <w:rPr>
                <w:rFonts w:ascii="Calibri" w:eastAsia="Times New Roman" w:hAnsi="Calibri" w:cs="Times New Roman"/>
                <w:color w:val="000000"/>
                <w:sz w:val="18"/>
                <w:szCs w:val="18"/>
                <w:lang w:eastAsia="en-GB"/>
              </w:rPr>
              <w:t>Xai-Xai</w:t>
            </w:r>
            <w:proofErr w:type="spellEnd"/>
          </w:p>
        </w:tc>
        <w:tc>
          <w:tcPr>
            <w:tcW w:w="6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44</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3.5</w:t>
            </w:r>
          </w:p>
        </w:tc>
        <w:tc>
          <w:tcPr>
            <w:tcW w:w="859"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3.7</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0.0</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1.1</w:t>
            </w:r>
          </w:p>
        </w:tc>
        <w:tc>
          <w:tcPr>
            <w:tcW w:w="111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0.9</w:t>
            </w:r>
          </w:p>
        </w:tc>
        <w:tc>
          <w:tcPr>
            <w:tcW w:w="73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0.1</w:t>
            </w:r>
          </w:p>
        </w:tc>
        <w:tc>
          <w:tcPr>
            <w:tcW w:w="9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0.9</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10.6</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2.9</w:t>
            </w:r>
          </w:p>
        </w:tc>
      </w:tr>
      <w:tr w:rsidR="00606602" w:rsidRPr="00CF3673" w:rsidTr="00063143">
        <w:trPr>
          <w:trHeight w:val="300"/>
        </w:trPr>
        <w:tc>
          <w:tcPr>
            <w:tcW w:w="1100" w:type="dxa"/>
            <w:tcBorders>
              <w:top w:val="nil"/>
              <w:left w:val="nil"/>
              <w:bottom w:val="nil"/>
              <w:right w:val="nil"/>
            </w:tcBorders>
            <w:shd w:val="clear" w:color="000000" w:fill="FFFFFF"/>
            <w:noWrap/>
            <w:vAlign w:val="center"/>
            <w:hideMark/>
          </w:tcPr>
          <w:p w:rsidR="00376503" w:rsidRPr="00CF3673" w:rsidRDefault="006A4724" w:rsidP="00063143">
            <w:pPr>
              <w:spacing w:after="0" w:line="240" w:lineRule="auto"/>
              <w:rPr>
                <w:rFonts w:ascii="Calibri" w:eastAsia="Times New Roman" w:hAnsi="Calibri" w:cs="Times New Roman"/>
                <w:color w:val="000000"/>
                <w:sz w:val="18"/>
                <w:szCs w:val="18"/>
                <w:lang w:eastAsia="en-GB"/>
              </w:rPr>
            </w:pPr>
            <w:proofErr w:type="spellStart"/>
            <w:r w:rsidRPr="00CF3673">
              <w:rPr>
                <w:rFonts w:ascii="Calibri" w:eastAsia="Times New Roman" w:hAnsi="Calibri" w:cs="Times New Roman"/>
                <w:color w:val="000000"/>
                <w:sz w:val="18"/>
                <w:szCs w:val="18"/>
                <w:lang w:eastAsia="en-GB"/>
              </w:rPr>
              <w:t>Chókwe</w:t>
            </w:r>
            <w:proofErr w:type="spellEnd"/>
          </w:p>
        </w:tc>
        <w:tc>
          <w:tcPr>
            <w:tcW w:w="6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29</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2.9</w:t>
            </w:r>
          </w:p>
        </w:tc>
        <w:tc>
          <w:tcPr>
            <w:tcW w:w="859"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1.6</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0.0</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0.8</w:t>
            </w:r>
          </w:p>
        </w:tc>
        <w:tc>
          <w:tcPr>
            <w:tcW w:w="111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0.9</w:t>
            </w:r>
          </w:p>
        </w:tc>
        <w:tc>
          <w:tcPr>
            <w:tcW w:w="73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0.1</w:t>
            </w:r>
          </w:p>
        </w:tc>
        <w:tc>
          <w:tcPr>
            <w:tcW w:w="94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1.1</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7.4</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2.9</w:t>
            </w:r>
          </w:p>
        </w:tc>
      </w:tr>
      <w:tr w:rsidR="00606602" w:rsidRPr="00CF3673" w:rsidTr="00063143">
        <w:trPr>
          <w:trHeight w:val="315"/>
        </w:trPr>
        <w:tc>
          <w:tcPr>
            <w:tcW w:w="1100" w:type="dxa"/>
            <w:tcBorders>
              <w:top w:val="nil"/>
              <w:left w:val="nil"/>
              <w:bottom w:val="double" w:sz="6" w:space="0" w:color="auto"/>
              <w:right w:val="nil"/>
            </w:tcBorders>
            <w:shd w:val="clear" w:color="000000" w:fill="FFFFFF"/>
            <w:noWrap/>
            <w:vAlign w:val="center"/>
            <w:hideMark/>
          </w:tcPr>
          <w:p w:rsidR="00376503" w:rsidRPr="00CF3673" w:rsidRDefault="006A4724" w:rsidP="00063143">
            <w:pPr>
              <w:spacing w:after="0" w:line="240" w:lineRule="auto"/>
              <w:rPr>
                <w:rFonts w:ascii="Calibri" w:eastAsia="Times New Roman" w:hAnsi="Calibri" w:cs="Times New Roman"/>
                <w:color w:val="000000"/>
                <w:sz w:val="18"/>
                <w:szCs w:val="18"/>
                <w:lang w:eastAsia="en-GB"/>
              </w:rPr>
            </w:pPr>
            <w:proofErr w:type="spellStart"/>
            <w:r w:rsidRPr="00CF3673">
              <w:rPr>
                <w:rFonts w:ascii="Calibri" w:eastAsia="Times New Roman" w:hAnsi="Calibri" w:cs="Times New Roman"/>
                <w:color w:val="000000"/>
                <w:sz w:val="18"/>
                <w:szCs w:val="18"/>
                <w:lang w:val="en-US" w:eastAsia="en-GB"/>
              </w:rPr>
              <w:t>Média</w:t>
            </w:r>
            <w:proofErr w:type="spellEnd"/>
          </w:p>
        </w:tc>
        <w:tc>
          <w:tcPr>
            <w:tcW w:w="64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738</w:t>
            </w:r>
          </w:p>
        </w:tc>
        <w:tc>
          <w:tcPr>
            <w:tcW w:w="76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4.6</w:t>
            </w:r>
          </w:p>
        </w:tc>
        <w:tc>
          <w:tcPr>
            <w:tcW w:w="859"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5.2</w:t>
            </w:r>
          </w:p>
        </w:tc>
        <w:tc>
          <w:tcPr>
            <w:tcW w:w="76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1.0</w:t>
            </w:r>
          </w:p>
        </w:tc>
        <w:tc>
          <w:tcPr>
            <w:tcW w:w="76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1.1</w:t>
            </w:r>
          </w:p>
        </w:tc>
        <w:tc>
          <w:tcPr>
            <w:tcW w:w="1113"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1.4</w:t>
            </w:r>
          </w:p>
        </w:tc>
        <w:tc>
          <w:tcPr>
            <w:tcW w:w="737"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0.6</w:t>
            </w:r>
          </w:p>
        </w:tc>
        <w:tc>
          <w:tcPr>
            <w:tcW w:w="94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0.5</w:t>
            </w:r>
          </w:p>
        </w:tc>
        <w:tc>
          <w:tcPr>
            <w:tcW w:w="80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14.9</w:t>
            </w:r>
          </w:p>
        </w:tc>
        <w:tc>
          <w:tcPr>
            <w:tcW w:w="848"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18"/>
                <w:szCs w:val="18"/>
                <w:lang w:eastAsia="en-GB"/>
              </w:rPr>
            </w:pPr>
            <w:r w:rsidRPr="00CF3673">
              <w:rPr>
                <w:rFonts w:ascii="Calibri" w:eastAsia="Times New Roman" w:hAnsi="Calibri" w:cs="Times New Roman"/>
                <w:color w:val="000000"/>
                <w:sz w:val="18"/>
                <w:szCs w:val="18"/>
                <w:lang w:eastAsia="en-GB"/>
              </w:rPr>
              <w:t>2.7</w:t>
            </w:r>
          </w:p>
        </w:tc>
      </w:tr>
      <w:tr w:rsidR="00606602" w:rsidRPr="00CF3673" w:rsidTr="00063143">
        <w:trPr>
          <w:trHeight w:val="315"/>
        </w:trPr>
        <w:tc>
          <w:tcPr>
            <w:tcW w:w="7669" w:type="dxa"/>
            <w:gridSpan w:val="9"/>
            <w:tcBorders>
              <w:top w:val="double" w:sz="6" w:space="0" w:color="auto"/>
              <w:left w:val="nil"/>
              <w:bottom w:val="nil"/>
              <w:right w:val="nil"/>
            </w:tcBorders>
            <w:shd w:val="clear" w:color="000000" w:fill="FFFFFF"/>
            <w:noWrap/>
            <w:vAlign w:val="bottom"/>
            <w:hideMark/>
          </w:tcPr>
          <w:p w:rsidR="00376503" w:rsidRPr="00CF3673" w:rsidRDefault="00376503" w:rsidP="00606602">
            <w:pPr>
              <w:pStyle w:val="Tablenote"/>
              <w:rPr>
                <w:lang w:val="pt-PT"/>
              </w:rPr>
            </w:pPr>
            <w:r w:rsidRPr="00CF3673">
              <w:rPr>
                <w:b/>
                <w:lang w:val="pt-PT"/>
              </w:rPr>
              <w:t>Not</w:t>
            </w:r>
            <w:r w:rsidR="00606602" w:rsidRPr="00CF3673">
              <w:rPr>
                <w:b/>
                <w:lang w:val="pt-PT"/>
              </w:rPr>
              <w:t>a</w:t>
            </w:r>
            <w:r w:rsidRPr="00CF3673">
              <w:rPr>
                <w:lang w:val="pt-PT"/>
              </w:rPr>
              <w:t xml:space="preserve">: </w:t>
            </w:r>
            <w:r w:rsidR="00606602" w:rsidRPr="00CF3673">
              <w:rPr>
                <w:lang w:val="pt-PT"/>
              </w:rPr>
              <w:t>Informação em falta para um total de 23 observações</w:t>
            </w:r>
            <w:r w:rsidRPr="00CF3673">
              <w:rPr>
                <w:lang w:val="pt-PT"/>
              </w:rPr>
              <w:t>.</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lang w:eastAsia="en-GB"/>
              </w:rPr>
            </w:pPr>
            <w:r w:rsidRPr="00CF3673">
              <w:rPr>
                <w:rFonts w:ascii="Calibri" w:eastAsia="Times New Roman" w:hAnsi="Calibri" w:cs="Times New Roman"/>
                <w:color w:val="000000"/>
                <w:lang w:eastAsia="en-GB"/>
              </w:rPr>
              <w:t> </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lang w:eastAsia="en-GB"/>
              </w:rPr>
            </w:pPr>
            <w:r w:rsidRPr="00CF3673">
              <w:rPr>
                <w:rFonts w:ascii="Calibri" w:eastAsia="Times New Roman" w:hAnsi="Calibri" w:cs="Times New Roman"/>
                <w:color w:val="000000"/>
                <w:lang w:eastAsia="en-GB"/>
              </w:rPr>
              <w:t> </w:t>
            </w:r>
          </w:p>
        </w:tc>
      </w:tr>
      <w:tr w:rsidR="00606602" w:rsidRPr="00CF3673" w:rsidTr="00063143">
        <w:trPr>
          <w:trHeight w:val="300"/>
        </w:trPr>
        <w:tc>
          <w:tcPr>
            <w:tcW w:w="4119" w:type="dxa"/>
            <w:gridSpan w:val="5"/>
            <w:tcBorders>
              <w:top w:val="nil"/>
              <w:left w:val="nil"/>
              <w:bottom w:val="nil"/>
              <w:right w:val="nil"/>
            </w:tcBorders>
            <w:shd w:val="clear" w:color="000000" w:fill="FFFFFF"/>
            <w:noWrap/>
            <w:vAlign w:val="bottom"/>
            <w:hideMark/>
          </w:tcPr>
          <w:p w:rsidR="00376503" w:rsidRPr="00CF3673" w:rsidRDefault="00606602" w:rsidP="00606602">
            <w:pPr>
              <w:pStyle w:val="Tablenote"/>
              <w:rPr>
                <w:lang w:val="pt-PT"/>
              </w:rPr>
            </w:pPr>
            <w:r w:rsidRPr="00CF3673">
              <w:rPr>
                <w:b/>
                <w:lang w:val="pt-PT"/>
              </w:rPr>
              <w:t>Fonte</w:t>
            </w:r>
            <w:r w:rsidR="00376503" w:rsidRPr="00CF3673">
              <w:rPr>
                <w:lang w:val="pt-PT"/>
              </w:rPr>
              <w:t xml:space="preserve">: </w:t>
            </w:r>
            <w:r w:rsidR="006A4724" w:rsidRPr="00CF3673">
              <w:rPr>
                <w:lang w:val="pt-PT"/>
              </w:rPr>
              <w:t>Cálculos</w:t>
            </w:r>
            <w:r w:rsidRPr="00CF3673">
              <w:rPr>
                <w:lang w:val="pt-PT"/>
              </w:rPr>
              <w:t xml:space="preserve"> dos autores com base no </w:t>
            </w:r>
            <w:r w:rsidR="00376503" w:rsidRPr="00CF3673">
              <w:rPr>
                <w:lang w:val="pt-PT"/>
              </w:rPr>
              <w:t>IIM 2012.</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rPr>
            </w:pPr>
            <w:r w:rsidRPr="00CF3673">
              <w:rPr>
                <w:lang w:val="pt-PT"/>
              </w:rPr>
              <w:t> </w:t>
            </w:r>
          </w:p>
        </w:tc>
        <w:tc>
          <w:tcPr>
            <w:tcW w:w="1113"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rPr>
            </w:pPr>
            <w:r w:rsidRPr="00CF3673">
              <w:rPr>
                <w:lang w:val="pt-PT"/>
              </w:rPr>
              <w:t> </w:t>
            </w:r>
          </w:p>
        </w:tc>
        <w:tc>
          <w:tcPr>
            <w:tcW w:w="737"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rPr>
            </w:pPr>
            <w:r w:rsidRPr="00CF3673">
              <w:rPr>
                <w:lang w:val="pt-PT"/>
              </w:rPr>
              <w:t> </w:t>
            </w:r>
          </w:p>
        </w:tc>
        <w:tc>
          <w:tcPr>
            <w:tcW w:w="940"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rPr>
            </w:pPr>
            <w:r w:rsidRPr="00CF3673">
              <w:rPr>
                <w:lang w:val="pt-PT"/>
              </w:rPr>
              <w:t> </w:t>
            </w:r>
          </w:p>
        </w:tc>
        <w:tc>
          <w:tcPr>
            <w:tcW w:w="80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lang w:eastAsia="en-GB"/>
              </w:rPr>
            </w:pPr>
            <w:r w:rsidRPr="00CF3673">
              <w:rPr>
                <w:rFonts w:ascii="Calibri" w:eastAsia="Times New Roman" w:hAnsi="Calibri" w:cs="Times New Roman"/>
                <w:color w:val="000000"/>
                <w:lang w:eastAsia="en-GB"/>
              </w:rPr>
              <w:t> </w:t>
            </w:r>
          </w:p>
        </w:tc>
        <w:tc>
          <w:tcPr>
            <w:tcW w:w="84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lang w:eastAsia="en-GB"/>
              </w:rPr>
            </w:pPr>
            <w:r w:rsidRPr="00CF3673">
              <w:rPr>
                <w:rFonts w:ascii="Calibri" w:eastAsia="Times New Roman" w:hAnsi="Calibri" w:cs="Times New Roman"/>
                <w:color w:val="000000"/>
                <w:lang w:eastAsia="en-GB"/>
              </w:rPr>
              <w:t> </w:t>
            </w:r>
          </w:p>
        </w:tc>
      </w:tr>
    </w:tbl>
    <w:p w:rsidR="00376503" w:rsidRPr="00CF3673" w:rsidRDefault="00376503" w:rsidP="001E664B">
      <w:pPr>
        <w:pStyle w:val="MainText"/>
        <w:rPr>
          <w:lang w:val="pt-PT"/>
        </w:rPr>
      </w:pPr>
    </w:p>
    <w:p w:rsidR="00606602" w:rsidRPr="00CF3673" w:rsidRDefault="00606602" w:rsidP="001E664B">
      <w:pPr>
        <w:pStyle w:val="MainText"/>
        <w:rPr>
          <w:lang w:val="pt-PT"/>
        </w:rPr>
      </w:pPr>
      <w:r w:rsidRPr="00CF3673">
        <w:rPr>
          <w:lang w:val="pt-PT"/>
        </w:rPr>
        <w:t xml:space="preserve">A tabela 8.2 mostra a média do número de contactos de </w:t>
      </w:r>
      <w:r w:rsidR="006A4724" w:rsidRPr="00CF3673">
        <w:rPr>
          <w:lang w:val="pt-PT"/>
        </w:rPr>
        <w:t>negócios</w:t>
      </w:r>
      <w:r w:rsidRPr="00CF3673">
        <w:rPr>
          <w:lang w:val="pt-PT"/>
        </w:rPr>
        <w:t xml:space="preserve"> das empresas por localização. Empresários localizados em Maputo e Matola ambos têm grandes e mais diversificados contactos, enquanto empresários no Chimoio têm a menos diferenciado conjunto de contactos. Dado que Maputo está ligado à Africa do Sul e por possuir a maior comunidade internacional, não é surpreendente que os empresários de Maputo tenham mais contactos no estrangeiro. Enquanto beira é a segunda maior cidade, os empresários localizados aqui tende a ter pequenos e diversificada rede de contactos. As empresas localizadas em Nacala, Tete e </w:t>
      </w:r>
      <w:proofErr w:type="spellStart"/>
      <w:r w:rsidRPr="00CF3673">
        <w:rPr>
          <w:lang w:val="pt-PT"/>
        </w:rPr>
        <w:t>Moatize</w:t>
      </w:r>
      <w:proofErr w:type="spellEnd"/>
      <w:r w:rsidRPr="00CF3673">
        <w:rPr>
          <w:lang w:val="pt-PT"/>
        </w:rPr>
        <w:t xml:space="preserve"> tende a não ter contactos formais com </w:t>
      </w:r>
      <w:r w:rsidR="006A4724" w:rsidRPr="00CF3673">
        <w:rPr>
          <w:lang w:val="pt-PT"/>
        </w:rPr>
        <w:t>Associações</w:t>
      </w:r>
      <w:r w:rsidRPr="00CF3673">
        <w:rPr>
          <w:lang w:val="pt-PT"/>
        </w:rPr>
        <w:t xml:space="preserve"> Comerciais; Este </w:t>
      </w:r>
      <w:r w:rsidRPr="00CF3673">
        <w:rPr>
          <w:lang w:val="pt-PT"/>
        </w:rPr>
        <w:lastRenderedPageBreak/>
        <w:t>facto está em alinhamento com a constatação de que apenas duas empresas apenas 2 empresas foram identificadas como membros duma associação comercial nestas cidades (não reportado).</w:t>
      </w:r>
    </w:p>
    <w:p w:rsidR="00606602" w:rsidRPr="00CF3673" w:rsidRDefault="00606602" w:rsidP="001E664B">
      <w:pPr>
        <w:pStyle w:val="MainText"/>
        <w:rPr>
          <w:lang w:val="pt-PT"/>
        </w:rPr>
      </w:pPr>
      <w:r w:rsidRPr="00CF3673">
        <w:rPr>
          <w:lang w:val="pt-PT"/>
        </w:rPr>
        <w:t xml:space="preserve">Relativamente às diferentes categorias de redes sociais, as empresas foram questionadas por quê estes contactos são de algum valor para elas. A figura 8.1 </w:t>
      </w:r>
      <w:r w:rsidR="006A4724" w:rsidRPr="00CF3673">
        <w:rPr>
          <w:lang w:val="pt-PT"/>
        </w:rPr>
        <w:t>destrinça</w:t>
      </w:r>
      <w:r w:rsidRPr="00CF3673">
        <w:rPr>
          <w:lang w:val="pt-PT"/>
        </w:rPr>
        <w:t xml:space="preserve"> a importância dos contactos de negócios por cada tipo. Duma maneira geral, a diferencial importância das ligações/redes empresariais e de negócios sustentam o argumento acima de que os </w:t>
      </w:r>
      <w:r w:rsidR="006A4724" w:rsidRPr="00CF3673">
        <w:rPr>
          <w:lang w:val="pt-PT"/>
        </w:rPr>
        <w:t>empresários</w:t>
      </w:r>
      <w:r w:rsidRPr="00CF3673">
        <w:rPr>
          <w:lang w:val="pt-PT"/>
        </w:rPr>
        <w:t xml:space="preserve"> com rede de contactos diversificados têm vantagens sobre as empresas com menos contactos. O mais importante benefício associado com as redes de </w:t>
      </w:r>
      <w:r w:rsidR="006A4724" w:rsidRPr="00CF3673">
        <w:rPr>
          <w:lang w:val="pt-PT"/>
        </w:rPr>
        <w:t>contacto</w:t>
      </w:r>
      <w:r w:rsidRPr="00CF3673">
        <w:rPr>
          <w:lang w:val="pt-PT"/>
        </w:rPr>
        <w:t xml:space="preserve"> entre empresários no mesmo sector, nos diferentes sectores e fora do país é a partilha de informação acerca de novas </w:t>
      </w:r>
      <w:r w:rsidR="006A4724" w:rsidRPr="00CF3673">
        <w:rPr>
          <w:lang w:val="pt-PT"/>
        </w:rPr>
        <w:t>tecnologias</w:t>
      </w:r>
      <w:r w:rsidRPr="00CF3673">
        <w:rPr>
          <w:lang w:val="pt-PT"/>
        </w:rPr>
        <w:t xml:space="preserve"> e produtos. As relações de negócio no mesmo e sectores diferentes também ajudam na obtenção de informação especializada sobre as perspectivas comerciais em termos de parceiros. A menos valorizada lista de contactos é relativa às </w:t>
      </w:r>
      <w:proofErr w:type="spellStart"/>
      <w:r w:rsidRPr="00CF3673">
        <w:rPr>
          <w:lang w:val="pt-PT"/>
        </w:rPr>
        <w:t>ONGs</w:t>
      </w:r>
      <w:proofErr w:type="spellEnd"/>
      <w:r w:rsidRPr="00CF3673">
        <w:rPr>
          <w:lang w:val="pt-PT"/>
        </w:rPr>
        <w:t xml:space="preserve"> e as Associações Comerciais. Cerca de 20% das empresas com contactos destas instituições indicaram que as </w:t>
      </w:r>
      <w:proofErr w:type="spellStart"/>
      <w:r w:rsidRPr="00CF3673">
        <w:rPr>
          <w:lang w:val="pt-PT"/>
        </w:rPr>
        <w:t>ONGs</w:t>
      </w:r>
      <w:proofErr w:type="spellEnd"/>
      <w:r w:rsidRPr="00CF3673">
        <w:rPr>
          <w:lang w:val="pt-PT"/>
        </w:rPr>
        <w:t xml:space="preserve"> e as Associações comerciais não trazem nenhum valor à sua empresa; contudo; 27% dos membros das associações indicaram que era importante ter contactos deste por beneficiarem de assessoria e orientação. Não </w:t>
      </w:r>
      <w:r w:rsidR="006A4724" w:rsidRPr="00CF3673">
        <w:rPr>
          <w:lang w:val="pt-PT"/>
        </w:rPr>
        <w:t>surpreendente</w:t>
      </w:r>
      <w:r w:rsidRPr="00CF3673">
        <w:rPr>
          <w:lang w:val="pt-PT"/>
        </w:rPr>
        <w:t>, os oficiais bancários providenciam apoio financeiro em termos de empréstimo, enquanto os oficiais públicos e políticos são tidos como valiosos quando as empresas lidam com burocracia.</w:t>
      </w:r>
    </w:p>
    <w:p w:rsidR="00376503" w:rsidRPr="00CF3673" w:rsidRDefault="00606602" w:rsidP="009446C1">
      <w:pPr>
        <w:pStyle w:val="FigureTitle"/>
        <w:rPr>
          <w:lang w:val="pt-PT"/>
        </w:rPr>
      </w:pPr>
      <w:bookmarkStart w:id="59" w:name="_Toc360720523"/>
      <w:r w:rsidRPr="00CF3673">
        <w:rPr>
          <w:lang w:val="pt-PT"/>
        </w:rPr>
        <w:t>Figura</w:t>
      </w:r>
      <w:r w:rsidR="00376503" w:rsidRPr="00CF3673">
        <w:rPr>
          <w:lang w:val="pt-PT"/>
        </w:rPr>
        <w:t xml:space="preserve"> 8.1: </w:t>
      </w:r>
      <w:r w:rsidRPr="00CF3673">
        <w:rPr>
          <w:lang w:val="pt-PT"/>
        </w:rPr>
        <w:t>As razões para o valor dos contactos para empresas, por tipo</w:t>
      </w:r>
      <w:r w:rsidR="00EE6F92" w:rsidRPr="00CF3673">
        <w:rPr>
          <w:lang w:val="pt-PT"/>
        </w:rPr>
        <w:t>,</w:t>
      </w:r>
      <w:r w:rsidRPr="00CF3673">
        <w:rPr>
          <w:lang w:val="pt-PT"/>
        </w:rPr>
        <w:t>%</w:t>
      </w:r>
      <w:r w:rsidR="00EE6F92" w:rsidRPr="00CF3673">
        <w:rPr>
          <w:lang w:val="pt-PT"/>
        </w:rPr>
        <w:t>.</w:t>
      </w:r>
      <w:bookmarkEnd w:id="59"/>
    </w:p>
    <w:p w:rsidR="00376503" w:rsidRPr="00CF3673" w:rsidRDefault="00376503" w:rsidP="00376503">
      <w:pPr>
        <w:pStyle w:val="Tablenote"/>
        <w:rPr>
          <w:lang w:val="pt-PT"/>
        </w:rPr>
      </w:pPr>
      <w:r w:rsidRPr="00CF3673">
        <w:rPr>
          <w:noProof/>
        </w:rPr>
        <w:drawing>
          <wp:inline distT="0" distB="0" distL="0" distR="0" wp14:anchorId="477F1DAA" wp14:editId="72A1E49D">
            <wp:extent cx="5624623" cy="3700130"/>
            <wp:effectExtent l="0" t="0" r="14605" b="1524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bl>
      <w:tblPr>
        <w:tblW w:w="8993" w:type="dxa"/>
        <w:tblLook w:val="04A0" w:firstRow="1" w:lastRow="0" w:firstColumn="1" w:lastColumn="0" w:noHBand="0" w:noVBand="1"/>
      </w:tblPr>
      <w:tblGrid>
        <w:gridCol w:w="8993"/>
      </w:tblGrid>
      <w:tr w:rsidR="00376503" w:rsidRPr="00CF3673" w:rsidTr="0073571C">
        <w:trPr>
          <w:trHeight w:val="250"/>
        </w:trPr>
        <w:tc>
          <w:tcPr>
            <w:tcW w:w="8993" w:type="dxa"/>
            <w:tcBorders>
              <w:top w:val="nil"/>
              <w:left w:val="nil"/>
              <w:bottom w:val="nil"/>
              <w:right w:val="nil"/>
            </w:tcBorders>
            <w:shd w:val="clear" w:color="000000" w:fill="FFFFFF"/>
            <w:vAlign w:val="center"/>
            <w:hideMark/>
          </w:tcPr>
          <w:p w:rsidR="00376503" w:rsidRPr="00CF3673" w:rsidRDefault="00376503" w:rsidP="00166A2A">
            <w:pPr>
              <w:pStyle w:val="Tablenote"/>
              <w:rPr>
                <w:lang w:val="pt-PT"/>
              </w:rPr>
            </w:pPr>
            <w:r w:rsidRPr="00CF3673">
              <w:rPr>
                <w:b/>
                <w:lang w:val="pt-PT"/>
              </w:rPr>
              <w:lastRenderedPageBreak/>
              <w:t>Not</w:t>
            </w:r>
            <w:r w:rsidR="00166A2A" w:rsidRPr="00CF3673">
              <w:rPr>
                <w:b/>
                <w:lang w:val="pt-PT"/>
              </w:rPr>
              <w:t>a</w:t>
            </w:r>
            <w:r w:rsidRPr="00CF3673">
              <w:rPr>
                <w:lang w:val="pt-PT"/>
              </w:rPr>
              <w:t xml:space="preserve">: </w:t>
            </w:r>
            <w:r w:rsidR="00166A2A" w:rsidRPr="00CF3673">
              <w:rPr>
                <w:lang w:val="pt-PT"/>
              </w:rPr>
              <w:t>A questão central na figura</w:t>
            </w:r>
            <w:r w:rsidRPr="00CF3673">
              <w:rPr>
                <w:lang w:val="pt-PT"/>
              </w:rPr>
              <w:t>: “</w:t>
            </w:r>
            <w:r w:rsidR="00166A2A" w:rsidRPr="00CF3673">
              <w:rPr>
                <w:lang w:val="pt-PT"/>
              </w:rPr>
              <w:t>Porque os contactos (i.e. contactos de negócios) são valiosos para a empresa</w:t>
            </w:r>
            <w:r w:rsidRPr="00CF3673">
              <w:rPr>
                <w:lang w:val="pt-PT"/>
              </w:rPr>
              <w:t>?” Num</w:t>
            </w:r>
            <w:r w:rsidR="00166A2A" w:rsidRPr="00CF3673">
              <w:rPr>
                <w:lang w:val="pt-PT"/>
              </w:rPr>
              <w:t xml:space="preserve">ero de </w:t>
            </w:r>
            <w:r w:rsidRPr="00CF3673">
              <w:rPr>
                <w:lang w:val="pt-PT"/>
              </w:rPr>
              <w:t>observa</w:t>
            </w:r>
            <w:r w:rsidR="00166A2A" w:rsidRPr="00CF3673">
              <w:rPr>
                <w:lang w:val="pt-PT"/>
              </w:rPr>
              <w:t>ções</w:t>
            </w:r>
            <w:r w:rsidRPr="00CF3673">
              <w:rPr>
                <w:lang w:val="pt-PT"/>
              </w:rPr>
              <w:t>: 564.</w:t>
            </w:r>
          </w:p>
        </w:tc>
      </w:tr>
      <w:tr w:rsidR="00376503" w:rsidRPr="00CF3673" w:rsidTr="0073571C">
        <w:trPr>
          <w:trHeight w:val="250"/>
        </w:trPr>
        <w:tc>
          <w:tcPr>
            <w:tcW w:w="8993" w:type="dxa"/>
            <w:tcBorders>
              <w:top w:val="nil"/>
              <w:left w:val="nil"/>
              <w:bottom w:val="nil"/>
              <w:right w:val="nil"/>
            </w:tcBorders>
            <w:shd w:val="clear" w:color="000000" w:fill="FFFFFF"/>
            <w:noWrap/>
            <w:vAlign w:val="bottom"/>
            <w:hideMark/>
          </w:tcPr>
          <w:p w:rsidR="00376503" w:rsidRPr="00CF3673" w:rsidRDefault="00166A2A" w:rsidP="0072412E">
            <w:pPr>
              <w:pStyle w:val="Tablenote"/>
              <w:rPr>
                <w:lang w:val="pt-PT"/>
              </w:rPr>
            </w:pPr>
            <w:r w:rsidRPr="00CF3673">
              <w:rPr>
                <w:b/>
                <w:lang w:val="pt-PT"/>
              </w:rPr>
              <w:t>Fonte</w:t>
            </w:r>
            <w:r w:rsidR="00376503" w:rsidRPr="00CF3673">
              <w:rPr>
                <w:lang w:val="pt-PT"/>
              </w:rPr>
              <w:t xml:space="preserve">: </w:t>
            </w:r>
            <w:r w:rsidR="006A4724" w:rsidRPr="00CF3673">
              <w:rPr>
                <w:lang w:val="pt-PT"/>
              </w:rPr>
              <w:t>Cálculos</w:t>
            </w:r>
            <w:r w:rsidRPr="00CF3673">
              <w:rPr>
                <w:lang w:val="pt-PT"/>
              </w:rPr>
              <w:t xml:space="preserve"> do</w:t>
            </w:r>
            <w:r w:rsidR="0072412E" w:rsidRPr="00CF3673">
              <w:rPr>
                <w:lang w:val="pt-PT"/>
              </w:rPr>
              <w:t>s</w:t>
            </w:r>
            <w:r w:rsidRPr="00CF3673">
              <w:rPr>
                <w:lang w:val="pt-PT"/>
              </w:rPr>
              <w:t xml:space="preserve"> autor</w:t>
            </w:r>
            <w:r w:rsidR="0072412E" w:rsidRPr="00CF3673">
              <w:rPr>
                <w:lang w:val="pt-PT"/>
              </w:rPr>
              <w:t>es</w:t>
            </w:r>
            <w:r w:rsidRPr="00CF3673">
              <w:rPr>
                <w:lang w:val="pt-PT"/>
              </w:rPr>
              <w:t xml:space="preserve"> usando o</w:t>
            </w:r>
            <w:r w:rsidR="00376503" w:rsidRPr="00CF3673">
              <w:rPr>
                <w:lang w:val="pt-PT"/>
              </w:rPr>
              <w:t xml:space="preserve"> IIM 2012.</w:t>
            </w:r>
          </w:p>
        </w:tc>
      </w:tr>
    </w:tbl>
    <w:p w:rsidR="00376503" w:rsidRPr="00CF3673" w:rsidRDefault="00376503" w:rsidP="001E664B">
      <w:pPr>
        <w:pStyle w:val="MainText"/>
        <w:rPr>
          <w:lang w:val="pt-PT"/>
        </w:rPr>
      </w:pPr>
    </w:p>
    <w:p w:rsidR="00166A2A" w:rsidRPr="00CF3673" w:rsidRDefault="00166A2A" w:rsidP="009B4380">
      <w:pPr>
        <w:pStyle w:val="MainText"/>
        <w:rPr>
          <w:lang w:val="pt-PT"/>
        </w:rPr>
      </w:pPr>
      <w:r w:rsidRPr="00CF3673">
        <w:rPr>
          <w:lang w:val="pt-PT"/>
        </w:rPr>
        <w:t xml:space="preserve">A figura 8.2 documenta a percepção das empresas o grupo mais importante de contactos por tamanho, status legal e Propriedade. Ao nível do tipo de empresas, a maioria das empresas acredita que os mais importantes são os contactos de negócio dentro do mesmo sector, enquanto o segundo maior contacto importante são os contactos em sectores diferentes (para media-empresas os contactos no estrangeiro são da mesma importância). As empresas micro informais têm os contactos no mesmo sector como importantes com a sua contraparte no sector formal. </w:t>
      </w:r>
      <w:r w:rsidR="00AB1D34" w:rsidRPr="00CF3673">
        <w:rPr>
          <w:lang w:val="pt-PT"/>
        </w:rPr>
        <w:t>As grandes empresas têm</w:t>
      </w:r>
      <w:r w:rsidRPr="00CF3673">
        <w:rPr>
          <w:lang w:val="pt-PT"/>
        </w:rPr>
        <w:t xml:space="preserve"> </w:t>
      </w:r>
      <w:r w:rsidR="00AB1D34" w:rsidRPr="00CF3673">
        <w:rPr>
          <w:lang w:val="pt-PT"/>
        </w:rPr>
        <w:t>maiores possibilidades</w:t>
      </w:r>
      <w:r w:rsidRPr="00CF3673">
        <w:rPr>
          <w:lang w:val="pt-PT"/>
        </w:rPr>
        <w:t xml:space="preserve"> de aceder o </w:t>
      </w:r>
      <w:r w:rsidR="00AB1D34" w:rsidRPr="00CF3673">
        <w:rPr>
          <w:lang w:val="pt-PT"/>
        </w:rPr>
        <w:t>crédito</w:t>
      </w:r>
      <w:r w:rsidRPr="00CF3673">
        <w:rPr>
          <w:lang w:val="pt-PT"/>
        </w:rPr>
        <w:t xml:space="preserve"> e envolver se na importação e exportação e como tal</w:t>
      </w:r>
      <w:r w:rsidR="00AB1D34" w:rsidRPr="00CF3673">
        <w:rPr>
          <w:lang w:val="pt-PT"/>
        </w:rPr>
        <w:t>,</w:t>
      </w:r>
      <w:r w:rsidRPr="00CF3673">
        <w:rPr>
          <w:lang w:val="pt-PT"/>
        </w:rPr>
        <w:t xml:space="preserve"> a importância dos contactos nas empresas estrangeiras e bancos aumentam com o tamanho da empresa. De forma interessante, poucas empresas </w:t>
      </w:r>
      <w:r w:rsidR="00AB1D34" w:rsidRPr="00CF3673">
        <w:rPr>
          <w:lang w:val="pt-PT"/>
        </w:rPr>
        <w:t>consideram os contactos com políticos e oficiais do governo como contactos importantes. Isto pode sugerir que as ligações com as autoridades têm menos propensão vantagens sobre os seus competidores.</w:t>
      </w:r>
      <w:r w:rsidRPr="00CF3673">
        <w:rPr>
          <w:lang w:val="pt-PT"/>
        </w:rPr>
        <w:t xml:space="preserve"> </w:t>
      </w:r>
    </w:p>
    <w:p w:rsidR="00376503" w:rsidRPr="00CF3673" w:rsidRDefault="00376503" w:rsidP="00376503">
      <w:pPr>
        <w:pStyle w:val="FigureTitle"/>
        <w:rPr>
          <w:lang w:val="pt-PT"/>
        </w:rPr>
      </w:pPr>
      <w:bookmarkStart w:id="60" w:name="_Toc360720524"/>
      <w:r w:rsidRPr="00CF3673">
        <w:rPr>
          <w:lang w:val="pt-PT"/>
        </w:rPr>
        <w:t>Figur</w:t>
      </w:r>
      <w:r w:rsidR="00AB1D34" w:rsidRPr="00CF3673">
        <w:rPr>
          <w:lang w:val="pt-PT"/>
        </w:rPr>
        <w:t>a</w:t>
      </w:r>
      <w:r w:rsidRPr="00CF3673">
        <w:rPr>
          <w:lang w:val="pt-PT"/>
        </w:rPr>
        <w:t xml:space="preserve"> 8.2: </w:t>
      </w:r>
      <w:r w:rsidR="00AB1D34" w:rsidRPr="00CF3673">
        <w:rPr>
          <w:lang w:val="pt-PT"/>
        </w:rPr>
        <w:t>Contactos mais importantes por tipo de empresa</w:t>
      </w:r>
      <w:r w:rsidRPr="00CF3673">
        <w:rPr>
          <w:lang w:val="pt-PT"/>
        </w:rPr>
        <w:t xml:space="preserve">, </w:t>
      </w:r>
      <w:r w:rsidR="00AB1D34" w:rsidRPr="00CF3673">
        <w:rPr>
          <w:lang w:val="pt-PT"/>
        </w:rPr>
        <w:t>%</w:t>
      </w:r>
      <w:bookmarkEnd w:id="60"/>
    </w:p>
    <w:p w:rsidR="00376503" w:rsidRPr="00CF3673" w:rsidRDefault="00376503" w:rsidP="004C475B">
      <w:pPr>
        <w:pStyle w:val="Tablenote"/>
        <w:jc w:val="center"/>
        <w:rPr>
          <w:lang w:val="pt-PT"/>
        </w:rPr>
      </w:pPr>
      <w:r w:rsidRPr="00CF3673">
        <w:rPr>
          <w:noProof/>
        </w:rPr>
        <w:drawing>
          <wp:inline distT="0" distB="0" distL="0" distR="0" wp14:anchorId="47CC3D6A" wp14:editId="015CF862">
            <wp:extent cx="5572125" cy="3424238"/>
            <wp:effectExtent l="0" t="0" r="9525" b="2413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bl>
      <w:tblPr>
        <w:tblW w:w="3881" w:type="dxa"/>
        <w:tblInd w:w="392" w:type="dxa"/>
        <w:tblLook w:val="04A0" w:firstRow="1" w:lastRow="0" w:firstColumn="1" w:lastColumn="0" w:noHBand="0" w:noVBand="1"/>
      </w:tblPr>
      <w:tblGrid>
        <w:gridCol w:w="3881"/>
      </w:tblGrid>
      <w:tr w:rsidR="00376503" w:rsidRPr="00CF3673" w:rsidTr="00063143">
        <w:trPr>
          <w:trHeight w:val="255"/>
        </w:trPr>
        <w:tc>
          <w:tcPr>
            <w:tcW w:w="3881" w:type="dxa"/>
            <w:tcBorders>
              <w:top w:val="nil"/>
              <w:left w:val="nil"/>
              <w:bottom w:val="nil"/>
              <w:right w:val="nil"/>
            </w:tcBorders>
            <w:shd w:val="clear" w:color="000000" w:fill="FFFFFF"/>
            <w:vAlign w:val="center"/>
            <w:hideMark/>
          </w:tcPr>
          <w:p w:rsidR="00376503" w:rsidRPr="00CF3673" w:rsidRDefault="00376503" w:rsidP="00373AE5">
            <w:pPr>
              <w:pStyle w:val="Tablenote"/>
              <w:rPr>
                <w:lang w:val="pt-PT" w:eastAsia="en-GB"/>
              </w:rPr>
            </w:pPr>
            <w:r w:rsidRPr="00CF3673">
              <w:rPr>
                <w:b/>
                <w:lang w:val="pt-PT" w:eastAsia="en-GB"/>
              </w:rPr>
              <w:t>Not</w:t>
            </w:r>
            <w:r w:rsidR="00373AE5" w:rsidRPr="00CF3673">
              <w:rPr>
                <w:b/>
                <w:lang w:val="pt-PT" w:eastAsia="en-GB"/>
              </w:rPr>
              <w:t>a</w:t>
            </w:r>
            <w:r w:rsidRPr="00CF3673">
              <w:rPr>
                <w:lang w:val="pt-PT" w:eastAsia="en-GB"/>
              </w:rPr>
              <w:t xml:space="preserve">: </w:t>
            </w:r>
            <w:r w:rsidR="00373AE5" w:rsidRPr="00CF3673">
              <w:rPr>
                <w:lang w:val="pt-PT" w:eastAsia="en-GB"/>
              </w:rPr>
              <w:t xml:space="preserve">Número de </w:t>
            </w:r>
            <w:r w:rsidRPr="00CF3673">
              <w:rPr>
                <w:lang w:val="pt-PT" w:eastAsia="en-GB"/>
              </w:rPr>
              <w:t>observa</w:t>
            </w:r>
            <w:r w:rsidR="00373AE5" w:rsidRPr="00CF3673">
              <w:rPr>
                <w:lang w:val="pt-PT" w:eastAsia="en-GB"/>
              </w:rPr>
              <w:t>ções</w:t>
            </w:r>
            <w:r w:rsidRPr="00CF3673">
              <w:rPr>
                <w:lang w:val="pt-PT" w:eastAsia="en-GB"/>
              </w:rPr>
              <w:t>: 711.</w:t>
            </w:r>
          </w:p>
        </w:tc>
      </w:tr>
      <w:tr w:rsidR="00376503" w:rsidRPr="00CF3673" w:rsidTr="00063143">
        <w:trPr>
          <w:trHeight w:val="255"/>
        </w:trPr>
        <w:tc>
          <w:tcPr>
            <w:tcW w:w="3881" w:type="dxa"/>
            <w:tcBorders>
              <w:top w:val="nil"/>
              <w:left w:val="nil"/>
              <w:bottom w:val="nil"/>
              <w:right w:val="nil"/>
            </w:tcBorders>
            <w:shd w:val="clear" w:color="000000" w:fill="FFFFFF"/>
            <w:noWrap/>
            <w:vAlign w:val="bottom"/>
            <w:hideMark/>
          </w:tcPr>
          <w:p w:rsidR="00376503" w:rsidRPr="00CF3673" w:rsidRDefault="006A4724" w:rsidP="00373AE5">
            <w:pPr>
              <w:pStyle w:val="Tablenote"/>
              <w:rPr>
                <w:lang w:val="pt-PT" w:eastAsia="en-GB"/>
              </w:rPr>
            </w:pPr>
            <w:r w:rsidRPr="00CF3673">
              <w:rPr>
                <w:b/>
                <w:lang w:val="pt-PT" w:eastAsia="en-GB"/>
              </w:rPr>
              <w:t>Fonte:</w:t>
            </w:r>
            <w:r w:rsidR="00376503" w:rsidRPr="00CF3673">
              <w:rPr>
                <w:lang w:val="pt-PT" w:eastAsia="en-GB"/>
              </w:rPr>
              <w:t xml:space="preserve">: </w:t>
            </w:r>
            <w:r w:rsidRPr="00CF3673">
              <w:rPr>
                <w:lang w:val="pt-PT" w:eastAsia="en-GB"/>
              </w:rPr>
              <w:t>Cálculos</w:t>
            </w:r>
            <w:r w:rsidR="00373AE5" w:rsidRPr="00CF3673">
              <w:rPr>
                <w:lang w:val="pt-PT" w:eastAsia="en-GB"/>
              </w:rPr>
              <w:t xml:space="preserve"> </w:t>
            </w:r>
            <w:r w:rsidR="0072412E" w:rsidRPr="00CF3673">
              <w:rPr>
                <w:lang w:val="pt-PT" w:eastAsia="en-GB"/>
              </w:rPr>
              <w:t xml:space="preserve">dos autores </w:t>
            </w:r>
            <w:r w:rsidR="00373AE5" w:rsidRPr="00CF3673">
              <w:rPr>
                <w:lang w:val="pt-PT" w:eastAsia="en-GB"/>
              </w:rPr>
              <w:t xml:space="preserve">usando o </w:t>
            </w:r>
            <w:r w:rsidR="00376503" w:rsidRPr="00CF3673">
              <w:rPr>
                <w:lang w:val="pt-PT" w:eastAsia="en-GB"/>
              </w:rPr>
              <w:t>IIM 2012.</w:t>
            </w:r>
          </w:p>
        </w:tc>
      </w:tr>
    </w:tbl>
    <w:p w:rsidR="00373AE5" w:rsidRPr="00CF3673" w:rsidRDefault="00373AE5" w:rsidP="001E664B">
      <w:pPr>
        <w:pStyle w:val="SectionTitle"/>
        <w:rPr>
          <w:lang w:val="pt-PT"/>
        </w:rPr>
      </w:pPr>
      <w:bookmarkStart w:id="61" w:name="_Toc323907228"/>
      <w:bookmarkStart w:id="62" w:name="_Toc350758920"/>
      <w:bookmarkStart w:id="63" w:name="_Toc360720403"/>
    </w:p>
    <w:p w:rsidR="007D453E" w:rsidRPr="00CF3673" w:rsidRDefault="00376503" w:rsidP="001E664B">
      <w:pPr>
        <w:pStyle w:val="SectionTitle"/>
        <w:rPr>
          <w:lang w:val="pt-PT"/>
        </w:rPr>
      </w:pPr>
      <w:r w:rsidRPr="00CF3673">
        <w:rPr>
          <w:lang w:val="pt-PT"/>
        </w:rPr>
        <w:lastRenderedPageBreak/>
        <w:t xml:space="preserve">8.2 </w:t>
      </w:r>
      <w:r w:rsidR="007D453E" w:rsidRPr="00CF3673">
        <w:rPr>
          <w:lang w:val="pt-PT"/>
        </w:rPr>
        <w:t>Filiação nas Associações Económicas</w:t>
      </w:r>
    </w:p>
    <w:p w:rsidR="000542A5" w:rsidRPr="00CF3673" w:rsidRDefault="006A4724" w:rsidP="001E664B">
      <w:pPr>
        <w:pStyle w:val="MainText"/>
        <w:rPr>
          <w:lang w:val="pt-PT"/>
        </w:rPr>
      </w:pPr>
      <w:bookmarkStart w:id="64" w:name="_Toc323907305"/>
      <w:bookmarkEnd w:id="61"/>
      <w:bookmarkEnd w:id="62"/>
      <w:bookmarkEnd w:id="63"/>
      <w:r w:rsidRPr="00CF3673">
        <w:rPr>
          <w:lang w:val="pt-PT"/>
        </w:rPr>
        <w:t>Enquanto</w:t>
      </w:r>
      <w:r w:rsidR="00AD4AE5" w:rsidRPr="00CF3673">
        <w:rPr>
          <w:lang w:val="pt-PT"/>
        </w:rPr>
        <w:t xml:space="preserve"> o principal enfoque as associações económicas é providenciar serviços não financeiros e representação aos interesses dos seus membros através do lobby ao governo para providenciar bens públicos, pode-se por outro lado, argumentar-se que</w:t>
      </w:r>
      <w:r w:rsidR="00814677" w:rsidRPr="00CF3673">
        <w:rPr>
          <w:lang w:val="pt-PT"/>
        </w:rPr>
        <w:t xml:space="preserve"> as associações ajudam a dar a </w:t>
      </w:r>
      <w:r w:rsidR="000542A5" w:rsidRPr="00CF3673">
        <w:rPr>
          <w:lang w:val="pt-PT"/>
        </w:rPr>
        <w:t>forma as</w:t>
      </w:r>
      <w:r w:rsidR="00814677" w:rsidRPr="00CF3673">
        <w:rPr>
          <w:lang w:val="pt-PT"/>
        </w:rPr>
        <w:t xml:space="preserve"> redes pessoais e profissionais dado que as associações ajudam na exposição a novas redes de </w:t>
      </w:r>
      <w:r w:rsidRPr="00CF3673">
        <w:rPr>
          <w:lang w:val="pt-PT"/>
        </w:rPr>
        <w:t>compactos</w:t>
      </w:r>
      <w:r w:rsidR="00814677" w:rsidRPr="00CF3673">
        <w:rPr>
          <w:lang w:val="pt-PT"/>
        </w:rPr>
        <w:t xml:space="preserve"> e oportunidades de negócios. </w:t>
      </w:r>
      <w:r w:rsidR="000542A5" w:rsidRPr="00CF3673">
        <w:rPr>
          <w:lang w:val="pt-PT"/>
        </w:rPr>
        <w:t xml:space="preserve">As estatísticas gerais sobre filiação das empresas na </w:t>
      </w:r>
      <w:r w:rsidRPr="00CF3673">
        <w:rPr>
          <w:lang w:val="pt-PT"/>
        </w:rPr>
        <w:t>associações</w:t>
      </w:r>
      <w:r w:rsidR="000542A5" w:rsidRPr="00CF3673">
        <w:rPr>
          <w:lang w:val="pt-PT"/>
        </w:rPr>
        <w:t xml:space="preserve"> económicas por tamanho das empresas e status da </w:t>
      </w:r>
      <w:r w:rsidRPr="00CF3673">
        <w:rPr>
          <w:lang w:val="pt-PT"/>
        </w:rPr>
        <w:t>nacionalidade</w:t>
      </w:r>
      <w:r w:rsidR="000542A5" w:rsidRPr="00CF3673">
        <w:rPr>
          <w:lang w:val="pt-PT"/>
        </w:rPr>
        <w:t xml:space="preserve"> do proprietário estão </w:t>
      </w:r>
      <w:r w:rsidRPr="00CF3673">
        <w:rPr>
          <w:lang w:val="pt-PT"/>
        </w:rPr>
        <w:t>apresentados</w:t>
      </w:r>
      <w:r w:rsidR="000542A5" w:rsidRPr="00CF3673">
        <w:rPr>
          <w:lang w:val="pt-PT"/>
        </w:rPr>
        <w:t xml:space="preserve"> na tabela 8.4. todos os números apresentados nesta secção são sobre as principais associações </w:t>
      </w:r>
      <w:r w:rsidRPr="00CF3673">
        <w:rPr>
          <w:lang w:val="pt-PT"/>
        </w:rPr>
        <w:t>económicas</w:t>
      </w:r>
    </w:p>
    <w:p w:rsidR="00AD4AE5" w:rsidRPr="00CF3673" w:rsidRDefault="006A108B" w:rsidP="001E664B">
      <w:pPr>
        <w:pStyle w:val="MainText"/>
        <w:rPr>
          <w:lang w:val="pt-PT"/>
        </w:rPr>
      </w:pPr>
      <w:r w:rsidRPr="00CF3673">
        <w:rPr>
          <w:lang w:val="pt-PT"/>
        </w:rPr>
        <w:t>A tabela 8.3 mostra que quase 13% das empresas no IIM2012</w:t>
      </w:r>
      <w:r w:rsidR="0027782A" w:rsidRPr="00CF3673">
        <w:rPr>
          <w:lang w:val="pt-PT"/>
        </w:rPr>
        <w:t xml:space="preserve"> estão filiadas a uma </w:t>
      </w:r>
      <w:r w:rsidR="004006BC" w:rsidRPr="00CF3673">
        <w:rPr>
          <w:lang w:val="pt-PT"/>
        </w:rPr>
        <w:t xml:space="preserve">associação económica. O nível de empresas que pertencem a uma associação económica aumenta com o tamanho desta empresa, e 56% das media-empresas indicaram ser membros. Por outro lado, as empresas detidas por </w:t>
      </w:r>
      <w:r w:rsidR="006A4724" w:rsidRPr="00CF3673">
        <w:rPr>
          <w:lang w:val="pt-PT"/>
        </w:rPr>
        <w:t>moçambicanos</w:t>
      </w:r>
      <w:r w:rsidR="004006BC" w:rsidRPr="00CF3673">
        <w:rPr>
          <w:lang w:val="pt-PT"/>
        </w:rPr>
        <w:t xml:space="preserve"> têm maior propensão de pertencer a uma associação económica do que as empresas detidas por estrangeiros. Em dia as empresas pertencem à uma associação económica há mais de sete anos e meio e 81% indicaram pagar as quotas. É notável que as </w:t>
      </w:r>
      <w:r w:rsidR="006A4724" w:rsidRPr="00CF3673">
        <w:rPr>
          <w:lang w:val="pt-PT"/>
        </w:rPr>
        <w:t>microempresas</w:t>
      </w:r>
      <w:r w:rsidR="004006BC" w:rsidRPr="00CF3673">
        <w:rPr>
          <w:lang w:val="pt-PT"/>
        </w:rPr>
        <w:t xml:space="preserve"> e </w:t>
      </w:r>
      <w:r w:rsidR="00B534E3" w:rsidRPr="00CF3673">
        <w:rPr>
          <w:lang w:val="pt-PT"/>
        </w:rPr>
        <w:t>domésticas</w:t>
      </w:r>
      <w:r w:rsidR="004006BC" w:rsidRPr="00CF3673">
        <w:rPr>
          <w:lang w:val="pt-PT"/>
        </w:rPr>
        <w:t xml:space="preserve"> têm menor propensão a não pagar as quotas. </w:t>
      </w:r>
      <w:r w:rsidR="00B534E3" w:rsidRPr="00CF3673">
        <w:rPr>
          <w:lang w:val="pt-PT"/>
        </w:rPr>
        <w:t xml:space="preserve">Em média, 78% das empresas indicam que as associações representam os interesses das empresas; as grandes e empresas detidas por estrangeiros tendem a estar satisfeitos com a representação das associações económicas do que quando compara com as micro empresas e as empresas detidas por </w:t>
      </w:r>
      <w:r w:rsidR="006A4724" w:rsidRPr="00CF3673">
        <w:rPr>
          <w:lang w:val="pt-PT"/>
        </w:rPr>
        <w:t>moçambicanos</w:t>
      </w:r>
      <w:r w:rsidR="00B534E3" w:rsidRPr="00CF3673">
        <w:rPr>
          <w:lang w:val="pt-PT"/>
        </w:rPr>
        <w:t>. A melhor explicação é de que as associações comerciais representam melhor os interesses das grandes empresas, dado que estas empresas têm maior capacidade de formular e comunicar os problemas e também tem maior poder de afectar o processo de selecção dos membros das associações económicas.</w:t>
      </w:r>
      <w:r w:rsidR="004006BC" w:rsidRPr="00CF3673">
        <w:rPr>
          <w:lang w:val="pt-PT"/>
        </w:rPr>
        <w:t xml:space="preserve">  </w:t>
      </w:r>
    </w:p>
    <w:p w:rsidR="00376503" w:rsidRPr="00CF3673" w:rsidRDefault="00376503" w:rsidP="00376503">
      <w:pPr>
        <w:pStyle w:val="TableTitle"/>
        <w:rPr>
          <w:lang w:val="pt-PT"/>
        </w:rPr>
      </w:pPr>
      <w:bookmarkStart w:id="65" w:name="_Toc360720489"/>
      <w:r w:rsidRPr="00CF3673">
        <w:rPr>
          <w:lang w:val="pt-PT"/>
        </w:rPr>
        <w:t>Tab</w:t>
      </w:r>
      <w:r w:rsidR="00B370F3" w:rsidRPr="00CF3673">
        <w:rPr>
          <w:lang w:val="pt-PT"/>
        </w:rPr>
        <w:t>e</w:t>
      </w:r>
      <w:r w:rsidRPr="00CF3673">
        <w:rPr>
          <w:lang w:val="pt-PT"/>
        </w:rPr>
        <w:t>l</w:t>
      </w:r>
      <w:r w:rsidR="00B370F3" w:rsidRPr="00CF3673">
        <w:rPr>
          <w:lang w:val="pt-PT"/>
        </w:rPr>
        <w:t>a</w:t>
      </w:r>
      <w:r w:rsidRPr="00CF3673">
        <w:rPr>
          <w:lang w:val="pt-PT"/>
        </w:rPr>
        <w:t xml:space="preserve"> 8.</w:t>
      </w:r>
      <w:r w:rsidR="00B2651F" w:rsidRPr="00CF3673">
        <w:rPr>
          <w:lang w:val="pt-PT"/>
        </w:rPr>
        <w:t>3</w:t>
      </w:r>
      <w:r w:rsidRPr="00CF3673">
        <w:rPr>
          <w:lang w:val="pt-PT"/>
        </w:rPr>
        <w:t xml:space="preserve">: </w:t>
      </w:r>
      <w:r w:rsidR="00B370F3" w:rsidRPr="00CF3673">
        <w:rPr>
          <w:lang w:val="pt-PT"/>
        </w:rPr>
        <w:t xml:space="preserve">Filiação nas Associações </w:t>
      </w:r>
      <w:r w:rsidR="006A4724" w:rsidRPr="00CF3673">
        <w:rPr>
          <w:lang w:val="pt-PT"/>
        </w:rPr>
        <w:t>Económicas</w:t>
      </w:r>
      <w:r w:rsidR="00B370F3" w:rsidRPr="00CF3673">
        <w:rPr>
          <w:lang w:val="pt-PT"/>
        </w:rPr>
        <w:t xml:space="preserve"> Formais</w:t>
      </w:r>
      <w:bookmarkEnd w:id="64"/>
      <w:r w:rsidR="005F7D76" w:rsidRPr="00CF3673">
        <w:rPr>
          <w:lang w:val="pt-PT"/>
        </w:rPr>
        <w:t>,</w:t>
      </w:r>
      <w:r w:rsidR="00B370F3" w:rsidRPr="00CF3673">
        <w:rPr>
          <w:lang w:val="pt-PT"/>
        </w:rPr>
        <w:t>%</w:t>
      </w:r>
      <w:r w:rsidR="005F7D76" w:rsidRPr="00CF3673">
        <w:rPr>
          <w:lang w:val="pt-PT"/>
        </w:rPr>
        <w:t>.</w:t>
      </w:r>
      <w:bookmarkEnd w:id="65"/>
    </w:p>
    <w:tbl>
      <w:tblPr>
        <w:tblW w:w="9222" w:type="dxa"/>
        <w:jc w:val="center"/>
        <w:tblInd w:w="457" w:type="dxa"/>
        <w:tblCellMar>
          <w:left w:w="0" w:type="dxa"/>
          <w:right w:w="0" w:type="dxa"/>
        </w:tblCellMar>
        <w:tblLook w:val="04A0" w:firstRow="1" w:lastRow="0" w:firstColumn="1" w:lastColumn="0" w:noHBand="0" w:noVBand="1"/>
      </w:tblPr>
      <w:tblGrid>
        <w:gridCol w:w="2881"/>
        <w:gridCol w:w="700"/>
        <w:gridCol w:w="740"/>
        <w:gridCol w:w="930"/>
        <w:gridCol w:w="903"/>
        <w:gridCol w:w="1311"/>
        <w:gridCol w:w="1092"/>
        <w:gridCol w:w="835"/>
      </w:tblGrid>
      <w:tr w:rsidR="000812A7" w:rsidRPr="00CF3673" w:rsidTr="005F7D76">
        <w:trPr>
          <w:trHeight w:val="270"/>
          <w:jc w:val="center"/>
        </w:trPr>
        <w:tc>
          <w:tcPr>
            <w:tcW w:w="2881" w:type="dxa"/>
            <w:tcBorders>
              <w:top w:val="double" w:sz="6"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5F7D76" w:rsidRPr="00CF3673" w:rsidRDefault="005F7D76" w:rsidP="005F7D76">
            <w:pPr>
              <w:spacing w:after="0"/>
              <w:rPr>
                <w:rFonts w:ascii="Calibri" w:eastAsiaTheme="minorEastAsia" w:hAnsi="Calibri"/>
                <w:color w:val="000000"/>
                <w:sz w:val="20"/>
                <w:szCs w:val="20"/>
              </w:rPr>
            </w:pPr>
            <w:r w:rsidRPr="00CF3673">
              <w:rPr>
                <w:color w:val="000000"/>
                <w:sz w:val="20"/>
                <w:szCs w:val="20"/>
              </w:rPr>
              <w:t> </w:t>
            </w:r>
          </w:p>
        </w:tc>
        <w:tc>
          <w:tcPr>
            <w:tcW w:w="700" w:type="dxa"/>
            <w:tcBorders>
              <w:top w:val="double" w:sz="6"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5F7D76" w:rsidRPr="00CF3673" w:rsidRDefault="000812A7" w:rsidP="000812A7">
            <w:pPr>
              <w:spacing w:after="0"/>
              <w:jc w:val="center"/>
              <w:rPr>
                <w:rFonts w:ascii="Calibri" w:eastAsiaTheme="minorEastAsia" w:hAnsi="Calibri"/>
                <w:color w:val="000000"/>
                <w:sz w:val="20"/>
                <w:szCs w:val="20"/>
              </w:rPr>
            </w:pPr>
            <w:r w:rsidRPr="00CF3673">
              <w:rPr>
                <w:color w:val="000000"/>
                <w:sz w:val="20"/>
                <w:szCs w:val="20"/>
              </w:rPr>
              <w:t xml:space="preserve">Todas </w:t>
            </w:r>
          </w:p>
        </w:tc>
        <w:tc>
          <w:tcPr>
            <w:tcW w:w="740" w:type="dxa"/>
            <w:tcBorders>
              <w:top w:val="double" w:sz="6"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Micro</w:t>
            </w:r>
          </w:p>
        </w:tc>
        <w:tc>
          <w:tcPr>
            <w:tcW w:w="760" w:type="dxa"/>
            <w:tcBorders>
              <w:top w:val="double" w:sz="6"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5F7D76" w:rsidRPr="00CF3673" w:rsidRDefault="000812A7" w:rsidP="000812A7">
            <w:pPr>
              <w:spacing w:after="0"/>
              <w:jc w:val="center"/>
              <w:rPr>
                <w:rFonts w:ascii="Calibri" w:eastAsiaTheme="minorEastAsia" w:hAnsi="Calibri"/>
                <w:color w:val="000000"/>
                <w:sz w:val="20"/>
                <w:szCs w:val="20"/>
              </w:rPr>
            </w:pPr>
            <w:r w:rsidRPr="00CF3673">
              <w:rPr>
                <w:color w:val="000000"/>
                <w:sz w:val="20"/>
                <w:szCs w:val="20"/>
              </w:rPr>
              <w:t>Pequena</w:t>
            </w:r>
          </w:p>
        </w:tc>
        <w:tc>
          <w:tcPr>
            <w:tcW w:w="903" w:type="dxa"/>
            <w:tcBorders>
              <w:top w:val="double" w:sz="6"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5F7D76" w:rsidRPr="00CF3673" w:rsidRDefault="005F7D76" w:rsidP="000812A7">
            <w:pPr>
              <w:spacing w:after="0"/>
              <w:jc w:val="center"/>
              <w:rPr>
                <w:rFonts w:ascii="Calibri" w:eastAsiaTheme="minorEastAsia" w:hAnsi="Calibri"/>
                <w:color w:val="000000"/>
                <w:sz w:val="20"/>
                <w:szCs w:val="20"/>
              </w:rPr>
            </w:pPr>
            <w:r w:rsidRPr="00CF3673">
              <w:rPr>
                <w:color w:val="000000"/>
                <w:sz w:val="20"/>
                <w:szCs w:val="20"/>
              </w:rPr>
              <w:t>Medi</w:t>
            </w:r>
            <w:r w:rsidR="000812A7" w:rsidRPr="00CF3673">
              <w:rPr>
                <w:color w:val="000000"/>
                <w:sz w:val="20"/>
                <w:szCs w:val="20"/>
              </w:rPr>
              <w:t>a</w:t>
            </w:r>
          </w:p>
        </w:tc>
        <w:tc>
          <w:tcPr>
            <w:tcW w:w="1311" w:type="dxa"/>
            <w:tcBorders>
              <w:top w:val="double" w:sz="6"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5F7D76" w:rsidRPr="00CF3673" w:rsidRDefault="000812A7" w:rsidP="000812A7">
            <w:pPr>
              <w:spacing w:after="0"/>
              <w:jc w:val="center"/>
              <w:rPr>
                <w:rFonts w:ascii="Calibri" w:eastAsiaTheme="minorEastAsia" w:hAnsi="Calibri"/>
                <w:color w:val="000000"/>
                <w:sz w:val="20"/>
                <w:szCs w:val="20"/>
              </w:rPr>
            </w:pPr>
            <w:r w:rsidRPr="00CF3673">
              <w:rPr>
                <w:color w:val="000000"/>
                <w:sz w:val="20"/>
                <w:szCs w:val="20"/>
              </w:rPr>
              <w:t xml:space="preserve">Detida por </w:t>
            </w:r>
            <w:proofErr w:type="spellStart"/>
            <w:r w:rsidRPr="00CF3673">
              <w:rPr>
                <w:color w:val="000000"/>
                <w:sz w:val="20"/>
                <w:szCs w:val="20"/>
              </w:rPr>
              <w:t>Moç</w:t>
            </w:r>
            <w:proofErr w:type="spellEnd"/>
            <w:r w:rsidRPr="00CF3673">
              <w:rPr>
                <w:color w:val="000000"/>
                <w:sz w:val="20"/>
                <w:szCs w:val="20"/>
              </w:rPr>
              <w:t>.</w:t>
            </w:r>
          </w:p>
        </w:tc>
        <w:tc>
          <w:tcPr>
            <w:tcW w:w="1092" w:type="dxa"/>
            <w:tcBorders>
              <w:top w:val="double" w:sz="6"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5F7D76" w:rsidRPr="00CF3673" w:rsidRDefault="000812A7" w:rsidP="000812A7">
            <w:pPr>
              <w:spacing w:after="0"/>
              <w:jc w:val="center"/>
              <w:rPr>
                <w:rFonts w:ascii="Calibri" w:eastAsiaTheme="minorEastAsia" w:hAnsi="Calibri"/>
                <w:color w:val="000000"/>
                <w:sz w:val="20"/>
                <w:szCs w:val="20"/>
              </w:rPr>
            </w:pPr>
            <w:r w:rsidRPr="00CF3673">
              <w:rPr>
                <w:color w:val="000000"/>
                <w:sz w:val="20"/>
                <w:szCs w:val="20"/>
              </w:rPr>
              <w:t xml:space="preserve">Detida por </w:t>
            </w:r>
            <w:proofErr w:type="spellStart"/>
            <w:r w:rsidRPr="00CF3673">
              <w:rPr>
                <w:color w:val="000000"/>
                <w:sz w:val="20"/>
                <w:szCs w:val="20"/>
              </w:rPr>
              <w:t>estrang</w:t>
            </w:r>
            <w:proofErr w:type="spellEnd"/>
          </w:p>
        </w:tc>
        <w:tc>
          <w:tcPr>
            <w:tcW w:w="835" w:type="dxa"/>
            <w:tcBorders>
              <w:top w:val="double" w:sz="6" w:space="0" w:color="auto"/>
              <w:left w:val="nil"/>
              <w:bottom w:val="single" w:sz="8" w:space="0" w:color="auto"/>
              <w:right w:val="nil"/>
            </w:tcBorders>
            <w:shd w:val="clear" w:color="auto" w:fill="FFFFFF"/>
            <w:noWrap/>
            <w:tcMar>
              <w:top w:w="0" w:type="dxa"/>
              <w:left w:w="108" w:type="dxa"/>
              <w:bottom w:w="0" w:type="dxa"/>
              <w:right w:w="108" w:type="dxa"/>
            </w:tcMar>
            <w:vAlign w:val="bottom"/>
            <w:hideMark/>
          </w:tcPr>
          <w:p w:rsidR="005F7D76" w:rsidRPr="00CF3673" w:rsidRDefault="000812A7" w:rsidP="000812A7">
            <w:pPr>
              <w:spacing w:after="0"/>
              <w:jc w:val="center"/>
              <w:rPr>
                <w:rFonts w:ascii="Calibri" w:eastAsiaTheme="minorEastAsia" w:hAnsi="Calibri"/>
                <w:color w:val="000000"/>
                <w:sz w:val="20"/>
                <w:szCs w:val="20"/>
              </w:rPr>
            </w:pPr>
            <w:r w:rsidRPr="00CF3673">
              <w:rPr>
                <w:color w:val="000000"/>
                <w:sz w:val="20"/>
                <w:szCs w:val="20"/>
              </w:rPr>
              <w:t>Em falta</w:t>
            </w:r>
          </w:p>
        </w:tc>
      </w:tr>
      <w:tr w:rsidR="000812A7" w:rsidRPr="00CF3673" w:rsidTr="005F7D76">
        <w:trPr>
          <w:trHeight w:val="255"/>
          <w:jc w:val="center"/>
        </w:trPr>
        <w:tc>
          <w:tcPr>
            <w:tcW w:w="2881" w:type="dxa"/>
            <w:vMerge w:val="restart"/>
            <w:shd w:val="clear" w:color="auto" w:fill="FFFFFF"/>
            <w:tcMar>
              <w:top w:w="0" w:type="dxa"/>
              <w:left w:w="108" w:type="dxa"/>
              <w:bottom w:w="0" w:type="dxa"/>
              <w:right w:w="108" w:type="dxa"/>
            </w:tcMar>
            <w:hideMark/>
          </w:tcPr>
          <w:p w:rsidR="005F7D76" w:rsidRPr="00CF3673" w:rsidRDefault="005F7D76" w:rsidP="00407567">
            <w:pPr>
              <w:spacing w:after="0"/>
              <w:rPr>
                <w:rFonts w:ascii="Calibri" w:eastAsiaTheme="minorEastAsia" w:hAnsi="Calibri"/>
                <w:color w:val="000000"/>
                <w:sz w:val="20"/>
                <w:szCs w:val="20"/>
              </w:rPr>
            </w:pPr>
            <w:r w:rsidRPr="00CF3673">
              <w:rPr>
                <w:color w:val="000000"/>
                <w:sz w:val="20"/>
                <w:szCs w:val="20"/>
              </w:rPr>
              <w:t>Memb</w:t>
            </w:r>
            <w:r w:rsidR="00407567" w:rsidRPr="00CF3673">
              <w:rPr>
                <w:color w:val="000000"/>
                <w:sz w:val="20"/>
                <w:szCs w:val="20"/>
              </w:rPr>
              <w:t xml:space="preserve">ros das associações </w:t>
            </w:r>
            <w:r w:rsidR="006A4724" w:rsidRPr="00CF3673">
              <w:rPr>
                <w:color w:val="000000"/>
                <w:sz w:val="20"/>
                <w:szCs w:val="20"/>
              </w:rPr>
              <w:t>económicas</w:t>
            </w:r>
            <w:r w:rsidRPr="00CF3673">
              <w:rPr>
                <w:color w:val="000000"/>
                <w:sz w:val="20"/>
                <w:szCs w:val="20"/>
              </w:rPr>
              <w:t xml:space="preserve"> 2012</w:t>
            </w:r>
            <w:r w:rsidR="00D86D26" w:rsidRPr="00CF3673">
              <w:rPr>
                <w:color w:val="000000"/>
                <w:sz w:val="20"/>
                <w:szCs w:val="20"/>
              </w:rPr>
              <w:t xml:space="preserve"> (</w:t>
            </w:r>
            <w:r w:rsidR="00407567" w:rsidRPr="00CF3673">
              <w:rPr>
                <w:color w:val="000000"/>
                <w:sz w:val="20"/>
                <w:szCs w:val="20"/>
              </w:rPr>
              <w:t>% das empresas</w:t>
            </w:r>
            <w:r w:rsidR="00D86D26" w:rsidRPr="00CF3673">
              <w:rPr>
                <w:color w:val="000000"/>
                <w:sz w:val="20"/>
                <w:szCs w:val="20"/>
              </w:rPr>
              <w:t>)</w:t>
            </w:r>
          </w:p>
        </w:tc>
        <w:tc>
          <w:tcPr>
            <w:tcW w:w="70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12.5</w:t>
            </w:r>
          </w:p>
        </w:tc>
        <w:tc>
          <w:tcPr>
            <w:tcW w:w="74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4.4</w:t>
            </w:r>
          </w:p>
        </w:tc>
        <w:tc>
          <w:tcPr>
            <w:tcW w:w="76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19.7</w:t>
            </w:r>
          </w:p>
        </w:tc>
        <w:tc>
          <w:tcPr>
            <w:tcW w:w="903"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56.1</w:t>
            </w:r>
          </w:p>
        </w:tc>
        <w:tc>
          <w:tcPr>
            <w:tcW w:w="1311"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27.4</w:t>
            </w:r>
          </w:p>
        </w:tc>
        <w:tc>
          <w:tcPr>
            <w:tcW w:w="1092"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10.7</w:t>
            </w:r>
          </w:p>
        </w:tc>
        <w:tc>
          <w:tcPr>
            <w:tcW w:w="835"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 </w:t>
            </w:r>
          </w:p>
        </w:tc>
      </w:tr>
      <w:tr w:rsidR="000812A7" w:rsidRPr="00CF3673" w:rsidTr="005F7D76">
        <w:trPr>
          <w:trHeight w:val="255"/>
          <w:jc w:val="center"/>
        </w:trPr>
        <w:tc>
          <w:tcPr>
            <w:tcW w:w="2881" w:type="dxa"/>
            <w:vMerge/>
            <w:vAlign w:val="center"/>
            <w:hideMark/>
          </w:tcPr>
          <w:p w:rsidR="005F7D76" w:rsidRPr="00CF3673" w:rsidRDefault="005F7D76" w:rsidP="005F7D76">
            <w:pPr>
              <w:spacing w:after="0"/>
              <w:rPr>
                <w:rFonts w:ascii="Calibri" w:eastAsiaTheme="minorEastAsia" w:hAnsi="Calibri"/>
                <w:color w:val="000000"/>
                <w:sz w:val="20"/>
                <w:szCs w:val="20"/>
              </w:rPr>
            </w:pPr>
          </w:p>
        </w:tc>
        <w:tc>
          <w:tcPr>
            <w:tcW w:w="70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b/>
                <w:bCs/>
                <w:color w:val="000000"/>
                <w:sz w:val="20"/>
                <w:szCs w:val="20"/>
              </w:rPr>
            </w:pPr>
            <w:r w:rsidRPr="00CF3673">
              <w:rPr>
                <w:b/>
                <w:bCs/>
                <w:color w:val="000000"/>
                <w:sz w:val="20"/>
                <w:szCs w:val="20"/>
              </w:rPr>
              <w:t>95</w:t>
            </w:r>
          </w:p>
        </w:tc>
        <w:tc>
          <w:tcPr>
            <w:tcW w:w="74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b/>
                <w:bCs/>
                <w:color w:val="000000"/>
                <w:sz w:val="20"/>
                <w:szCs w:val="20"/>
              </w:rPr>
            </w:pPr>
            <w:r w:rsidRPr="00CF3673">
              <w:rPr>
                <w:b/>
                <w:bCs/>
                <w:color w:val="000000"/>
                <w:sz w:val="20"/>
                <w:szCs w:val="20"/>
              </w:rPr>
              <w:t>23</w:t>
            </w:r>
          </w:p>
        </w:tc>
        <w:tc>
          <w:tcPr>
            <w:tcW w:w="76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b/>
                <w:bCs/>
                <w:color w:val="000000"/>
                <w:sz w:val="20"/>
                <w:szCs w:val="20"/>
              </w:rPr>
            </w:pPr>
            <w:r w:rsidRPr="00CF3673">
              <w:rPr>
                <w:b/>
                <w:bCs/>
                <w:color w:val="000000"/>
                <w:sz w:val="20"/>
                <w:szCs w:val="20"/>
              </w:rPr>
              <w:t>35</w:t>
            </w:r>
          </w:p>
        </w:tc>
        <w:tc>
          <w:tcPr>
            <w:tcW w:w="903"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b/>
                <w:bCs/>
                <w:color w:val="000000"/>
                <w:sz w:val="20"/>
                <w:szCs w:val="20"/>
              </w:rPr>
            </w:pPr>
            <w:r w:rsidRPr="00CF3673">
              <w:rPr>
                <w:b/>
                <w:bCs/>
                <w:color w:val="000000"/>
                <w:sz w:val="20"/>
                <w:szCs w:val="20"/>
              </w:rPr>
              <w:t>37</w:t>
            </w:r>
          </w:p>
        </w:tc>
        <w:tc>
          <w:tcPr>
            <w:tcW w:w="1311"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b/>
                <w:bCs/>
                <w:color w:val="000000"/>
                <w:sz w:val="20"/>
                <w:szCs w:val="20"/>
              </w:rPr>
            </w:pPr>
            <w:r w:rsidRPr="00CF3673">
              <w:rPr>
                <w:b/>
                <w:bCs/>
                <w:color w:val="000000"/>
                <w:sz w:val="20"/>
                <w:szCs w:val="20"/>
              </w:rPr>
              <w:t>23</w:t>
            </w:r>
          </w:p>
        </w:tc>
        <w:tc>
          <w:tcPr>
            <w:tcW w:w="1092"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b/>
                <w:bCs/>
                <w:color w:val="000000"/>
                <w:sz w:val="20"/>
                <w:szCs w:val="20"/>
              </w:rPr>
            </w:pPr>
            <w:r w:rsidRPr="00CF3673">
              <w:rPr>
                <w:b/>
                <w:bCs/>
                <w:color w:val="000000"/>
                <w:sz w:val="20"/>
                <w:szCs w:val="20"/>
              </w:rPr>
              <w:t>72</w:t>
            </w:r>
          </w:p>
        </w:tc>
        <w:tc>
          <w:tcPr>
            <w:tcW w:w="835"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0</w:t>
            </w:r>
          </w:p>
        </w:tc>
      </w:tr>
      <w:tr w:rsidR="000812A7" w:rsidRPr="00CF3673" w:rsidTr="005F7D76">
        <w:trPr>
          <w:trHeight w:val="255"/>
          <w:jc w:val="center"/>
        </w:trPr>
        <w:tc>
          <w:tcPr>
            <w:tcW w:w="2881" w:type="dxa"/>
            <w:vAlign w:val="center"/>
          </w:tcPr>
          <w:p w:rsidR="005F7D76" w:rsidRPr="00CF3673" w:rsidRDefault="005F7D76" w:rsidP="005F7D76">
            <w:pPr>
              <w:spacing w:after="0"/>
              <w:rPr>
                <w:rFonts w:ascii="Calibri" w:eastAsiaTheme="minorEastAsia" w:hAnsi="Calibri"/>
                <w:color w:val="000000"/>
                <w:sz w:val="20"/>
                <w:szCs w:val="20"/>
              </w:rPr>
            </w:pPr>
          </w:p>
        </w:tc>
        <w:tc>
          <w:tcPr>
            <w:tcW w:w="700" w:type="dxa"/>
            <w:shd w:val="clear" w:color="auto" w:fill="FFFFFF"/>
            <w:noWrap/>
            <w:tcMar>
              <w:top w:w="0" w:type="dxa"/>
              <w:left w:w="108" w:type="dxa"/>
              <w:bottom w:w="0" w:type="dxa"/>
              <w:right w:w="108" w:type="dxa"/>
            </w:tcMar>
            <w:vAlign w:val="bottom"/>
          </w:tcPr>
          <w:p w:rsidR="005F7D76" w:rsidRPr="00CF3673" w:rsidRDefault="005F7D76" w:rsidP="005F7D76">
            <w:pPr>
              <w:spacing w:after="0"/>
              <w:jc w:val="center"/>
              <w:rPr>
                <w:b/>
                <w:bCs/>
                <w:color w:val="000000"/>
                <w:sz w:val="20"/>
                <w:szCs w:val="20"/>
              </w:rPr>
            </w:pPr>
          </w:p>
        </w:tc>
        <w:tc>
          <w:tcPr>
            <w:tcW w:w="740" w:type="dxa"/>
            <w:shd w:val="clear" w:color="auto" w:fill="FFFFFF"/>
            <w:noWrap/>
            <w:tcMar>
              <w:top w:w="0" w:type="dxa"/>
              <w:left w:w="108" w:type="dxa"/>
              <w:bottom w:w="0" w:type="dxa"/>
              <w:right w:w="108" w:type="dxa"/>
            </w:tcMar>
            <w:vAlign w:val="bottom"/>
          </w:tcPr>
          <w:p w:rsidR="005F7D76" w:rsidRPr="00CF3673" w:rsidRDefault="005F7D76" w:rsidP="005F7D76">
            <w:pPr>
              <w:spacing w:after="0"/>
              <w:jc w:val="center"/>
              <w:rPr>
                <w:b/>
                <w:bCs/>
                <w:color w:val="000000"/>
                <w:sz w:val="20"/>
                <w:szCs w:val="20"/>
              </w:rPr>
            </w:pPr>
          </w:p>
        </w:tc>
        <w:tc>
          <w:tcPr>
            <w:tcW w:w="760" w:type="dxa"/>
            <w:shd w:val="clear" w:color="auto" w:fill="FFFFFF"/>
            <w:noWrap/>
            <w:tcMar>
              <w:top w:w="0" w:type="dxa"/>
              <w:left w:w="108" w:type="dxa"/>
              <w:bottom w:w="0" w:type="dxa"/>
              <w:right w:w="108" w:type="dxa"/>
            </w:tcMar>
            <w:vAlign w:val="bottom"/>
          </w:tcPr>
          <w:p w:rsidR="005F7D76" w:rsidRPr="00CF3673" w:rsidRDefault="005F7D76" w:rsidP="005F7D76">
            <w:pPr>
              <w:spacing w:after="0"/>
              <w:jc w:val="center"/>
              <w:rPr>
                <w:b/>
                <w:bCs/>
                <w:color w:val="000000"/>
                <w:sz w:val="20"/>
                <w:szCs w:val="20"/>
              </w:rPr>
            </w:pPr>
          </w:p>
        </w:tc>
        <w:tc>
          <w:tcPr>
            <w:tcW w:w="903" w:type="dxa"/>
            <w:shd w:val="clear" w:color="auto" w:fill="FFFFFF"/>
            <w:noWrap/>
            <w:tcMar>
              <w:top w:w="0" w:type="dxa"/>
              <w:left w:w="108" w:type="dxa"/>
              <w:bottom w:w="0" w:type="dxa"/>
              <w:right w:w="108" w:type="dxa"/>
            </w:tcMar>
            <w:vAlign w:val="bottom"/>
          </w:tcPr>
          <w:p w:rsidR="005F7D76" w:rsidRPr="00CF3673" w:rsidRDefault="005F7D76" w:rsidP="005F7D76">
            <w:pPr>
              <w:spacing w:after="0"/>
              <w:jc w:val="center"/>
              <w:rPr>
                <w:b/>
                <w:bCs/>
                <w:color w:val="000000"/>
                <w:sz w:val="20"/>
                <w:szCs w:val="20"/>
              </w:rPr>
            </w:pPr>
          </w:p>
        </w:tc>
        <w:tc>
          <w:tcPr>
            <w:tcW w:w="1311" w:type="dxa"/>
            <w:shd w:val="clear" w:color="auto" w:fill="FFFFFF"/>
            <w:noWrap/>
            <w:tcMar>
              <w:top w:w="0" w:type="dxa"/>
              <w:left w:w="108" w:type="dxa"/>
              <w:bottom w:w="0" w:type="dxa"/>
              <w:right w:w="108" w:type="dxa"/>
            </w:tcMar>
            <w:vAlign w:val="bottom"/>
          </w:tcPr>
          <w:p w:rsidR="005F7D76" w:rsidRPr="00CF3673" w:rsidRDefault="005F7D76" w:rsidP="005F7D76">
            <w:pPr>
              <w:spacing w:after="0"/>
              <w:jc w:val="center"/>
              <w:rPr>
                <w:b/>
                <w:bCs/>
                <w:color w:val="000000"/>
                <w:sz w:val="20"/>
                <w:szCs w:val="20"/>
              </w:rPr>
            </w:pPr>
          </w:p>
        </w:tc>
        <w:tc>
          <w:tcPr>
            <w:tcW w:w="1092" w:type="dxa"/>
            <w:shd w:val="clear" w:color="auto" w:fill="FFFFFF"/>
            <w:noWrap/>
            <w:tcMar>
              <w:top w:w="0" w:type="dxa"/>
              <w:left w:w="108" w:type="dxa"/>
              <w:bottom w:w="0" w:type="dxa"/>
              <w:right w:w="108" w:type="dxa"/>
            </w:tcMar>
            <w:vAlign w:val="bottom"/>
          </w:tcPr>
          <w:p w:rsidR="005F7D76" w:rsidRPr="00CF3673" w:rsidRDefault="005F7D76" w:rsidP="005F7D76">
            <w:pPr>
              <w:spacing w:after="0"/>
              <w:jc w:val="center"/>
              <w:rPr>
                <w:b/>
                <w:bCs/>
                <w:color w:val="000000"/>
                <w:sz w:val="20"/>
                <w:szCs w:val="20"/>
              </w:rPr>
            </w:pPr>
          </w:p>
        </w:tc>
        <w:tc>
          <w:tcPr>
            <w:tcW w:w="835" w:type="dxa"/>
            <w:shd w:val="clear" w:color="auto" w:fill="FFFFFF"/>
            <w:noWrap/>
            <w:tcMar>
              <w:top w:w="0" w:type="dxa"/>
              <w:left w:w="108" w:type="dxa"/>
              <w:bottom w:w="0" w:type="dxa"/>
              <w:right w:w="108" w:type="dxa"/>
            </w:tcMar>
            <w:vAlign w:val="bottom"/>
          </w:tcPr>
          <w:p w:rsidR="005F7D76" w:rsidRPr="00CF3673" w:rsidRDefault="005F7D76" w:rsidP="005F7D76">
            <w:pPr>
              <w:spacing w:after="0"/>
              <w:jc w:val="center"/>
              <w:rPr>
                <w:color w:val="000000"/>
                <w:sz w:val="20"/>
                <w:szCs w:val="20"/>
              </w:rPr>
            </w:pPr>
          </w:p>
        </w:tc>
      </w:tr>
      <w:tr w:rsidR="000812A7" w:rsidRPr="00CF3673" w:rsidTr="005F7D76">
        <w:trPr>
          <w:trHeight w:val="255"/>
          <w:jc w:val="center"/>
        </w:trPr>
        <w:tc>
          <w:tcPr>
            <w:tcW w:w="2881" w:type="dxa"/>
            <w:shd w:val="clear" w:color="auto" w:fill="FFFFFF"/>
            <w:noWrap/>
            <w:tcMar>
              <w:top w:w="0" w:type="dxa"/>
              <w:left w:w="108" w:type="dxa"/>
              <w:bottom w:w="0" w:type="dxa"/>
              <w:right w:w="108" w:type="dxa"/>
            </w:tcMar>
            <w:vAlign w:val="bottom"/>
            <w:hideMark/>
          </w:tcPr>
          <w:p w:rsidR="005F7D76" w:rsidRPr="00CF3673" w:rsidRDefault="00407567" w:rsidP="00407567">
            <w:pPr>
              <w:spacing w:after="0"/>
              <w:rPr>
                <w:rFonts w:ascii="Calibri" w:eastAsiaTheme="minorEastAsia" w:hAnsi="Calibri"/>
                <w:color w:val="000000"/>
                <w:sz w:val="20"/>
                <w:szCs w:val="20"/>
              </w:rPr>
            </w:pPr>
            <w:r w:rsidRPr="00CF3673">
              <w:rPr>
                <w:color w:val="000000"/>
                <w:sz w:val="20"/>
                <w:szCs w:val="20"/>
              </w:rPr>
              <w:t xml:space="preserve">Média de idade de filiação </w:t>
            </w:r>
            <w:r w:rsidR="005F7D76" w:rsidRPr="00CF3673">
              <w:rPr>
                <w:color w:val="000000"/>
                <w:sz w:val="20"/>
                <w:szCs w:val="20"/>
              </w:rPr>
              <w:t>*</w:t>
            </w:r>
          </w:p>
        </w:tc>
        <w:tc>
          <w:tcPr>
            <w:tcW w:w="70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7.6</w:t>
            </w:r>
          </w:p>
        </w:tc>
        <w:tc>
          <w:tcPr>
            <w:tcW w:w="74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10.1</w:t>
            </w:r>
          </w:p>
        </w:tc>
        <w:tc>
          <w:tcPr>
            <w:tcW w:w="76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5.3</w:t>
            </w:r>
          </w:p>
        </w:tc>
        <w:tc>
          <w:tcPr>
            <w:tcW w:w="903"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8.3</w:t>
            </w:r>
          </w:p>
        </w:tc>
        <w:tc>
          <w:tcPr>
            <w:tcW w:w="1311"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8.0</w:t>
            </w:r>
          </w:p>
        </w:tc>
        <w:tc>
          <w:tcPr>
            <w:tcW w:w="1092"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5.7</w:t>
            </w:r>
          </w:p>
        </w:tc>
        <w:tc>
          <w:tcPr>
            <w:tcW w:w="835"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14</w:t>
            </w:r>
          </w:p>
        </w:tc>
      </w:tr>
      <w:tr w:rsidR="000812A7" w:rsidRPr="00CF3673" w:rsidTr="005F7D76">
        <w:trPr>
          <w:trHeight w:val="255"/>
          <w:jc w:val="center"/>
        </w:trPr>
        <w:tc>
          <w:tcPr>
            <w:tcW w:w="2881" w:type="dxa"/>
            <w:shd w:val="clear" w:color="auto" w:fill="FFFFFF"/>
            <w:noWrap/>
            <w:tcMar>
              <w:top w:w="0" w:type="dxa"/>
              <w:left w:w="108" w:type="dxa"/>
              <w:bottom w:w="0" w:type="dxa"/>
              <w:right w:w="108" w:type="dxa"/>
            </w:tcMar>
            <w:vAlign w:val="bottom"/>
            <w:hideMark/>
          </w:tcPr>
          <w:p w:rsidR="005F7D76" w:rsidRPr="00CF3673" w:rsidRDefault="00407567" w:rsidP="00407567">
            <w:pPr>
              <w:spacing w:after="0"/>
              <w:rPr>
                <w:rFonts w:ascii="Calibri" w:eastAsiaTheme="minorEastAsia" w:hAnsi="Calibri"/>
                <w:color w:val="000000"/>
                <w:sz w:val="20"/>
                <w:szCs w:val="20"/>
              </w:rPr>
            </w:pPr>
            <w:r w:rsidRPr="00CF3673">
              <w:rPr>
                <w:color w:val="000000"/>
                <w:sz w:val="20"/>
                <w:szCs w:val="20"/>
              </w:rPr>
              <w:t xml:space="preserve">Pagamento de quotas </w:t>
            </w:r>
            <w:r w:rsidR="00D86D26" w:rsidRPr="00CF3673">
              <w:rPr>
                <w:color w:val="000000"/>
                <w:sz w:val="20"/>
                <w:szCs w:val="20"/>
              </w:rPr>
              <w:t>**</w:t>
            </w:r>
          </w:p>
        </w:tc>
        <w:tc>
          <w:tcPr>
            <w:tcW w:w="70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80.9</w:t>
            </w:r>
          </w:p>
        </w:tc>
        <w:tc>
          <w:tcPr>
            <w:tcW w:w="74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70.0</w:t>
            </w:r>
          </w:p>
        </w:tc>
        <w:tc>
          <w:tcPr>
            <w:tcW w:w="76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84.8</w:t>
            </w:r>
          </w:p>
        </w:tc>
        <w:tc>
          <w:tcPr>
            <w:tcW w:w="903"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83.3</w:t>
            </w:r>
          </w:p>
        </w:tc>
        <w:tc>
          <w:tcPr>
            <w:tcW w:w="1311"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76.1</w:t>
            </w:r>
          </w:p>
        </w:tc>
        <w:tc>
          <w:tcPr>
            <w:tcW w:w="1092"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95.5</w:t>
            </w:r>
          </w:p>
        </w:tc>
        <w:tc>
          <w:tcPr>
            <w:tcW w:w="835"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6</w:t>
            </w:r>
          </w:p>
        </w:tc>
      </w:tr>
      <w:tr w:rsidR="000812A7" w:rsidRPr="00CF3673" w:rsidTr="005F7D76">
        <w:trPr>
          <w:trHeight w:val="255"/>
          <w:jc w:val="center"/>
        </w:trPr>
        <w:tc>
          <w:tcPr>
            <w:tcW w:w="2881" w:type="dxa"/>
            <w:shd w:val="clear" w:color="auto" w:fill="FFFFFF"/>
            <w:tcMar>
              <w:top w:w="0" w:type="dxa"/>
              <w:left w:w="108" w:type="dxa"/>
              <w:bottom w:w="0" w:type="dxa"/>
              <w:right w:w="108" w:type="dxa"/>
            </w:tcMar>
            <w:vAlign w:val="bottom"/>
            <w:hideMark/>
          </w:tcPr>
          <w:p w:rsidR="005F7D76" w:rsidRPr="00CF3673" w:rsidRDefault="00407567" w:rsidP="00407567">
            <w:pPr>
              <w:spacing w:after="0"/>
              <w:rPr>
                <w:rFonts w:ascii="Calibri" w:eastAsiaTheme="minorEastAsia" w:hAnsi="Calibri"/>
                <w:color w:val="000000"/>
                <w:sz w:val="20"/>
                <w:szCs w:val="20"/>
              </w:rPr>
            </w:pPr>
            <w:r w:rsidRPr="00CF3673">
              <w:rPr>
                <w:color w:val="000000"/>
                <w:sz w:val="20"/>
                <w:szCs w:val="20"/>
              </w:rPr>
              <w:t xml:space="preserve">Representação dos interesses das empresas pelas associações </w:t>
            </w:r>
            <w:r w:rsidR="006A4724" w:rsidRPr="00CF3673">
              <w:rPr>
                <w:color w:val="000000"/>
                <w:sz w:val="20"/>
                <w:szCs w:val="20"/>
              </w:rPr>
              <w:t>económicas</w:t>
            </w:r>
            <w:r w:rsidRPr="00CF3673">
              <w:rPr>
                <w:color w:val="000000"/>
                <w:sz w:val="20"/>
                <w:szCs w:val="20"/>
              </w:rPr>
              <w:t xml:space="preserve"> </w:t>
            </w:r>
            <w:r w:rsidR="005F7D76" w:rsidRPr="00CF3673">
              <w:rPr>
                <w:color w:val="000000"/>
                <w:sz w:val="20"/>
                <w:szCs w:val="20"/>
              </w:rPr>
              <w:t>**</w:t>
            </w:r>
          </w:p>
        </w:tc>
        <w:tc>
          <w:tcPr>
            <w:tcW w:w="70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78.7</w:t>
            </w:r>
          </w:p>
        </w:tc>
        <w:tc>
          <w:tcPr>
            <w:tcW w:w="74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70.0</w:t>
            </w:r>
          </w:p>
        </w:tc>
        <w:tc>
          <w:tcPr>
            <w:tcW w:w="760"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78.8</w:t>
            </w:r>
          </w:p>
        </w:tc>
        <w:tc>
          <w:tcPr>
            <w:tcW w:w="903"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83.3</w:t>
            </w:r>
          </w:p>
        </w:tc>
        <w:tc>
          <w:tcPr>
            <w:tcW w:w="1311"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76.1</w:t>
            </w:r>
          </w:p>
        </w:tc>
        <w:tc>
          <w:tcPr>
            <w:tcW w:w="1092"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86.4</w:t>
            </w:r>
          </w:p>
        </w:tc>
        <w:tc>
          <w:tcPr>
            <w:tcW w:w="835" w:type="dxa"/>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6</w:t>
            </w:r>
          </w:p>
        </w:tc>
      </w:tr>
      <w:tr w:rsidR="000812A7" w:rsidRPr="00CF3673" w:rsidTr="005F7D76">
        <w:trPr>
          <w:trHeight w:val="270"/>
          <w:jc w:val="center"/>
        </w:trPr>
        <w:tc>
          <w:tcPr>
            <w:tcW w:w="2881"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5F7D76" w:rsidRPr="00CF3673" w:rsidRDefault="006A4724" w:rsidP="005F7D76">
            <w:pPr>
              <w:spacing w:after="0"/>
              <w:rPr>
                <w:rFonts w:ascii="Calibri" w:eastAsiaTheme="minorEastAsia" w:hAnsi="Calibri"/>
                <w:color w:val="000000"/>
                <w:sz w:val="20"/>
                <w:szCs w:val="20"/>
              </w:rPr>
            </w:pPr>
            <w:r w:rsidRPr="00CF3673">
              <w:rPr>
                <w:color w:val="000000"/>
                <w:sz w:val="20"/>
                <w:szCs w:val="20"/>
              </w:rPr>
              <w:t>Observações</w:t>
            </w:r>
          </w:p>
        </w:tc>
        <w:tc>
          <w:tcPr>
            <w:tcW w:w="700"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761</w:t>
            </w:r>
          </w:p>
        </w:tc>
        <w:tc>
          <w:tcPr>
            <w:tcW w:w="740"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517</w:t>
            </w:r>
          </w:p>
        </w:tc>
        <w:tc>
          <w:tcPr>
            <w:tcW w:w="760"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178</w:t>
            </w:r>
          </w:p>
        </w:tc>
        <w:tc>
          <w:tcPr>
            <w:tcW w:w="903"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66</w:t>
            </w:r>
          </w:p>
        </w:tc>
        <w:tc>
          <w:tcPr>
            <w:tcW w:w="1311"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676</w:t>
            </w:r>
          </w:p>
        </w:tc>
        <w:tc>
          <w:tcPr>
            <w:tcW w:w="1092"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84</w:t>
            </w:r>
          </w:p>
        </w:tc>
        <w:tc>
          <w:tcPr>
            <w:tcW w:w="835" w:type="dxa"/>
            <w:tcBorders>
              <w:top w:val="single" w:sz="8" w:space="0" w:color="auto"/>
              <w:left w:val="nil"/>
              <w:bottom w:val="double" w:sz="6" w:space="0" w:color="auto"/>
              <w:right w:val="nil"/>
            </w:tcBorders>
            <w:shd w:val="clear" w:color="auto" w:fill="FFFFFF"/>
            <w:noWrap/>
            <w:tcMar>
              <w:top w:w="0" w:type="dxa"/>
              <w:left w:w="108" w:type="dxa"/>
              <w:bottom w:w="0" w:type="dxa"/>
              <w:right w:w="108" w:type="dxa"/>
            </w:tcMar>
            <w:vAlign w:val="bottom"/>
            <w:hideMark/>
          </w:tcPr>
          <w:p w:rsidR="005F7D76" w:rsidRPr="00CF3673" w:rsidRDefault="005F7D76" w:rsidP="005F7D76">
            <w:pPr>
              <w:spacing w:after="0"/>
              <w:jc w:val="center"/>
              <w:rPr>
                <w:rFonts w:ascii="Calibri" w:eastAsiaTheme="minorEastAsia" w:hAnsi="Calibri"/>
                <w:color w:val="000000"/>
                <w:sz w:val="20"/>
                <w:szCs w:val="20"/>
              </w:rPr>
            </w:pPr>
            <w:r w:rsidRPr="00CF3673">
              <w:rPr>
                <w:color w:val="000000"/>
                <w:sz w:val="20"/>
                <w:szCs w:val="20"/>
              </w:rPr>
              <w:t> </w:t>
            </w:r>
          </w:p>
        </w:tc>
      </w:tr>
      <w:tr w:rsidR="005F7D76" w:rsidRPr="00CF3673" w:rsidTr="005F7D76">
        <w:trPr>
          <w:jc w:val="center"/>
        </w:trPr>
        <w:tc>
          <w:tcPr>
            <w:tcW w:w="9222" w:type="dxa"/>
            <w:gridSpan w:val="8"/>
            <w:shd w:val="clear" w:color="auto" w:fill="FFFFFF"/>
            <w:tcMar>
              <w:top w:w="0" w:type="dxa"/>
              <w:left w:w="108" w:type="dxa"/>
              <w:bottom w:w="0" w:type="dxa"/>
              <w:right w:w="108" w:type="dxa"/>
            </w:tcMar>
            <w:vAlign w:val="bottom"/>
            <w:hideMark/>
          </w:tcPr>
          <w:p w:rsidR="005F7D76" w:rsidRPr="00CF3673" w:rsidRDefault="00407567" w:rsidP="00407567">
            <w:pPr>
              <w:pStyle w:val="Tablenote"/>
              <w:rPr>
                <w:lang w:val="pt-PT"/>
              </w:rPr>
            </w:pPr>
            <w:r w:rsidRPr="00CF3673">
              <w:rPr>
                <w:b/>
                <w:bCs/>
                <w:lang w:val="pt-PT"/>
              </w:rPr>
              <w:t>Nota</w:t>
            </w:r>
            <w:r w:rsidR="005F7D76" w:rsidRPr="00CF3673">
              <w:rPr>
                <w:lang w:val="pt-PT"/>
              </w:rPr>
              <w:t xml:space="preserve">: </w:t>
            </w:r>
            <w:r w:rsidRPr="00CF3673">
              <w:rPr>
                <w:lang w:val="pt-PT"/>
              </w:rPr>
              <w:t>%</w:t>
            </w:r>
            <w:r w:rsidR="005F7D76" w:rsidRPr="00CF3673">
              <w:rPr>
                <w:lang w:val="pt-PT"/>
              </w:rPr>
              <w:t xml:space="preserve">. </w:t>
            </w:r>
            <w:r w:rsidRPr="00CF3673">
              <w:rPr>
                <w:lang w:val="pt-PT"/>
              </w:rPr>
              <w:t>Numero de empresas que membros das associações económicas por categoria em negrito</w:t>
            </w:r>
            <w:r w:rsidR="005F7D76" w:rsidRPr="00CF3673">
              <w:rPr>
                <w:lang w:val="pt-PT"/>
              </w:rPr>
              <w:t xml:space="preserve">. </w:t>
            </w:r>
            <w:r w:rsidRPr="00CF3673">
              <w:rPr>
                <w:lang w:val="pt-PT"/>
              </w:rPr>
              <w:t xml:space="preserve">Em falta é o </w:t>
            </w:r>
            <w:proofErr w:type="spellStart"/>
            <w:r w:rsidRPr="00CF3673">
              <w:rPr>
                <w:lang w:val="pt-PT"/>
              </w:rPr>
              <w:t>nr</w:t>
            </w:r>
            <w:proofErr w:type="spellEnd"/>
            <w:r w:rsidRPr="00CF3673">
              <w:rPr>
                <w:lang w:val="pt-PT"/>
              </w:rPr>
              <w:t xml:space="preserve"> de </w:t>
            </w:r>
            <w:r w:rsidRPr="00CF3673">
              <w:rPr>
                <w:lang w:val="pt-PT"/>
              </w:rPr>
              <w:lastRenderedPageBreak/>
              <w:t>observações em falta comparado com o número de empresas</w:t>
            </w:r>
            <w:r w:rsidR="005F7D76" w:rsidRPr="00CF3673">
              <w:rPr>
                <w:lang w:val="pt-PT"/>
              </w:rPr>
              <w:t xml:space="preserve">. * </w:t>
            </w:r>
            <w:r w:rsidRPr="00CF3673">
              <w:rPr>
                <w:lang w:val="pt-PT"/>
              </w:rPr>
              <w:t>em anos</w:t>
            </w:r>
            <w:r w:rsidR="005F7D76" w:rsidRPr="00CF3673">
              <w:rPr>
                <w:lang w:val="pt-PT"/>
              </w:rPr>
              <w:t xml:space="preserve">, ** </w:t>
            </w:r>
            <w:r w:rsidRPr="00CF3673">
              <w:rPr>
                <w:lang w:val="pt-PT"/>
              </w:rPr>
              <w:t>%</w:t>
            </w:r>
            <w:r w:rsidR="005F7D76" w:rsidRPr="00CF3673">
              <w:rPr>
                <w:lang w:val="pt-PT"/>
              </w:rPr>
              <w:t xml:space="preserve">. </w:t>
            </w:r>
            <w:r w:rsidRPr="00CF3673">
              <w:rPr>
                <w:lang w:val="pt-PT"/>
              </w:rPr>
              <w:t>De membros que dizem SIM</w:t>
            </w:r>
            <w:r w:rsidR="005F7D76" w:rsidRPr="00CF3673">
              <w:rPr>
                <w:lang w:val="pt-PT"/>
              </w:rPr>
              <w:t xml:space="preserve">. </w:t>
            </w:r>
            <w:r w:rsidRPr="00CF3673">
              <w:rPr>
                <w:lang w:val="pt-PT"/>
              </w:rPr>
              <w:t>Uma observação em falta sobre propriedade</w:t>
            </w:r>
            <w:r w:rsidR="005F7D76" w:rsidRPr="00CF3673">
              <w:rPr>
                <w:lang w:val="pt-PT"/>
              </w:rPr>
              <w:t>.</w:t>
            </w:r>
          </w:p>
        </w:tc>
      </w:tr>
      <w:tr w:rsidR="005F7D76" w:rsidRPr="00CF3673" w:rsidTr="005F7D76">
        <w:trPr>
          <w:jc w:val="center"/>
        </w:trPr>
        <w:tc>
          <w:tcPr>
            <w:tcW w:w="9222" w:type="dxa"/>
            <w:gridSpan w:val="8"/>
            <w:shd w:val="clear" w:color="auto" w:fill="FFFFFF"/>
            <w:tcMar>
              <w:top w:w="0" w:type="dxa"/>
              <w:left w:w="108" w:type="dxa"/>
              <w:bottom w:w="0" w:type="dxa"/>
              <w:right w:w="108" w:type="dxa"/>
            </w:tcMar>
            <w:vAlign w:val="bottom"/>
            <w:hideMark/>
          </w:tcPr>
          <w:p w:rsidR="005F7D76" w:rsidRPr="00CF3673" w:rsidRDefault="00407567" w:rsidP="00407567">
            <w:pPr>
              <w:pStyle w:val="Tablenote"/>
              <w:rPr>
                <w:lang w:val="pt-PT"/>
              </w:rPr>
            </w:pPr>
            <w:r w:rsidRPr="00CF3673">
              <w:rPr>
                <w:b/>
                <w:bCs/>
                <w:lang w:val="pt-PT"/>
              </w:rPr>
              <w:lastRenderedPageBreak/>
              <w:t>Fonte</w:t>
            </w:r>
            <w:r w:rsidR="005F7D76" w:rsidRPr="00CF3673">
              <w:rPr>
                <w:lang w:val="pt-PT"/>
              </w:rPr>
              <w:t xml:space="preserve">: </w:t>
            </w:r>
            <w:r w:rsidR="006A4724" w:rsidRPr="00CF3673">
              <w:rPr>
                <w:lang w:val="pt-PT"/>
              </w:rPr>
              <w:t>Cálculos</w:t>
            </w:r>
            <w:r w:rsidRPr="00CF3673">
              <w:rPr>
                <w:lang w:val="pt-PT"/>
              </w:rPr>
              <w:t xml:space="preserve"> </w:t>
            </w:r>
            <w:r w:rsidR="006A4724" w:rsidRPr="00CF3673">
              <w:rPr>
                <w:lang w:val="pt-PT"/>
              </w:rPr>
              <w:t>próprios</w:t>
            </w:r>
            <w:r w:rsidRPr="00CF3673">
              <w:rPr>
                <w:lang w:val="pt-PT"/>
              </w:rPr>
              <w:t xml:space="preserve"> usando </w:t>
            </w:r>
            <w:r w:rsidR="005F7D76" w:rsidRPr="00CF3673">
              <w:rPr>
                <w:lang w:val="pt-PT"/>
              </w:rPr>
              <w:t>IIM 2012.</w:t>
            </w:r>
          </w:p>
        </w:tc>
      </w:tr>
    </w:tbl>
    <w:p w:rsidR="005F7D76" w:rsidRPr="00CF3673" w:rsidRDefault="005F7D76" w:rsidP="005F7D76">
      <w:pPr>
        <w:rPr>
          <w:rFonts w:ascii="Calibri" w:eastAsiaTheme="minorEastAsia" w:hAnsi="Calibri"/>
          <w:color w:val="1F497D"/>
        </w:rPr>
      </w:pPr>
    </w:p>
    <w:p w:rsidR="002F76A8" w:rsidRPr="00CF3673" w:rsidRDefault="002F76A8" w:rsidP="00407567">
      <w:pPr>
        <w:pStyle w:val="MainText"/>
        <w:rPr>
          <w:lang w:val="pt-PT"/>
        </w:rPr>
      </w:pPr>
      <w:r w:rsidRPr="00CF3673">
        <w:rPr>
          <w:lang w:val="pt-PT"/>
        </w:rPr>
        <w:t xml:space="preserve">Mudando para a pergunta sobre que tipo de empresas se filiam a uma </w:t>
      </w:r>
      <w:r w:rsidR="006A4724" w:rsidRPr="00CF3673">
        <w:rPr>
          <w:lang w:val="pt-PT"/>
        </w:rPr>
        <w:t>associação</w:t>
      </w:r>
      <w:r w:rsidRPr="00CF3673">
        <w:rPr>
          <w:lang w:val="pt-PT"/>
        </w:rPr>
        <w:t xml:space="preserve"> </w:t>
      </w:r>
      <w:r w:rsidR="006A4724" w:rsidRPr="00CF3673">
        <w:rPr>
          <w:lang w:val="pt-PT"/>
        </w:rPr>
        <w:t>económica</w:t>
      </w:r>
      <w:r w:rsidRPr="00CF3673">
        <w:rPr>
          <w:lang w:val="pt-PT"/>
        </w:rPr>
        <w:t>, a tabela 8.4 apresenta os resultados d</w:t>
      </w:r>
      <w:r w:rsidR="00FE5185" w:rsidRPr="00CF3673">
        <w:rPr>
          <w:lang w:val="pt-PT"/>
        </w:rPr>
        <w:t xml:space="preserve">o modelo </w:t>
      </w:r>
      <w:proofErr w:type="spellStart"/>
      <w:r w:rsidRPr="00CF3673">
        <w:rPr>
          <w:i/>
          <w:lang w:val="pt-PT"/>
        </w:rPr>
        <w:t>probit</w:t>
      </w:r>
      <w:proofErr w:type="spellEnd"/>
      <w:r w:rsidRPr="00CF3673">
        <w:rPr>
          <w:lang w:val="pt-PT"/>
        </w:rPr>
        <w:t xml:space="preserve"> de determinantes de filiação nas associações económicas. Os resultados devem ser interpretados com cautela e somente em termos de correlação. </w:t>
      </w:r>
      <w:r w:rsidR="00B52DA7" w:rsidRPr="00CF3673">
        <w:rPr>
          <w:lang w:val="pt-PT"/>
        </w:rPr>
        <w:t>Os determinantes normais bem como a medida de rede estão incluídas. A coluna (1) é usada como linha de base para estimativas e exclui medida da actividade da rede. Em termos de medida de rede, a coluna (2) inclui o total de contactos (</w:t>
      </w:r>
      <w:proofErr w:type="spellStart"/>
      <w:r w:rsidR="00B52DA7" w:rsidRPr="00CF3673">
        <w:rPr>
          <w:i/>
          <w:lang w:val="pt-PT"/>
        </w:rPr>
        <w:t>log</w:t>
      </w:r>
      <w:r w:rsidR="00783995" w:rsidRPr="00CF3673">
        <w:rPr>
          <w:i/>
          <w:lang w:val="pt-PT"/>
        </w:rPr>
        <w:t>aritimo</w:t>
      </w:r>
      <w:proofErr w:type="spellEnd"/>
      <w:r w:rsidR="00B52DA7" w:rsidRPr="00CF3673">
        <w:rPr>
          <w:i/>
          <w:lang w:val="pt-PT"/>
        </w:rPr>
        <w:t>)</w:t>
      </w:r>
      <w:r w:rsidR="00B52DA7" w:rsidRPr="00CF3673">
        <w:rPr>
          <w:lang w:val="pt-PT"/>
        </w:rPr>
        <w:t xml:space="preserve"> e diversidade de contacto, onde diversidade de contacto é definida como o número de grupos sobre os quais a empresa tem pelo menos um contacto. Coluna (3) subdivide o número total de contactos em </w:t>
      </w:r>
      <w:r w:rsidR="00783995" w:rsidRPr="00CF3673">
        <w:rPr>
          <w:lang w:val="pt-PT"/>
        </w:rPr>
        <w:t xml:space="preserve">6 grupos similares aos apresentados na tabela 8.1. Todas as </w:t>
      </w:r>
      <w:r w:rsidR="006A4724" w:rsidRPr="00CF3673">
        <w:rPr>
          <w:lang w:val="pt-PT"/>
        </w:rPr>
        <w:t>submedidas</w:t>
      </w:r>
      <w:r w:rsidR="00783995" w:rsidRPr="00CF3673">
        <w:rPr>
          <w:lang w:val="pt-PT"/>
        </w:rPr>
        <w:t xml:space="preserve"> estão </w:t>
      </w:r>
      <w:r w:rsidR="006A4724" w:rsidRPr="00CF3673">
        <w:rPr>
          <w:lang w:val="pt-PT"/>
        </w:rPr>
        <w:t>incluídas</w:t>
      </w:r>
      <w:r w:rsidR="00783995" w:rsidRPr="00CF3673">
        <w:rPr>
          <w:lang w:val="pt-PT"/>
        </w:rPr>
        <w:t xml:space="preserve"> como continuação das medidas no </w:t>
      </w:r>
      <w:proofErr w:type="spellStart"/>
      <w:r w:rsidR="00783995" w:rsidRPr="00CF3673">
        <w:rPr>
          <w:lang w:val="pt-PT"/>
        </w:rPr>
        <w:t>logarítimo</w:t>
      </w:r>
      <w:proofErr w:type="spellEnd"/>
      <w:r w:rsidR="00783995" w:rsidRPr="00CF3673">
        <w:rPr>
          <w:lang w:val="pt-PT"/>
        </w:rPr>
        <w:t>.</w:t>
      </w:r>
      <w:r w:rsidR="00B52DA7" w:rsidRPr="00CF3673">
        <w:rPr>
          <w:lang w:val="pt-PT"/>
        </w:rPr>
        <w:t xml:space="preserve"> </w:t>
      </w:r>
    </w:p>
    <w:p w:rsidR="0073571C" w:rsidRPr="00CF3673" w:rsidRDefault="0073571C" w:rsidP="0073571C">
      <w:pPr>
        <w:pStyle w:val="TableTitle"/>
        <w:rPr>
          <w:lang w:val="pt-PT"/>
        </w:rPr>
      </w:pPr>
      <w:bookmarkStart w:id="66" w:name="_Toc360720490"/>
      <w:r w:rsidRPr="00CF3673">
        <w:rPr>
          <w:lang w:val="pt-PT"/>
        </w:rPr>
        <w:t>Tab</w:t>
      </w:r>
      <w:r w:rsidR="005B19FE" w:rsidRPr="00CF3673">
        <w:rPr>
          <w:lang w:val="pt-PT"/>
        </w:rPr>
        <w:t>ela</w:t>
      </w:r>
      <w:r w:rsidRPr="00CF3673">
        <w:rPr>
          <w:lang w:val="pt-PT"/>
        </w:rPr>
        <w:t xml:space="preserve"> 8.4: Determinant</w:t>
      </w:r>
      <w:r w:rsidR="005B19FE" w:rsidRPr="00CF3673">
        <w:rPr>
          <w:lang w:val="pt-PT"/>
        </w:rPr>
        <w:t>es de Filiação nas Associações Económicas</w:t>
      </w:r>
      <w:r w:rsidRPr="00CF3673">
        <w:rPr>
          <w:lang w:val="pt-PT"/>
        </w:rPr>
        <w:t xml:space="preserve">, </w:t>
      </w:r>
      <w:proofErr w:type="spellStart"/>
      <w:r w:rsidRPr="00CF3673">
        <w:rPr>
          <w:i/>
          <w:lang w:val="pt-PT"/>
        </w:rPr>
        <w:t>probit</w:t>
      </w:r>
      <w:bookmarkEnd w:id="66"/>
      <w:proofErr w:type="spellEnd"/>
    </w:p>
    <w:tbl>
      <w:tblPr>
        <w:tblW w:w="0" w:type="auto"/>
        <w:jc w:val="center"/>
        <w:tblInd w:w="-766" w:type="dxa"/>
        <w:tblCellMar>
          <w:left w:w="144" w:type="dxa"/>
          <w:right w:w="144" w:type="dxa"/>
        </w:tblCellMar>
        <w:tblLook w:val="0000" w:firstRow="0" w:lastRow="0" w:firstColumn="0" w:lastColumn="0" w:noHBand="0" w:noVBand="0"/>
      </w:tblPr>
      <w:tblGrid>
        <w:gridCol w:w="3006"/>
        <w:gridCol w:w="1390"/>
        <w:gridCol w:w="1390"/>
        <w:gridCol w:w="1390"/>
      </w:tblGrid>
      <w:tr w:rsidR="0073571C" w:rsidRPr="00CF3673" w:rsidTr="001B2368">
        <w:trPr>
          <w:jc w:val="center"/>
        </w:trPr>
        <w:tc>
          <w:tcPr>
            <w:tcW w:w="3006" w:type="dxa"/>
            <w:tcBorders>
              <w:top w:val="double" w:sz="4" w:space="0" w:color="auto"/>
              <w:left w:val="nil"/>
              <w:right w:val="nil"/>
            </w:tcBorders>
          </w:tcPr>
          <w:p w:rsidR="0073571C" w:rsidRPr="00CF3673" w:rsidRDefault="0073571C" w:rsidP="004F7D5E">
            <w:pPr>
              <w:widowControl w:val="0"/>
              <w:autoSpaceDE w:val="0"/>
              <w:autoSpaceDN w:val="0"/>
              <w:adjustRightInd w:val="0"/>
              <w:spacing w:before="66" w:after="66" w:line="240" w:lineRule="auto"/>
              <w:rPr>
                <w:rFonts w:ascii="Calibri" w:hAnsi="Calibri" w:cs="Calibri"/>
                <w:sz w:val="20"/>
                <w:szCs w:val="20"/>
              </w:rPr>
            </w:pPr>
          </w:p>
        </w:tc>
        <w:tc>
          <w:tcPr>
            <w:tcW w:w="1260" w:type="dxa"/>
            <w:tcBorders>
              <w:top w:val="double" w:sz="4" w:space="0" w:color="auto"/>
              <w:left w:val="nil"/>
              <w:bottom w:val="single" w:sz="4" w:space="0" w:color="auto"/>
              <w:right w:val="nil"/>
            </w:tcBorders>
          </w:tcPr>
          <w:p w:rsidR="0073571C" w:rsidRPr="00CF3673" w:rsidRDefault="0073571C" w:rsidP="004F7D5E">
            <w:pPr>
              <w:widowControl w:val="0"/>
              <w:autoSpaceDE w:val="0"/>
              <w:autoSpaceDN w:val="0"/>
              <w:adjustRightInd w:val="0"/>
              <w:spacing w:before="66" w:after="66" w:line="240" w:lineRule="auto"/>
              <w:jc w:val="center"/>
              <w:rPr>
                <w:rFonts w:ascii="Calibri" w:hAnsi="Calibri" w:cs="Calibri"/>
                <w:sz w:val="20"/>
                <w:szCs w:val="20"/>
              </w:rPr>
            </w:pPr>
            <w:r w:rsidRPr="00CF3673">
              <w:rPr>
                <w:rFonts w:ascii="Calibri" w:hAnsi="Calibri" w:cs="Calibri"/>
                <w:sz w:val="20"/>
                <w:szCs w:val="20"/>
              </w:rPr>
              <w:t>(1)</w:t>
            </w:r>
          </w:p>
        </w:tc>
        <w:tc>
          <w:tcPr>
            <w:tcW w:w="1260" w:type="dxa"/>
            <w:tcBorders>
              <w:top w:val="double" w:sz="4" w:space="0" w:color="auto"/>
              <w:left w:val="nil"/>
              <w:bottom w:val="single" w:sz="4" w:space="0" w:color="auto"/>
              <w:right w:val="nil"/>
            </w:tcBorders>
          </w:tcPr>
          <w:p w:rsidR="0073571C" w:rsidRPr="00CF3673" w:rsidRDefault="0073571C" w:rsidP="004F7D5E">
            <w:pPr>
              <w:widowControl w:val="0"/>
              <w:autoSpaceDE w:val="0"/>
              <w:autoSpaceDN w:val="0"/>
              <w:adjustRightInd w:val="0"/>
              <w:spacing w:before="66" w:after="66" w:line="240" w:lineRule="auto"/>
              <w:jc w:val="center"/>
              <w:rPr>
                <w:rFonts w:ascii="Calibri" w:hAnsi="Calibri" w:cs="Calibri"/>
                <w:sz w:val="20"/>
                <w:szCs w:val="20"/>
              </w:rPr>
            </w:pPr>
            <w:r w:rsidRPr="00CF3673">
              <w:rPr>
                <w:rFonts w:ascii="Calibri" w:hAnsi="Calibri" w:cs="Calibri"/>
                <w:sz w:val="20"/>
                <w:szCs w:val="20"/>
              </w:rPr>
              <w:t>(2)</w:t>
            </w:r>
          </w:p>
        </w:tc>
        <w:tc>
          <w:tcPr>
            <w:tcW w:w="1260" w:type="dxa"/>
            <w:tcBorders>
              <w:top w:val="double" w:sz="4" w:space="0" w:color="auto"/>
              <w:left w:val="nil"/>
              <w:bottom w:val="single" w:sz="4" w:space="0" w:color="auto"/>
              <w:right w:val="nil"/>
            </w:tcBorders>
          </w:tcPr>
          <w:p w:rsidR="0073571C" w:rsidRPr="00CF3673" w:rsidRDefault="0073571C" w:rsidP="004F7D5E">
            <w:pPr>
              <w:widowControl w:val="0"/>
              <w:autoSpaceDE w:val="0"/>
              <w:autoSpaceDN w:val="0"/>
              <w:adjustRightInd w:val="0"/>
              <w:spacing w:before="66" w:after="66" w:line="240" w:lineRule="auto"/>
              <w:jc w:val="center"/>
              <w:rPr>
                <w:rFonts w:ascii="Calibri" w:hAnsi="Calibri" w:cs="Calibri"/>
                <w:sz w:val="20"/>
                <w:szCs w:val="20"/>
              </w:rPr>
            </w:pPr>
            <w:r w:rsidRPr="00CF3673">
              <w:rPr>
                <w:rFonts w:ascii="Calibri" w:hAnsi="Calibri" w:cs="Calibri"/>
                <w:sz w:val="20"/>
                <w:szCs w:val="20"/>
              </w:rPr>
              <w:t>(3)</w:t>
            </w:r>
          </w:p>
        </w:tc>
      </w:tr>
      <w:tr w:rsidR="0073571C" w:rsidRPr="00CF3673" w:rsidTr="004F7D5E">
        <w:trPr>
          <w:jc w:val="center"/>
        </w:trPr>
        <w:tc>
          <w:tcPr>
            <w:tcW w:w="3006" w:type="dxa"/>
            <w:tcBorders>
              <w:left w:val="nil"/>
              <w:bottom w:val="nil"/>
              <w:right w:val="nil"/>
            </w:tcBorders>
          </w:tcPr>
          <w:p w:rsidR="0073571C" w:rsidRPr="00CF3673" w:rsidRDefault="005B19FE" w:rsidP="005B19FE">
            <w:pPr>
              <w:widowControl w:val="0"/>
              <w:autoSpaceDE w:val="0"/>
              <w:autoSpaceDN w:val="0"/>
              <w:adjustRightInd w:val="0"/>
              <w:spacing w:after="0" w:line="240" w:lineRule="auto"/>
              <w:rPr>
                <w:sz w:val="20"/>
                <w:szCs w:val="20"/>
              </w:rPr>
            </w:pPr>
            <w:r w:rsidRPr="00CF3673">
              <w:rPr>
                <w:sz w:val="20"/>
                <w:szCs w:val="20"/>
              </w:rPr>
              <w:t xml:space="preserve">Número total de </w:t>
            </w:r>
            <w:r w:rsidR="0073571C" w:rsidRPr="00CF3673">
              <w:rPr>
                <w:sz w:val="20"/>
                <w:szCs w:val="20"/>
              </w:rPr>
              <w:t>contact</w:t>
            </w:r>
            <w:r w:rsidRPr="00CF3673">
              <w:rPr>
                <w:sz w:val="20"/>
                <w:szCs w:val="20"/>
              </w:rPr>
              <w:t>os</w:t>
            </w:r>
            <w:r w:rsidR="0073571C" w:rsidRPr="00CF3673">
              <w:rPr>
                <w:sz w:val="20"/>
                <w:szCs w:val="20"/>
              </w:rPr>
              <w:t xml:space="preserve"> (log)</w:t>
            </w:r>
          </w:p>
        </w:tc>
        <w:tc>
          <w:tcPr>
            <w:tcW w:w="1260" w:type="dxa"/>
            <w:tcBorders>
              <w:top w:val="single" w:sz="4" w:space="0" w:color="auto"/>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single" w:sz="4" w:space="0" w:color="auto"/>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-0.015</w:t>
            </w:r>
          </w:p>
        </w:tc>
        <w:tc>
          <w:tcPr>
            <w:tcW w:w="1260" w:type="dxa"/>
            <w:tcBorders>
              <w:top w:val="single" w:sz="4" w:space="0" w:color="auto"/>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r>
      <w:tr w:rsidR="0073571C" w:rsidRPr="00CF3673" w:rsidTr="004F7D5E">
        <w:trPr>
          <w:jc w:val="center"/>
        </w:trPr>
        <w:tc>
          <w:tcPr>
            <w:tcW w:w="3006" w:type="dxa"/>
            <w:tcBorders>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(1.11)</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r>
      <w:tr w:rsidR="0073571C" w:rsidRPr="00CF3673" w:rsidTr="004F7D5E">
        <w:trPr>
          <w:jc w:val="center"/>
        </w:trPr>
        <w:tc>
          <w:tcPr>
            <w:tcW w:w="3006" w:type="dxa"/>
            <w:tcBorders>
              <w:left w:val="nil"/>
              <w:bottom w:val="nil"/>
              <w:right w:val="nil"/>
            </w:tcBorders>
          </w:tcPr>
          <w:p w:rsidR="0073571C" w:rsidRPr="00CF3673" w:rsidRDefault="0073571C" w:rsidP="00AC7C0F">
            <w:pPr>
              <w:widowControl w:val="0"/>
              <w:autoSpaceDE w:val="0"/>
              <w:autoSpaceDN w:val="0"/>
              <w:adjustRightInd w:val="0"/>
              <w:spacing w:after="0" w:line="240" w:lineRule="auto"/>
              <w:rPr>
                <w:sz w:val="20"/>
                <w:szCs w:val="20"/>
              </w:rPr>
            </w:pPr>
            <w:r w:rsidRPr="00CF3673">
              <w:rPr>
                <w:sz w:val="20"/>
                <w:szCs w:val="20"/>
              </w:rPr>
              <w:t>Contact</w:t>
            </w:r>
            <w:r w:rsidR="00AC7C0F" w:rsidRPr="00CF3673">
              <w:rPr>
                <w:sz w:val="20"/>
                <w:szCs w:val="20"/>
              </w:rPr>
              <w:t>o</w:t>
            </w:r>
            <w:r w:rsidRPr="00CF3673">
              <w:rPr>
                <w:sz w:val="20"/>
                <w:szCs w:val="20"/>
              </w:rPr>
              <w:t xml:space="preserve">s </w:t>
            </w:r>
            <w:r w:rsidR="00AC7C0F" w:rsidRPr="00CF3673">
              <w:rPr>
                <w:sz w:val="20"/>
                <w:szCs w:val="20"/>
              </w:rPr>
              <w:t xml:space="preserve">no mesmo </w:t>
            </w:r>
            <w:r w:rsidRPr="00CF3673">
              <w:rPr>
                <w:sz w:val="20"/>
                <w:szCs w:val="20"/>
              </w:rPr>
              <w:t>sector (log)</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0.020**</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0.030***</w:t>
            </w:r>
          </w:p>
        </w:tc>
      </w:tr>
      <w:tr w:rsidR="0073571C" w:rsidRPr="00CF3673" w:rsidTr="004F7D5E">
        <w:trPr>
          <w:jc w:val="center"/>
        </w:trPr>
        <w:tc>
          <w:tcPr>
            <w:tcW w:w="3006" w:type="dxa"/>
            <w:tcBorders>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(2.43)</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(3.38)</w:t>
            </w:r>
          </w:p>
        </w:tc>
      </w:tr>
      <w:tr w:rsidR="0073571C" w:rsidRPr="00CF3673" w:rsidTr="004F7D5E">
        <w:trPr>
          <w:jc w:val="center"/>
        </w:trPr>
        <w:tc>
          <w:tcPr>
            <w:tcW w:w="3006" w:type="dxa"/>
            <w:tcBorders>
              <w:left w:val="nil"/>
              <w:bottom w:val="nil"/>
              <w:right w:val="nil"/>
            </w:tcBorders>
          </w:tcPr>
          <w:p w:rsidR="0073571C" w:rsidRPr="00CF3673" w:rsidRDefault="0073571C" w:rsidP="00AC7C0F">
            <w:pPr>
              <w:widowControl w:val="0"/>
              <w:autoSpaceDE w:val="0"/>
              <w:autoSpaceDN w:val="0"/>
              <w:adjustRightInd w:val="0"/>
              <w:spacing w:after="0" w:line="240" w:lineRule="auto"/>
              <w:rPr>
                <w:sz w:val="20"/>
                <w:szCs w:val="20"/>
              </w:rPr>
            </w:pPr>
            <w:r w:rsidRPr="00CF3673">
              <w:rPr>
                <w:sz w:val="20"/>
                <w:szCs w:val="20"/>
              </w:rPr>
              <w:t>Contact</w:t>
            </w:r>
            <w:r w:rsidR="00AC7C0F" w:rsidRPr="00CF3673">
              <w:rPr>
                <w:sz w:val="20"/>
                <w:szCs w:val="20"/>
              </w:rPr>
              <w:t xml:space="preserve">os em sector </w:t>
            </w:r>
            <w:r w:rsidRPr="00CF3673">
              <w:rPr>
                <w:sz w:val="20"/>
                <w:szCs w:val="20"/>
              </w:rPr>
              <w:t>dif</w:t>
            </w:r>
            <w:r w:rsidR="00AC7C0F" w:rsidRPr="00CF3673">
              <w:rPr>
                <w:sz w:val="20"/>
                <w:szCs w:val="20"/>
              </w:rPr>
              <w:t>erente</w:t>
            </w:r>
            <w:r w:rsidRPr="00CF3673">
              <w:rPr>
                <w:sz w:val="20"/>
                <w:szCs w:val="20"/>
              </w:rPr>
              <w:t xml:space="preserve"> (log)</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-0.021*</w:t>
            </w:r>
          </w:p>
        </w:tc>
      </w:tr>
      <w:tr w:rsidR="0073571C" w:rsidRPr="00CF3673" w:rsidTr="004F7D5E">
        <w:trPr>
          <w:jc w:val="center"/>
        </w:trPr>
        <w:tc>
          <w:tcPr>
            <w:tcW w:w="3006" w:type="dxa"/>
            <w:tcBorders>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(1.87)</w:t>
            </w:r>
          </w:p>
        </w:tc>
      </w:tr>
      <w:tr w:rsidR="0073571C" w:rsidRPr="00CF3673" w:rsidTr="004F7D5E">
        <w:trPr>
          <w:jc w:val="center"/>
        </w:trPr>
        <w:tc>
          <w:tcPr>
            <w:tcW w:w="3006" w:type="dxa"/>
            <w:tcBorders>
              <w:left w:val="nil"/>
              <w:bottom w:val="nil"/>
              <w:right w:val="nil"/>
            </w:tcBorders>
          </w:tcPr>
          <w:p w:rsidR="0073571C" w:rsidRPr="00CF3673" w:rsidRDefault="0073571C" w:rsidP="00AC7C0F">
            <w:pPr>
              <w:widowControl w:val="0"/>
              <w:autoSpaceDE w:val="0"/>
              <w:autoSpaceDN w:val="0"/>
              <w:adjustRightInd w:val="0"/>
              <w:spacing w:after="0" w:line="240" w:lineRule="auto"/>
              <w:rPr>
                <w:sz w:val="20"/>
                <w:szCs w:val="20"/>
              </w:rPr>
            </w:pPr>
            <w:r w:rsidRPr="00CF3673">
              <w:rPr>
                <w:sz w:val="20"/>
                <w:szCs w:val="20"/>
              </w:rPr>
              <w:t>Contact</w:t>
            </w:r>
            <w:r w:rsidR="00AC7C0F" w:rsidRPr="00CF3673">
              <w:rPr>
                <w:sz w:val="20"/>
                <w:szCs w:val="20"/>
              </w:rPr>
              <w:t>o</w:t>
            </w:r>
            <w:r w:rsidRPr="00CF3673">
              <w:rPr>
                <w:sz w:val="20"/>
                <w:szCs w:val="20"/>
              </w:rPr>
              <w:t>s</w:t>
            </w:r>
            <w:r w:rsidR="00AC7C0F" w:rsidRPr="00CF3673">
              <w:rPr>
                <w:sz w:val="20"/>
                <w:szCs w:val="20"/>
              </w:rPr>
              <w:t xml:space="preserve"> com empresas estrangeiras</w:t>
            </w:r>
            <w:r w:rsidRPr="00CF3673">
              <w:rPr>
                <w:sz w:val="20"/>
                <w:szCs w:val="20"/>
              </w:rPr>
              <w:t xml:space="preserve"> (log)</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0.006</w:t>
            </w:r>
          </w:p>
        </w:tc>
      </w:tr>
      <w:tr w:rsidR="0073571C" w:rsidRPr="00CF3673" w:rsidTr="004F7D5E">
        <w:trPr>
          <w:jc w:val="center"/>
        </w:trPr>
        <w:tc>
          <w:tcPr>
            <w:tcW w:w="3006" w:type="dxa"/>
            <w:tcBorders>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(0.57)</w:t>
            </w:r>
          </w:p>
        </w:tc>
      </w:tr>
      <w:tr w:rsidR="0073571C" w:rsidRPr="00CF3673" w:rsidTr="004F7D5E">
        <w:trPr>
          <w:jc w:val="center"/>
        </w:trPr>
        <w:tc>
          <w:tcPr>
            <w:tcW w:w="3006" w:type="dxa"/>
            <w:tcBorders>
              <w:left w:val="nil"/>
              <w:bottom w:val="nil"/>
              <w:right w:val="nil"/>
            </w:tcBorders>
          </w:tcPr>
          <w:p w:rsidR="0073571C" w:rsidRPr="00CF3673" w:rsidRDefault="00C06C88" w:rsidP="00C06C88">
            <w:pPr>
              <w:widowControl w:val="0"/>
              <w:autoSpaceDE w:val="0"/>
              <w:autoSpaceDN w:val="0"/>
              <w:adjustRightInd w:val="0"/>
              <w:spacing w:after="0" w:line="240" w:lineRule="auto"/>
              <w:rPr>
                <w:sz w:val="20"/>
                <w:szCs w:val="20"/>
              </w:rPr>
            </w:pPr>
            <w:r w:rsidRPr="00CF3673">
              <w:rPr>
                <w:sz w:val="20"/>
                <w:szCs w:val="20"/>
              </w:rPr>
              <w:t xml:space="preserve">Oficiais do </w:t>
            </w:r>
            <w:r w:rsidR="0073571C" w:rsidRPr="00CF3673">
              <w:rPr>
                <w:sz w:val="20"/>
                <w:szCs w:val="20"/>
              </w:rPr>
              <w:t>Ban</w:t>
            </w:r>
            <w:r w:rsidRPr="00CF3673">
              <w:rPr>
                <w:sz w:val="20"/>
                <w:szCs w:val="20"/>
              </w:rPr>
              <w:t>co</w:t>
            </w:r>
            <w:r w:rsidR="0073571C" w:rsidRPr="00CF3673">
              <w:rPr>
                <w:sz w:val="20"/>
                <w:szCs w:val="20"/>
              </w:rPr>
              <w:t xml:space="preserve"> (log)</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-0.028*</w:t>
            </w:r>
          </w:p>
        </w:tc>
      </w:tr>
      <w:tr w:rsidR="0073571C" w:rsidRPr="00CF3673" w:rsidTr="004F7D5E">
        <w:trPr>
          <w:jc w:val="center"/>
        </w:trPr>
        <w:tc>
          <w:tcPr>
            <w:tcW w:w="3006" w:type="dxa"/>
            <w:tcBorders>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(1.81)</w:t>
            </w:r>
          </w:p>
        </w:tc>
      </w:tr>
      <w:tr w:rsidR="0073571C" w:rsidRPr="00CF3673" w:rsidTr="004F7D5E">
        <w:trPr>
          <w:jc w:val="center"/>
        </w:trPr>
        <w:tc>
          <w:tcPr>
            <w:tcW w:w="3006" w:type="dxa"/>
            <w:tcBorders>
              <w:left w:val="nil"/>
              <w:bottom w:val="nil"/>
              <w:right w:val="nil"/>
            </w:tcBorders>
          </w:tcPr>
          <w:p w:rsidR="0073571C" w:rsidRPr="00CF3673" w:rsidRDefault="00C06C88" w:rsidP="003A594C">
            <w:pPr>
              <w:widowControl w:val="0"/>
              <w:autoSpaceDE w:val="0"/>
              <w:autoSpaceDN w:val="0"/>
              <w:adjustRightInd w:val="0"/>
              <w:spacing w:after="0" w:line="240" w:lineRule="auto"/>
              <w:rPr>
                <w:sz w:val="20"/>
                <w:szCs w:val="20"/>
              </w:rPr>
            </w:pPr>
            <w:r w:rsidRPr="00CF3673">
              <w:rPr>
                <w:sz w:val="20"/>
                <w:szCs w:val="20"/>
              </w:rPr>
              <w:t xml:space="preserve">Oficiais </w:t>
            </w:r>
            <w:r w:rsidR="0073571C" w:rsidRPr="00CF3673">
              <w:rPr>
                <w:sz w:val="20"/>
                <w:szCs w:val="20"/>
              </w:rPr>
              <w:t>Public</w:t>
            </w:r>
            <w:r w:rsidR="003A594C" w:rsidRPr="00CF3673">
              <w:rPr>
                <w:sz w:val="20"/>
                <w:szCs w:val="20"/>
              </w:rPr>
              <w:t>o</w:t>
            </w:r>
            <w:r w:rsidR="0073571C" w:rsidRPr="00CF3673">
              <w:rPr>
                <w:sz w:val="20"/>
                <w:szCs w:val="20"/>
              </w:rPr>
              <w:t xml:space="preserve"> (log)</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-0.009</w:t>
            </w:r>
          </w:p>
        </w:tc>
      </w:tr>
      <w:tr w:rsidR="0073571C" w:rsidRPr="00CF3673" w:rsidTr="004F7D5E">
        <w:trPr>
          <w:jc w:val="center"/>
        </w:trPr>
        <w:tc>
          <w:tcPr>
            <w:tcW w:w="3006" w:type="dxa"/>
            <w:tcBorders>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(0.70)</w:t>
            </w:r>
          </w:p>
        </w:tc>
      </w:tr>
      <w:tr w:rsidR="0073571C" w:rsidRPr="00CF3673" w:rsidTr="004F7D5E">
        <w:trPr>
          <w:jc w:val="center"/>
        </w:trPr>
        <w:tc>
          <w:tcPr>
            <w:tcW w:w="3006" w:type="dxa"/>
            <w:tcBorders>
              <w:left w:val="nil"/>
              <w:bottom w:val="nil"/>
              <w:right w:val="nil"/>
            </w:tcBorders>
          </w:tcPr>
          <w:p w:rsidR="0073571C" w:rsidRPr="00CF3673" w:rsidRDefault="0073571C" w:rsidP="003A594C">
            <w:pPr>
              <w:widowControl w:val="0"/>
              <w:autoSpaceDE w:val="0"/>
              <w:autoSpaceDN w:val="0"/>
              <w:adjustRightInd w:val="0"/>
              <w:spacing w:after="0" w:line="240" w:lineRule="auto"/>
              <w:rPr>
                <w:sz w:val="20"/>
                <w:szCs w:val="20"/>
              </w:rPr>
            </w:pPr>
            <w:proofErr w:type="spellStart"/>
            <w:r w:rsidRPr="00CF3673">
              <w:rPr>
                <w:sz w:val="20"/>
                <w:szCs w:val="20"/>
              </w:rPr>
              <w:t>Politic</w:t>
            </w:r>
            <w:r w:rsidR="003A594C" w:rsidRPr="00CF3673">
              <w:rPr>
                <w:sz w:val="20"/>
                <w:szCs w:val="20"/>
              </w:rPr>
              <w:t>os</w:t>
            </w:r>
            <w:proofErr w:type="spellEnd"/>
            <w:r w:rsidRPr="00CF3673">
              <w:rPr>
                <w:sz w:val="20"/>
                <w:szCs w:val="20"/>
              </w:rPr>
              <w:t xml:space="preserve"> (log)</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-0.003</w:t>
            </w:r>
          </w:p>
        </w:tc>
      </w:tr>
      <w:tr w:rsidR="0073571C" w:rsidRPr="00CF3673" w:rsidTr="004F7D5E">
        <w:trPr>
          <w:jc w:val="center"/>
        </w:trPr>
        <w:tc>
          <w:tcPr>
            <w:tcW w:w="3006" w:type="dxa"/>
            <w:tcBorders>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(0.21)</w:t>
            </w:r>
          </w:p>
        </w:tc>
      </w:tr>
      <w:tr w:rsidR="0073571C" w:rsidRPr="00CF3673" w:rsidTr="004F7D5E">
        <w:trPr>
          <w:jc w:val="center"/>
        </w:trPr>
        <w:tc>
          <w:tcPr>
            <w:tcW w:w="3006" w:type="dxa"/>
            <w:tcBorders>
              <w:left w:val="nil"/>
              <w:bottom w:val="nil"/>
              <w:right w:val="nil"/>
            </w:tcBorders>
          </w:tcPr>
          <w:p w:rsidR="0073571C" w:rsidRPr="00CF3673" w:rsidRDefault="003A594C" w:rsidP="003A594C">
            <w:pPr>
              <w:widowControl w:val="0"/>
              <w:autoSpaceDE w:val="0"/>
              <w:autoSpaceDN w:val="0"/>
              <w:adjustRightInd w:val="0"/>
              <w:spacing w:after="0" w:line="240" w:lineRule="auto"/>
              <w:rPr>
                <w:sz w:val="20"/>
                <w:szCs w:val="20"/>
              </w:rPr>
            </w:pPr>
            <w:r w:rsidRPr="00CF3673">
              <w:rPr>
                <w:sz w:val="20"/>
                <w:szCs w:val="20"/>
              </w:rPr>
              <w:t xml:space="preserve">Diversidade de </w:t>
            </w:r>
            <w:r w:rsidR="0073571C" w:rsidRPr="00CF3673">
              <w:rPr>
                <w:sz w:val="20"/>
                <w:szCs w:val="20"/>
              </w:rPr>
              <w:t>Contact</w:t>
            </w:r>
            <w:r w:rsidRPr="00CF3673">
              <w:rPr>
                <w:sz w:val="20"/>
                <w:szCs w:val="20"/>
              </w:rPr>
              <w:t>o</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0.019**</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0.040***</w:t>
            </w:r>
          </w:p>
        </w:tc>
      </w:tr>
      <w:tr w:rsidR="0073571C" w:rsidRPr="00CF3673" w:rsidTr="004F7D5E">
        <w:trPr>
          <w:jc w:val="center"/>
        </w:trPr>
        <w:tc>
          <w:tcPr>
            <w:tcW w:w="3006" w:type="dxa"/>
            <w:tcBorders>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(2.07)</w:t>
            </w:r>
          </w:p>
        </w:tc>
        <w:tc>
          <w:tcPr>
            <w:tcW w:w="1260" w:type="dxa"/>
            <w:tcBorders>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(3.44)</w:t>
            </w:r>
          </w:p>
        </w:tc>
      </w:tr>
      <w:tr w:rsidR="0073571C" w:rsidRPr="00CF3673" w:rsidTr="004F7D5E">
        <w:trPr>
          <w:jc w:val="center"/>
        </w:trPr>
        <w:tc>
          <w:tcPr>
            <w:tcW w:w="3006" w:type="dxa"/>
            <w:tcBorders>
              <w:top w:val="single" w:sz="6" w:space="0" w:color="auto"/>
              <w:left w:val="nil"/>
              <w:bottom w:val="nil"/>
              <w:right w:val="nil"/>
            </w:tcBorders>
          </w:tcPr>
          <w:p w:rsidR="0073571C" w:rsidRPr="00CF3673" w:rsidRDefault="0073571C" w:rsidP="003A594C">
            <w:pPr>
              <w:widowControl w:val="0"/>
              <w:autoSpaceDE w:val="0"/>
              <w:autoSpaceDN w:val="0"/>
              <w:adjustRightInd w:val="0"/>
              <w:spacing w:after="0" w:line="240" w:lineRule="auto"/>
              <w:rPr>
                <w:sz w:val="20"/>
                <w:szCs w:val="20"/>
              </w:rPr>
            </w:pPr>
            <w:r w:rsidRPr="00CF3673">
              <w:rPr>
                <w:sz w:val="20"/>
                <w:szCs w:val="20"/>
              </w:rPr>
              <w:t>Log</w:t>
            </w:r>
            <w:r w:rsidR="003A594C" w:rsidRPr="00CF3673">
              <w:rPr>
                <w:sz w:val="20"/>
                <w:szCs w:val="20"/>
              </w:rPr>
              <w:t xml:space="preserve"> </w:t>
            </w:r>
            <w:r w:rsidRPr="00CF3673">
              <w:rPr>
                <w:sz w:val="20"/>
                <w:szCs w:val="20"/>
              </w:rPr>
              <w:t>(</w:t>
            </w:r>
            <w:r w:rsidR="003A594C" w:rsidRPr="00CF3673">
              <w:rPr>
                <w:sz w:val="20"/>
                <w:szCs w:val="20"/>
              </w:rPr>
              <w:t>tamanho da empresa</w:t>
            </w:r>
            <w:r w:rsidRPr="00CF3673">
              <w:rPr>
                <w:sz w:val="20"/>
                <w:szCs w:val="20"/>
              </w:rPr>
              <w:t>)</w:t>
            </w:r>
          </w:p>
        </w:tc>
        <w:tc>
          <w:tcPr>
            <w:tcW w:w="1260" w:type="dxa"/>
            <w:tcBorders>
              <w:top w:val="single" w:sz="6" w:space="0" w:color="auto"/>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0.056***</w:t>
            </w:r>
          </w:p>
        </w:tc>
        <w:tc>
          <w:tcPr>
            <w:tcW w:w="1260" w:type="dxa"/>
            <w:tcBorders>
              <w:top w:val="single" w:sz="6" w:space="0" w:color="auto"/>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0.048***</w:t>
            </w:r>
          </w:p>
        </w:tc>
        <w:tc>
          <w:tcPr>
            <w:tcW w:w="1260" w:type="dxa"/>
            <w:tcBorders>
              <w:top w:val="single" w:sz="6" w:space="0" w:color="auto"/>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0.047***</w:t>
            </w:r>
          </w:p>
        </w:tc>
      </w:tr>
      <w:tr w:rsidR="0073571C" w:rsidRPr="00CF3673" w:rsidTr="004F7D5E">
        <w:trPr>
          <w:jc w:val="center"/>
        </w:trPr>
        <w:tc>
          <w:tcPr>
            <w:tcW w:w="3006" w:type="dxa"/>
            <w:tcBorders>
              <w:top w:val="nil"/>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(5.04)</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(4.52)</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(4.53)</w:t>
            </w:r>
          </w:p>
        </w:tc>
      </w:tr>
      <w:tr w:rsidR="0073571C" w:rsidRPr="00CF3673" w:rsidTr="004F7D5E">
        <w:trPr>
          <w:jc w:val="center"/>
        </w:trPr>
        <w:tc>
          <w:tcPr>
            <w:tcW w:w="3006" w:type="dxa"/>
            <w:tcBorders>
              <w:top w:val="nil"/>
              <w:left w:val="nil"/>
              <w:bottom w:val="nil"/>
              <w:right w:val="nil"/>
            </w:tcBorders>
          </w:tcPr>
          <w:p w:rsidR="0073571C" w:rsidRPr="00CF3673" w:rsidRDefault="0073571C" w:rsidP="003A594C">
            <w:pPr>
              <w:widowControl w:val="0"/>
              <w:autoSpaceDE w:val="0"/>
              <w:autoSpaceDN w:val="0"/>
              <w:adjustRightInd w:val="0"/>
              <w:spacing w:after="0" w:line="240" w:lineRule="auto"/>
              <w:rPr>
                <w:sz w:val="20"/>
                <w:szCs w:val="20"/>
              </w:rPr>
            </w:pPr>
            <w:r w:rsidRPr="00CF3673">
              <w:rPr>
                <w:sz w:val="20"/>
                <w:szCs w:val="20"/>
              </w:rPr>
              <w:t>Log</w:t>
            </w:r>
            <w:r w:rsidR="003A594C" w:rsidRPr="00CF3673">
              <w:rPr>
                <w:sz w:val="20"/>
                <w:szCs w:val="20"/>
              </w:rPr>
              <w:t xml:space="preserve"> </w:t>
            </w:r>
            <w:r w:rsidRPr="00CF3673">
              <w:rPr>
                <w:sz w:val="20"/>
                <w:szCs w:val="20"/>
              </w:rPr>
              <w:t>(</w:t>
            </w:r>
            <w:r w:rsidR="003A594C" w:rsidRPr="00CF3673">
              <w:rPr>
                <w:sz w:val="20"/>
                <w:szCs w:val="20"/>
              </w:rPr>
              <w:t>idade da empresa</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0.024**</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0.025***</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0.025***</w:t>
            </w:r>
          </w:p>
        </w:tc>
      </w:tr>
      <w:tr w:rsidR="0073571C" w:rsidRPr="00CF3673" w:rsidTr="004F7D5E">
        <w:trPr>
          <w:jc w:val="center"/>
        </w:trPr>
        <w:tc>
          <w:tcPr>
            <w:tcW w:w="3006" w:type="dxa"/>
            <w:tcBorders>
              <w:top w:val="nil"/>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(2.53)</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(2.81)</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(2.95)</w:t>
            </w:r>
          </w:p>
        </w:tc>
      </w:tr>
      <w:tr w:rsidR="0073571C" w:rsidRPr="00CF3673" w:rsidTr="004F7D5E">
        <w:trPr>
          <w:jc w:val="center"/>
        </w:trPr>
        <w:tc>
          <w:tcPr>
            <w:tcW w:w="3006" w:type="dxa"/>
            <w:tcBorders>
              <w:top w:val="nil"/>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r w:rsidRPr="00CF3673">
              <w:rPr>
                <w:sz w:val="20"/>
                <w:szCs w:val="20"/>
              </w:rPr>
              <w:t>Formal</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0.000</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-0.002</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0.005</w:t>
            </w:r>
          </w:p>
        </w:tc>
      </w:tr>
      <w:tr w:rsidR="0073571C" w:rsidRPr="00CF3673" w:rsidTr="004F7D5E">
        <w:trPr>
          <w:jc w:val="center"/>
        </w:trPr>
        <w:tc>
          <w:tcPr>
            <w:tcW w:w="3006" w:type="dxa"/>
            <w:tcBorders>
              <w:top w:val="nil"/>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(0.07)</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(0.21)</w:t>
            </w:r>
          </w:p>
        </w:tc>
      </w:tr>
      <w:tr w:rsidR="0073571C" w:rsidRPr="00CF3673" w:rsidTr="004F7D5E">
        <w:trPr>
          <w:jc w:val="center"/>
        </w:trPr>
        <w:tc>
          <w:tcPr>
            <w:tcW w:w="3006" w:type="dxa"/>
            <w:tcBorders>
              <w:top w:val="nil"/>
              <w:left w:val="nil"/>
              <w:bottom w:val="nil"/>
              <w:right w:val="nil"/>
            </w:tcBorders>
          </w:tcPr>
          <w:p w:rsidR="0073571C" w:rsidRPr="00CF3673" w:rsidRDefault="003A594C" w:rsidP="003A594C">
            <w:pPr>
              <w:widowControl w:val="0"/>
              <w:autoSpaceDE w:val="0"/>
              <w:autoSpaceDN w:val="0"/>
              <w:adjustRightInd w:val="0"/>
              <w:spacing w:after="0" w:line="240" w:lineRule="auto"/>
              <w:rPr>
                <w:sz w:val="20"/>
                <w:szCs w:val="20"/>
              </w:rPr>
            </w:pPr>
            <w:r w:rsidRPr="00CF3673">
              <w:rPr>
                <w:sz w:val="20"/>
                <w:szCs w:val="20"/>
              </w:rPr>
              <w:t>Educação universitária</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0.016</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0.003</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-0.004</w:t>
            </w:r>
          </w:p>
        </w:tc>
      </w:tr>
      <w:tr w:rsidR="0073571C" w:rsidRPr="00CF3673" w:rsidTr="004F7D5E">
        <w:trPr>
          <w:jc w:val="center"/>
        </w:trPr>
        <w:tc>
          <w:tcPr>
            <w:tcW w:w="3006" w:type="dxa"/>
            <w:tcBorders>
              <w:top w:val="nil"/>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(0.59)</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(0.11)</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(0.19)</w:t>
            </w:r>
          </w:p>
        </w:tc>
      </w:tr>
      <w:tr w:rsidR="0073571C" w:rsidRPr="00CF3673" w:rsidTr="004F7D5E">
        <w:trPr>
          <w:jc w:val="center"/>
        </w:trPr>
        <w:tc>
          <w:tcPr>
            <w:tcW w:w="3006" w:type="dxa"/>
            <w:tcBorders>
              <w:top w:val="nil"/>
              <w:left w:val="nil"/>
              <w:bottom w:val="nil"/>
              <w:right w:val="nil"/>
            </w:tcBorders>
          </w:tcPr>
          <w:p w:rsidR="0073571C" w:rsidRPr="00CF3673" w:rsidRDefault="003A594C" w:rsidP="003A594C">
            <w:pPr>
              <w:widowControl w:val="0"/>
              <w:autoSpaceDE w:val="0"/>
              <w:autoSpaceDN w:val="0"/>
              <w:adjustRightInd w:val="0"/>
              <w:spacing w:after="0" w:line="240" w:lineRule="auto"/>
              <w:rPr>
                <w:sz w:val="20"/>
                <w:szCs w:val="20"/>
              </w:rPr>
            </w:pPr>
            <w:r w:rsidRPr="00CF3673">
              <w:rPr>
                <w:sz w:val="20"/>
                <w:szCs w:val="20"/>
              </w:rPr>
              <w:t>Propriedade estrangeira</w:t>
            </w:r>
            <w:r w:rsidR="0073571C" w:rsidRPr="00CF3673">
              <w:rPr>
                <w:sz w:val="20"/>
                <w:szCs w:val="20"/>
              </w:rPr>
              <w:t xml:space="preserve"> (</w:t>
            </w:r>
            <w:r w:rsidR="006A4724" w:rsidRPr="00CF3673">
              <w:rPr>
                <w:sz w:val="20"/>
                <w:szCs w:val="20"/>
              </w:rPr>
              <w:t>Sim</w:t>
            </w:r>
            <w:r w:rsidR="0073571C" w:rsidRPr="00CF3673">
              <w:rPr>
                <w:sz w:val="20"/>
                <w:szCs w:val="20"/>
              </w:rPr>
              <w:t>=1)</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-0.047***</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-0.045***</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-0.039***</w:t>
            </w:r>
          </w:p>
        </w:tc>
      </w:tr>
      <w:tr w:rsidR="0073571C" w:rsidRPr="00CF3673" w:rsidTr="004F7D5E">
        <w:trPr>
          <w:jc w:val="center"/>
        </w:trPr>
        <w:tc>
          <w:tcPr>
            <w:tcW w:w="3006" w:type="dxa"/>
            <w:tcBorders>
              <w:top w:val="nil"/>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(3.50)</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(3.57)</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(3.02)</w:t>
            </w:r>
          </w:p>
        </w:tc>
      </w:tr>
      <w:tr w:rsidR="0073571C" w:rsidRPr="00CF3673" w:rsidTr="004F7D5E">
        <w:trPr>
          <w:jc w:val="center"/>
        </w:trPr>
        <w:tc>
          <w:tcPr>
            <w:tcW w:w="3006" w:type="dxa"/>
            <w:tcBorders>
              <w:top w:val="single" w:sz="6" w:space="0" w:color="auto"/>
              <w:left w:val="nil"/>
              <w:bottom w:val="nil"/>
              <w:right w:val="nil"/>
            </w:tcBorders>
          </w:tcPr>
          <w:p w:rsidR="0073571C" w:rsidRPr="00CF3673" w:rsidRDefault="0073571C" w:rsidP="003A594C">
            <w:pPr>
              <w:widowControl w:val="0"/>
              <w:autoSpaceDE w:val="0"/>
              <w:autoSpaceDN w:val="0"/>
              <w:adjustRightInd w:val="0"/>
              <w:spacing w:after="0" w:line="240" w:lineRule="auto"/>
              <w:rPr>
                <w:sz w:val="20"/>
                <w:szCs w:val="20"/>
              </w:rPr>
            </w:pPr>
            <w:r w:rsidRPr="00CF3673">
              <w:rPr>
                <w:sz w:val="20"/>
                <w:szCs w:val="20"/>
              </w:rPr>
              <w:t>Par</w:t>
            </w:r>
            <w:r w:rsidR="003A594C" w:rsidRPr="00CF3673">
              <w:rPr>
                <w:sz w:val="20"/>
                <w:szCs w:val="20"/>
              </w:rPr>
              <w:t>ceria</w:t>
            </w:r>
          </w:p>
        </w:tc>
        <w:tc>
          <w:tcPr>
            <w:tcW w:w="1260" w:type="dxa"/>
            <w:tcBorders>
              <w:top w:val="single" w:sz="6" w:space="0" w:color="auto"/>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0.056</w:t>
            </w:r>
          </w:p>
        </w:tc>
        <w:tc>
          <w:tcPr>
            <w:tcW w:w="1260" w:type="dxa"/>
            <w:tcBorders>
              <w:top w:val="single" w:sz="6" w:space="0" w:color="auto"/>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0.039</w:t>
            </w:r>
          </w:p>
        </w:tc>
        <w:tc>
          <w:tcPr>
            <w:tcW w:w="1260" w:type="dxa"/>
            <w:tcBorders>
              <w:top w:val="single" w:sz="6" w:space="0" w:color="auto"/>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0.029</w:t>
            </w:r>
          </w:p>
        </w:tc>
      </w:tr>
      <w:tr w:rsidR="0073571C" w:rsidRPr="00CF3673" w:rsidTr="004F7D5E">
        <w:trPr>
          <w:jc w:val="center"/>
        </w:trPr>
        <w:tc>
          <w:tcPr>
            <w:tcW w:w="3006" w:type="dxa"/>
            <w:tcBorders>
              <w:top w:val="nil"/>
              <w:left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top w:val="nil"/>
              <w:left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(1.64)</w:t>
            </w:r>
          </w:p>
        </w:tc>
        <w:tc>
          <w:tcPr>
            <w:tcW w:w="1260" w:type="dxa"/>
            <w:tcBorders>
              <w:top w:val="nil"/>
              <w:left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(1.29)</w:t>
            </w:r>
          </w:p>
        </w:tc>
        <w:tc>
          <w:tcPr>
            <w:tcW w:w="1260" w:type="dxa"/>
            <w:tcBorders>
              <w:top w:val="nil"/>
              <w:left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(1.06)</w:t>
            </w:r>
          </w:p>
        </w:tc>
      </w:tr>
      <w:tr w:rsidR="0073571C" w:rsidRPr="00CF3673" w:rsidTr="004F7D5E">
        <w:trPr>
          <w:jc w:val="center"/>
        </w:trPr>
        <w:tc>
          <w:tcPr>
            <w:tcW w:w="3006" w:type="dxa"/>
            <w:tcBorders>
              <w:top w:val="nil"/>
              <w:left w:val="nil"/>
              <w:bottom w:val="nil"/>
              <w:right w:val="nil"/>
            </w:tcBorders>
          </w:tcPr>
          <w:p w:rsidR="0073571C" w:rsidRPr="00CF3673" w:rsidRDefault="003A594C" w:rsidP="003A594C">
            <w:pPr>
              <w:widowControl w:val="0"/>
              <w:autoSpaceDE w:val="0"/>
              <w:autoSpaceDN w:val="0"/>
              <w:adjustRightInd w:val="0"/>
              <w:spacing w:after="0" w:line="240" w:lineRule="auto"/>
              <w:rPr>
                <w:sz w:val="20"/>
                <w:szCs w:val="20"/>
              </w:rPr>
            </w:pPr>
            <w:r w:rsidRPr="00CF3673">
              <w:rPr>
                <w:sz w:val="20"/>
                <w:szCs w:val="20"/>
              </w:rPr>
              <w:lastRenderedPageBreak/>
              <w:t>Responsabilidade limitada</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0.152</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0.106</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0.079</w:t>
            </w:r>
          </w:p>
        </w:tc>
      </w:tr>
      <w:tr w:rsidR="0073571C" w:rsidRPr="00CF3673" w:rsidTr="004F7D5E">
        <w:trPr>
          <w:jc w:val="center"/>
        </w:trPr>
        <w:tc>
          <w:tcPr>
            <w:tcW w:w="3006" w:type="dxa"/>
            <w:tcBorders>
              <w:top w:val="nil"/>
              <w:left w:val="nil"/>
              <w:bottom w:val="nil"/>
              <w:right w:val="nil"/>
            </w:tcBorders>
          </w:tcPr>
          <w:p w:rsidR="0073571C" w:rsidRPr="00CF3673" w:rsidRDefault="0073571C" w:rsidP="004F7D5E">
            <w:pPr>
              <w:widowControl w:val="0"/>
              <w:autoSpaceDE w:val="0"/>
              <w:autoSpaceDN w:val="0"/>
              <w:adjustRightInd w:val="0"/>
              <w:spacing w:after="0" w:line="240" w:lineRule="auto"/>
              <w:rPr>
                <w:sz w:val="20"/>
                <w:szCs w:val="20"/>
              </w:rPr>
            </w:pP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(1.04)</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(0.83)</w:t>
            </w:r>
          </w:p>
        </w:tc>
        <w:tc>
          <w:tcPr>
            <w:tcW w:w="1260" w:type="dxa"/>
            <w:tcBorders>
              <w:top w:val="nil"/>
              <w:left w:val="nil"/>
              <w:bottom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(0.67)</w:t>
            </w:r>
          </w:p>
        </w:tc>
      </w:tr>
      <w:tr w:rsidR="0073571C" w:rsidRPr="00CF3673" w:rsidTr="004F7D5E">
        <w:trPr>
          <w:jc w:val="center"/>
        </w:trPr>
        <w:tc>
          <w:tcPr>
            <w:tcW w:w="3006" w:type="dxa"/>
            <w:tcBorders>
              <w:top w:val="single" w:sz="4" w:space="0" w:color="auto"/>
              <w:left w:val="nil"/>
              <w:bottom w:val="nil"/>
              <w:right w:val="nil"/>
            </w:tcBorders>
          </w:tcPr>
          <w:p w:rsidR="0073571C" w:rsidRPr="00CF3673" w:rsidRDefault="0071433C" w:rsidP="004F7D5E">
            <w:pPr>
              <w:widowControl w:val="0"/>
              <w:autoSpaceDE w:val="0"/>
              <w:autoSpaceDN w:val="0"/>
              <w:adjustRightInd w:val="0"/>
              <w:spacing w:after="0" w:line="240" w:lineRule="auto"/>
              <w:rPr>
                <w:rFonts w:ascii="Calibri" w:hAnsi="Calibri" w:cs="Calibri"/>
                <w:sz w:val="20"/>
                <w:szCs w:val="20"/>
              </w:rPr>
            </w:pPr>
            <w:proofErr w:type="spellStart"/>
            <w:r w:rsidRPr="00CF3673">
              <w:rPr>
                <w:rFonts w:ascii="Calibri" w:hAnsi="Calibri" w:cs="Calibri"/>
                <w:sz w:val="20"/>
                <w:szCs w:val="20"/>
              </w:rPr>
              <w:t>D</w:t>
            </w:r>
            <w:r w:rsidR="0073571C" w:rsidRPr="00CF3673">
              <w:rPr>
                <w:rFonts w:ascii="Calibri" w:hAnsi="Calibri" w:cs="Calibri"/>
                <w:sz w:val="20"/>
                <w:szCs w:val="20"/>
              </w:rPr>
              <w:t>ummies</w:t>
            </w:r>
            <w:proofErr w:type="spellEnd"/>
            <w:r w:rsidRPr="00CF3673">
              <w:rPr>
                <w:rFonts w:ascii="Calibri" w:hAnsi="Calibri" w:cs="Calibri"/>
                <w:sz w:val="20"/>
                <w:szCs w:val="20"/>
              </w:rPr>
              <w:t xml:space="preserve"> do Sector</w:t>
            </w:r>
          </w:p>
        </w:tc>
        <w:tc>
          <w:tcPr>
            <w:tcW w:w="1260" w:type="dxa"/>
            <w:tcBorders>
              <w:top w:val="single" w:sz="4" w:space="0" w:color="auto"/>
              <w:left w:val="nil"/>
              <w:bottom w:val="nil"/>
              <w:right w:val="nil"/>
            </w:tcBorders>
          </w:tcPr>
          <w:p w:rsidR="0073571C" w:rsidRPr="00CF3673" w:rsidRDefault="006A4724" w:rsidP="004F7D5E">
            <w:pPr>
              <w:widowControl w:val="0"/>
              <w:tabs>
                <w:tab w:val="decimal" w:pos="448"/>
              </w:tabs>
              <w:autoSpaceDE w:val="0"/>
              <w:autoSpaceDN w:val="0"/>
              <w:adjustRightInd w:val="0"/>
              <w:spacing w:after="0" w:line="240" w:lineRule="auto"/>
              <w:rPr>
                <w:rFonts w:ascii="Calibri" w:hAnsi="Calibri" w:cs="Calibri"/>
                <w:sz w:val="20"/>
                <w:szCs w:val="20"/>
              </w:rPr>
            </w:pPr>
            <w:proofErr w:type="spellStart"/>
            <w:r w:rsidRPr="00CF3673">
              <w:rPr>
                <w:rFonts w:ascii="Calibri" w:hAnsi="Calibri" w:cs="Calibri"/>
                <w:sz w:val="20"/>
                <w:szCs w:val="20"/>
                <w:lang w:val="en-US"/>
              </w:rPr>
              <w:t>Sim</w:t>
            </w:r>
            <w:proofErr w:type="spellEnd"/>
          </w:p>
        </w:tc>
        <w:tc>
          <w:tcPr>
            <w:tcW w:w="1260" w:type="dxa"/>
            <w:tcBorders>
              <w:top w:val="single" w:sz="4" w:space="0" w:color="auto"/>
              <w:left w:val="nil"/>
              <w:bottom w:val="nil"/>
              <w:right w:val="nil"/>
            </w:tcBorders>
          </w:tcPr>
          <w:p w:rsidR="0073571C" w:rsidRPr="00CF3673" w:rsidRDefault="006A4724"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c>
          <w:tcPr>
            <w:tcW w:w="1260" w:type="dxa"/>
            <w:tcBorders>
              <w:top w:val="single" w:sz="4" w:space="0" w:color="auto"/>
              <w:left w:val="nil"/>
              <w:bottom w:val="nil"/>
              <w:right w:val="nil"/>
            </w:tcBorders>
          </w:tcPr>
          <w:p w:rsidR="0073571C" w:rsidRPr="00CF3673" w:rsidRDefault="006A4724"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r>
      <w:tr w:rsidR="0073571C" w:rsidRPr="00CF3673" w:rsidTr="004F7D5E">
        <w:trPr>
          <w:jc w:val="center"/>
        </w:trPr>
        <w:tc>
          <w:tcPr>
            <w:tcW w:w="3006" w:type="dxa"/>
            <w:tcBorders>
              <w:top w:val="nil"/>
              <w:left w:val="nil"/>
              <w:bottom w:val="single" w:sz="4" w:space="0" w:color="auto"/>
              <w:right w:val="nil"/>
            </w:tcBorders>
          </w:tcPr>
          <w:p w:rsidR="0073571C" w:rsidRPr="00CF3673" w:rsidRDefault="0073571C" w:rsidP="0071433C">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L</w:t>
            </w:r>
            <w:r w:rsidR="0071433C" w:rsidRPr="00CF3673">
              <w:rPr>
                <w:rFonts w:ascii="Calibri" w:hAnsi="Calibri" w:cs="Calibri"/>
                <w:sz w:val="20"/>
                <w:szCs w:val="20"/>
              </w:rPr>
              <w:t>ocalização do</w:t>
            </w:r>
            <w:r w:rsidRPr="00CF3673">
              <w:rPr>
                <w:rFonts w:ascii="Calibri" w:hAnsi="Calibri" w:cs="Calibri"/>
                <w:sz w:val="20"/>
                <w:szCs w:val="20"/>
              </w:rPr>
              <w:t xml:space="preserve"> </w:t>
            </w:r>
            <w:proofErr w:type="spellStart"/>
            <w:r w:rsidRPr="00CF3673">
              <w:rPr>
                <w:rFonts w:ascii="Calibri" w:hAnsi="Calibri" w:cs="Calibri"/>
                <w:sz w:val="20"/>
                <w:szCs w:val="20"/>
              </w:rPr>
              <w:t>dummies</w:t>
            </w:r>
            <w:proofErr w:type="spellEnd"/>
          </w:p>
        </w:tc>
        <w:tc>
          <w:tcPr>
            <w:tcW w:w="1260" w:type="dxa"/>
            <w:tcBorders>
              <w:top w:val="nil"/>
              <w:left w:val="nil"/>
              <w:bottom w:val="single" w:sz="4" w:space="0" w:color="auto"/>
              <w:right w:val="nil"/>
            </w:tcBorders>
          </w:tcPr>
          <w:p w:rsidR="0073571C" w:rsidRPr="00CF3673" w:rsidRDefault="006A4724"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c>
          <w:tcPr>
            <w:tcW w:w="1260" w:type="dxa"/>
            <w:tcBorders>
              <w:top w:val="nil"/>
              <w:left w:val="nil"/>
              <w:bottom w:val="single" w:sz="4" w:space="0" w:color="auto"/>
              <w:right w:val="nil"/>
            </w:tcBorders>
          </w:tcPr>
          <w:p w:rsidR="0073571C" w:rsidRPr="00CF3673" w:rsidRDefault="006A4724"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c>
          <w:tcPr>
            <w:tcW w:w="1260" w:type="dxa"/>
            <w:tcBorders>
              <w:top w:val="nil"/>
              <w:left w:val="nil"/>
              <w:bottom w:val="single" w:sz="4" w:space="0" w:color="auto"/>
              <w:right w:val="nil"/>
            </w:tcBorders>
          </w:tcPr>
          <w:p w:rsidR="0073571C" w:rsidRPr="00CF3673" w:rsidRDefault="006A4724"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r>
      <w:tr w:rsidR="0073571C" w:rsidRPr="00CF3673" w:rsidTr="001B2368">
        <w:trPr>
          <w:jc w:val="center"/>
        </w:trPr>
        <w:tc>
          <w:tcPr>
            <w:tcW w:w="3006" w:type="dxa"/>
            <w:tcBorders>
              <w:top w:val="single" w:sz="4" w:space="0" w:color="auto"/>
              <w:left w:val="nil"/>
              <w:right w:val="nil"/>
            </w:tcBorders>
          </w:tcPr>
          <w:p w:rsidR="0073571C" w:rsidRPr="00CF3673" w:rsidRDefault="0073571C" w:rsidP="004F7D5E">
            <w:pPr>
              <w:widowControl w:val="0"/>
              <w:autoSpaceDE w:val="0"/>
              <w:autoSpaceDN w:val="0"/>
              <w:adjustRightInd w:val="0"/>
              <w:spacing w:after="0" w:line="240" w:lineRule="auto"/>
              <w:rPr>
                <w:rFonts w:ascii="Calibri" w:hAnsi="Calibri" w:cs="Calibri"/>
                <w:sz w:val="20"/>
                <w:szCs w:val="20"/>
              </w:rPr>
            </w:pPr>
            <w:proofErr w:type="spellStart"/>
            <w:r w:rsidRPr="00CF3673">
              <w:rPr>
                <w:rFonts w:ascii="Calibri" w:hAnsi="Calibri" w:cs="Calibri"/>
                <w:sz w:val="20"/>
                <w:szCs w:val="20"/>
              </w:rPr>
              <w:t>Pseudo</w:t>
            </w:r>
            <w:proofErr w:type="spellEnd"/>
            <w:r w:rsidRPr="00CF3673">
              <w:rPr>
                <w:rFonts w:ascii="Calibri" w:hAnsi="Calibri" w:cs="Calibri"/>
                <w:sz w:val="20"/>
                <w:szCs w:val="20"/>
              </w:rPr>
              <w:t xml:space="preserve"> R^2</w:t>
            </w:r>
          </w:p>
        </w:tc>
        <w:tc>
          <w:tcPr>
            <w:tcW w:w="1260" w:type="dxa"/>
            <w:tcBorders>
              <w:top w:val="single" w:sz="4" w:space="0" w:color="auto"/>
              <w:left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0.32</w:t>
            </w:r>
          </w:p>
        </w:tc>
        <w:tc>
          <w:tcPr>
            <w:tcW w:w="1260" w:type="dxa"/>
            <w:tcBorders>
              <w:top w:val="single" w:sz="4" w:space="0" w:color="auto"/>
              <w:left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0.34</w:t>
            </w:r>
          </w:p>
        </w:tc>
        <w:tc>
          <w:tcPr>
            <w:tcW w:w="1260" w:type="dxa"/>
            <w:tcBorders>
              <w:top w:val="single" w:sz="4" w:space="0" w:color="auto"/>
              <w:left w:val="nil"/>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0.36</w:t>
            </w:r>
          </w:p>
        </w:tc>
      </w:tr>
      <w:tr w:rsidR="0073571C" w:rsidRPr="00CF3673" w:rsidTr="001B2368">
        <w:trPr>
          <w:jc w:val="center"/>
        </w:trPr>
        <w:tc>
          <w:tcPr>
            <w:tcW w:w="3006" w:type="dxa"/>
            <w:tcBorders>
              <w:left w:val="nil"/>
              <w:bottom w:val="double" w:sz="4" w:space="0" w:color="auto"/>
              <w:right w:val="nil"/>
            </w:tcBorders>
          </w:tcPr>
          <w:p w:rsidR="0073571C" w:rsidRPr="00CF3673" w:rsidRDefault="006A4724" w:rsidP="00D02295">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Número</w:t>
            </w:r>
            <w:r w:rsidR="00D02295" w:rsidRPr="00CF3673">
              <w:rPr>
                <w:rFonts w:ascii="Calibri" w:hAnsi="Calibri" w:cs="Calibri"/>
                <w:sz w:val="20"/>
                <w:szCs w:val="20"/>
              </w:rPr>
              <w:t xml:space="preserve"> de obs</w:t>
            </w:r>
            <w:r w:rsidR="0073571C" w:rsidRPr="00CF3673">
              <w:rPr>
                <w:rFonts w:ascii="Calibri" w:hAnsi="Calibri" w:cs="Calibri"/>
                <w:sz w:val="20"/>
                <w:szCs w:val="20"/>
              </w:rPr>
              <w:t>.</w:t>
            </w:r>
          </w:p>
        </w:tc>
        <w:tc>
          <w:tcPr>
            <w:tcW w:w="1260" w:type="dxa"/>
            <w:tcBorders>
              <w:left w:val="nil"/>
              <w:bottom w:val="double" w:sz="4" w:space="0" w:color="auto"/>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683</w:t>
            </w:r>
          </w:p>
        </w:tc>
        <w:tc>
          <w:tcPr>
            <w:tcW w:w="1260" w:type="dxa"/>
            <w:tcBorders>
              <w:left w:val="nil"/>
              <w:bottom w:val="double" w:sz="4" w:space="0" w:color="auto"/>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683</w:t>
            </w:r>
          </w:p>
        </w:tc>
        <w:tc>
          <w:tcPr>
            <w:tcW w:w="1260" w:type="dxa"/>
            <w:tcBorders>
              <w:left w:val="nil"/>
              <w:bottom w:val="double" w:sz="4" w:space="0" w:color="auto"/>
              <w:right w:val="nil"/>
            </w:tcBorders>
          </w:tcPr>
          <w:p w:rsidR="0073571C" w:rsidRPr="00CF3673" w:rsidRDefault="0073571C" w:rsidP="004F7D5E">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683</w:t>
            </w:r>
          </w:p>
        </w:tc>
      </w:tr>
      <w:tr w:rsidR="0073571C" w:rsidRPr="00CF3673" w:rsidTr="001B2368">
        <w:trPr>
          <w:jc w:val="center"/>
        </w:trPr>
        <w:tc>
          <w:tcPr>
            <w:tcW w:w="6786" w:type="dxa"/>
            <w:gridSpan w:val="4"/>
            <w:tcBorders>
              <w:top w:val="double" w:sz="4" w:space="0" w:color="auto"/>
              <w:left w:val="nil"/>
              <w:right w:val="nil"/>
            </w:tcBorders>
          </w:tcPr>
          <w:p w:rsidR="0073571C" w:rsidRPr="00CF3673" w:rsidRDefault="00D02295" w:rsidP="004862A1">
            <w:pPr>
              <w:pStyle w:val="Tablenote"/>
              <w:rPr>
                <w:sz w:val="20"/>
                <w:szCs w:val="20"/>
                <w:lang w:val="pt-PT"/>
              </w:rPr>
            </w:pPr>
            <w:r w:rsidRPr="00CF3673">
              <w:rPr>
                <w:b/>
                <w:lang w:val="pt-PT"/>
              </w:rPr>
              <w:t>Nota</w:t>
            </w:r>
            <w:r w:rsidR="0073571C" w:rsidRPr="00CF3673">
              <w:rPr>
                <w:lang w:val="pt-PT"/>
              </w:rPr>
              <w:t xml:space="preserve">: </w:t>
            </w:r>
            <w:proofErr w:type="spellStart"/>
            <w:r w:rsidR="0073571C" w:rsidRPr="00CF3673">
              <w:rPr>
                <w:lang w:val="pt-PT"/>
              </w:rPr>
              <w:t>Probit</w:t>
            </w:r>
            <w:proofErr w:type="spellEnd"/>
            <w:r w:rsidR="0073571C" w:rsidRPr="00CF3673">
              <w:rPr>
                <w:lang w:val="pt-PT"/>
              </w:rPr>
              <w:t xml:space="preserve"> </w:t>
            </w:r>
            <w:r w:rsidRPr="00CF3673">
              <w:rPr>
                <w:lang w:val="pt-PT"/>
              </w:rPr>
              <w:t>–</w:t>
            </w:r>
            <w:r w:rsidR="0073571C" w:rsidRPr="00CF3673">
              <w:rPr>
                <w:lang w:val="pt-PT"/>
              </w:rPr>
              <w:t xml:space="preserve"> </w:t>
            </w:r>
            <w:r w:rsidR="006A4724" w:rsidRPr="00CF3673">
              <w:rPr>
                <w:lang w:val="pt-PT"/>
              </w:rPr>
              <w:t>variável</w:t>
            </w:r>
            <w:r w:rsidRPr="00CF3673">
              <w:rPr>
                <w:lang w:val="pt-PT"/>
              </w:rPr>
              <w:t xml:space="preserve"> dependente</w:t>
            </w:r>
            <w:r w:rsidR="0073571C" w:rsidRPr="00CF3673">
              <w:rPr>
                <w:lang w:val="pt-PT"/>
              </w:rPr>
              <w:t xml:space="preserve">: </w:t>
            </w:r>
            <w:r w:rsidRPr="00CF3673">
              <w:rPr>
                <w:lang w:val="pt-PT"/>
              </w:rPr>
              <w:t>Filiação nas associações económicas</w:t>
            </w:r>
            <w:r w:rsidR="0073571C" w:rsidRPr="00CF3673">
              <w:rPr>
                <w:lang w:val="pt-PT"/>
              </w:rPr>
              <w:t xml:space="preserve">. </w:t>
            </w:r>
            <w:r w:rsidRPr="00CF3673">
              <w:rPr>
                <w:lang w:val="pt-PT"/>
              </w:rPr>
              <w:t>Efeito Marginal</w:t>
            </w:r>
            <w:r w:rsidR="0073571C" w:rsidRPr="00CF3673">
              <w:rPr>
                <w:lang w:val="pt-PT"/>
              </w:rPr>
              <w:t xml:space="preserve">. </w:t>
            </w:r>
            <w:proofErr w:type="spellStart"/>
            <w:r w:rsidR="0073571C" w:rsidRPr="00CF3673">
              <w:rPr>
                <w:lang w:val="pt-PT"/>
              </w:rPr>
              <w:t>Heterosceda</w:t>
            </w:r>
            <w:r w:rsidRPr="00CF3673">
              <w:rPr>
                <w:lang w:val="pt-PT"/>
              </w:rPr>
              <w:t>cidade</w:t>
            </w:r>
            <w:proofErr w:type="spellEnd"/>
            <w:r w:rsidR="0073571C" w:rsidRPr="00CF3673">
              <w:rPr>
                <w:lang w:val="pt-PT"/>
              </w:rPr>
              <w:t xml:space="preserve"> consistent</w:t>
            </w:r>
            <w:r w:rsidRPr="00CF3673">
              <w:rPr>
                <w:lang w:val="pt-PT"/>
              </w:rPr>
              <w:t>e</w:t>
            </w:r>
            <w:r w:rsidR="0073571C" w:rsidRPr="00CF3673">
              <w:rPr>
                <w:lang w:val="pt-PT"/>
              </w:rPr>
              <w:t xml:space="preserve"> t-</w:t>
            </w:r>
            <w:proofErr w:type="spellStart"/>
            <w:r w:rsidRPr="00CF3673">
              <w:rPr>
                <w:lang w:val="pt-PT"/>
              </w:rPr>
              <w:t>e</w:t>
            </w:r>
            <w:r w:rsidR="0073571C" w:rsidRPr="00CF3673">
              <w:rPr>
                <w:lang w:val="pt-PT"/>
              </w:rPr>
              <w:t>statistic</w:t>
            </w:r>
            <w:r w:rsidRPr="00CF3673">
              <w:rPr>
                <w:lang w:val="pt-PT"/>
              </w:rPr>
              <w:t>a</w:t>
            </w:r>
            <w:r w:rsidR="0073571C" w:rsidRPr="00CF3673">
              <w:rPr>
                <w:lang w:val="pt-PT"/>
              </w:rPr>
              <w:t>s</w:t>
            </w:r>
            <w:proofErr w:type="spellEnd"/>
            <w:r w:rsidR="0073571C" w:rsidRPr="00CF3673">
              <w:rPr>
                <w:lang w:val="pt-PT"/>
              </w:rPr>
              <w:t xml:space="preserve"> in parent</w:t>
            </w:r>
            <w:r w:rsidRPr="00CF3673">
              <w:rPr>
                <w:lang w:val="pt-PT"/>
              </w:rPr>
              <w:t>eses</w:t>
            </w:r>
            <w:r w:rsidR="0073571C" w:rsidRPr="00CF3673">
              <w:rPr>
                <w:lang w:val="pt-PT"/>
              </w:rPr>
              <w:t xml:space="preserve">. *, ** </w:t>
            </w:r>
            <w:r w:rsidRPr="00CF3673">
              <w:rPr>
                <w:lang w:val="pt-PT"/>
              </w:rPr>
              <w:t>e</w:t>
            </w:r>
            <w:r w:rsidR="0073571C" w:rsidRPr="00CF3673">
              <w:rPr>
                <w:lang w:val="pt-PT"/>
              </w:rPr>
              <w:t xml:space="preserve">*** indica </w:t>
            </w:r>
            <w:r w:rsidR="006A4724" w:rsidRPr="00CF3673">
              <w:rPr>
                <w:lang w:val="pt-PT"/>
              </w:rPr>
              <w:t>significância</w:t>
            </w:r>
            <w:r w:rsidR="0073571C" w:rsidRPr="00CF3673">
              <w:rPr>
                <w:lang w:val="pt-PT"/>
              </w:rPr>
              <w:t xml:space="preserve"> </w:t>
            </w:r>
            <w:r w:rsidR="006A4724" w:rsidRPr="00CF3673">
              <w:rPr>
                <w:lang w:val="pt-PT"/>
              </w:rPr>
              <w:t>ao</w:t>
            </w:r>
            <w:r w:rsidRPr="00CF3673">
              <w:rPr>
                <w:lang w:val="pt-PT"/>
              </w:rPr>
              <w:t xml:space="preserve"> nível </w:t>
            </w:r>
            <w:r w:rsidR="0073571C" w:rsidRPr="00CF3673">
              <w:rPr>
                <w:lang w:val="pt-PT"/>
              </w:rPr>
              <w:t>10</w:t>
            </w:r>
            <w:r w:rsidRPr="00CF3673">
              <w:rPr>
                <w:lang w:val="pt-PT"/>
              </w:rPr>
              <w:t>%</w:t>
            </w:r>
            <w:r w:rsidR="0073571C" w:rsidRPr="00CF3673">
              <w:rPr>
                <w:lang w:val="pt-PT"/>
              </w:rPr>
              <w:t xml:space="preserve">., </w:t>
            </w:r>
            <w:r w:rsidRPr="00CF3673">
              <w:rPr>
                <w:lang w:val="pt-PT"/>
              </w:rPr>
              <w:t>5</w:t>
            </w:r>
            <w:r w:rsidR="0073571C" w:rsidRPr="00CF3673">
              <w:rPr>
                <w:lang w:val="pt-PT"/>
              </w:rPr>
              <w:t xml:space="preserve"> </w:t>
            </w:r>
            <w:r w:rsidRPr="00CF3673">
              <w:rPr>
                <w:lang w:val="pt-PT"/>
              </w:rPr>
              <w:t>%</w:t>
            </w:r>
            <w:r w:rsidR="0073571C" w:rsidRPr="00CF3673">
              <w:rPr>
                <w:lang w:val="pt-PT"/>
              </w:rPr>
              <w:t xml:space="preserve">. </w:t>
            </w:r>
            <w:r w:rsidRPr="00CF3673">
              <w:rPr>
                <w:lang w:val="pt-PT"/>
              </w:rPr>
              <w:t>e</w:t>
            </w:r>
            <w:r w:rsidR="0073571C" w:rsidRPr="00CF3673">
              <w:rPr>
                <w:lang w:val="pt-PT"/>
              </w:rPr>
              <w:t xml:space="preserve"> 1 </w:t>
            </w:r>
            <w:r w:rsidR="006A4724" w:rsidRPr="00CF3673">
              <w:rPr>
                <w:lang w:val="pt-PT"/>
              </w:rPr>
              <w:t>%</w:t>
            </w:r>
            <w:r w:rsidR="0073571C" w:rsidRPr="00CF3673">
              <w:rPr>
                <w:lang w:val="pt-PT"/>
              </w:rPr>
              <w:t>., respectiv</w:t>
            </w:r>
            <w:r w:rsidRPr="00CF3673">
              <w:rPr>
                <w:lang w:val="pt-PT"/>
              </w:rPr>
              <w:t>amente</w:t>
            </w:r>
            <w:r w:rsidR="0073571C" w:rsidRPr="00CF3673">
              <w:rPr>
                <w:lang w:val="pt-PT"/>
              </w:rPr>
              <w:t xml:space="preserve">. </w:t>
            </w:r>
            <w:r w:rsidRPr="00CF3673">
              <w:rPr>
                <w:lang w:val="pt-PT"/>
              </w:rPr>
              <w:t>Base</w:t>
            </w:r>
            <w:r w:rsidR="0073571C" w:rsidRPr="00CF3673">
              <w:rPr>
                <w:lang w:val="pt-PT"/>
              </w:rPr>
              <w:t xml:space="preserve">: Informal, </w:t>
            </w:r>
            <w:r w:rsidR="004862A1" w:rsidRPr="00CF3673">
              <w:rPr>
                <w:lang w:val="pt-PT"/>
              </w:rPr>
              <w:t xml:space="preserve">Propriedade </w:t>
            </w:r>
            <w:r w:rsidR="006A4724" w:rsidRPr="00CF3673">
              <w:rPr>
                <w:lang w:val="pt-PT"/>
              </w:rPr>
              <w:t>moçambicana</w:t>
            </w:r>
            <w:r w:rsidR="0073571C" w:rsidRPr="00CF3673">
              <w:rPr>
                <w:lang w:val="pt-PT"/>
              </w:rPr>
              <w:t xml:space="preserve">, </w:t>
            </w:r>
            <w:r w:rsidR="004862A1" w:rsidRPr="00CF3673">
              <w:rPr>
                <w:lang w:val="pt-PT"/>
              </w:rPr>
              <w:t>menos do que educação universitária</w:t>
            </w:r>
            <w:r w:rsidR="0073571C" w:rsidRPr="00CF3673">
              <w:rPr>
                <w:lang w:val="pt-PT"/>
              </w:rPr>
              <w:t xml:space="preserve">, </w:t>
            </w:r>
            <w:r w:rsidR="004862A1" w:rsidRPr="00CF3673">
              <w:rPr>
                <w:lang w:val="pt-PT"/>
              </w:rPr>
              <w:t>Propriedade individual</w:t>
            </w:r>
            <w:r w:rsidR="0073571C" w:rsidRPr="00CF3673">
              <w:rPr>
                <w:lang w:val="pt-PT"/>
              </w:rPr>
              <w:t xml:space="preserve">, Maputo, </w:t>
            </w:r>
            <w:r w:rsidR="004862A1" w:rsidRPr="00CF3673">
              <w:rPr>
                <w:lang w:val="pt-PT"/>
              </w:rPr>
              <w:t>sectores de Alimentação e Taba</w:t>
            </w:r>
            <w:r w:rsidR="0073571C" w:rsidRPr="00CF3673">
              <w:rPr>
                <w:lang w:val="pt-PT"/>
              </w:rPr>
              <w:t xml:space="preserve">co (ISIC 15 </w:t>
            </w:r>
            <w:r w:rsidR="004862A1" w:rsidRPr="00CF3673">
              <w:rPr>
                <w:lang w:val="pt-PT"/>
              </w:rPr>
              <w:t>e</w:t>
            </w:r>
            <w:r w:rsidR="0073571C" w:rsidRPr="00CF3673">
              <w:rPr>
                <w:lang w:val="pt-PT"/>
              </w:rPr>
              <w:t xml:space="preserve"> 16)</w:t>
            </w:r>
          </w:p>
        </w:tc>
      </w:tr>
      <w:tr w:rsidR="0073571C" w:rsidRPr="00CF3673" w:rsidTr="004F7D5E">
        <w:trPr>
          <w:jc w:val="center"/>
        </w:trPr>
        <w:tc>
          <w:tcPr>
            <w:tcW w:w="6786" w:type="dxa"/>
            <w:gridSpan w:val="4"/>
            <w:tcBorders>
              <w:left w:val="nil"/>
              <w:right w:val="nil"/>
            </w:tcBorders>
          </w:tcPr>
          <w:p w:rsidR="0073571C" w:rsidRPr="00CF3673" w:rsidRDefault="006A4724" w:rsidP="004862A1">
            <w:pPr>
              <w:pStyle w:val="Tablenote"/>
              <w:rPr>
                <w:b/>
                <w:lang w:val="pt-PT"/>
              </w:rPr>
            </w:pPr>
            <w:r w:rsidRPr="00CF3673">
              <w:rPr>
                <w:b/>
                <w:lang w:val="pt-PT"/>
              </w:rPr>
              <w:t>Fonte:</w:t>
            </w:r>
            <w:r w:rsidR="0073571C" w:rsidRPr="00CF3673">
              <w:rPr>
                <w:lang w:val="pt-PT"/>
              </w:rPr>
              <w:t xml:space="preserve">: </w:t>
            </w:r>
            <w:r w:rsidRPr="00CF3673">
              <w:rPr>
                <w:lang w:val="pt-PT"/>
              </w:rPr>
              <w:t>Cálculos</w:t>
            </w:r>
            <w:r w:rsidR="004862A1" w:rsidRPr="00CF3673">
              <w:rPr>
                <w:lang w:val="pt-PT"/>
              </w:rPr>
              <w:t xml:space="preserve"> usando </w:t>
            </w:r>
            <w:r w:rsidR="0073571C" w:rsidRPr="00CF3673">
              <w:rPr>
                <w:lang w:val="pt-PT"/>
              </w:rPr>
              <w:t>IIM 2012.</w:t>
            </w:r>
          </w:p>
        </w:tc>
      </w:tr>
    </w:tbl>
    <w:p w:rsidR="0073571C" w:rsidRPr="00CF3673" w:rsidRDefault="0073571C" w:rsidP="001E6DDB">
      <w:pPr>
        <w:pStyle w:val="MainText"/>
        <w:rPr>
          <w:lang w:val="pt-PT"/>
        </w:rPr>
      </w:pPr>
    </w:p>
    <w:p w:rsidR="000B349F" w:rsidRPr="00CF3673" w:rsidRDefault="00FD274F" w:rsidP="001E6DDB">
      <w:pPr>
        <w:pStyle w:val="MainText"/>
        <w:rPr>
          <w:lang w:val="pt-PT"/>
        </w:rPr>
      </w:pPr>
      <w:r w:rsidRPr="00CF3673">
        <w:rPr>
          <w:lang w:val="pt-PT"/>
        </w:rPr>
        <w:t>Resumindo os resultados com respeito ao capital de rede social de empresas nós constatamos que o número de contactos no mesmo sector é positivamente associado à filiação</w:t>
      </w:r>
      <w:r w:rsidR="0002515F" w:rsidRPr="00CF3673">
        <w:rPr>
          <w:lang w:val="pt-PT"/>
        </w:rPr>
        <w:t xml:space="preserve">. Este resultado é influenciado </w:t>
      </w:r>
      <w:r w:rsidRPr="00CF3673">
        <w:rPr>
          <w:lang w:val="pt-PT"/>
        </w:rPr>
        <w:t>pelo fa</w:t>
      </w:r>
      <w:r w:rsidR="0002515F" w:rsidRPr="00CF3673">
        <w:rPr>
          <w:lang w:val="pt-PT"/>
        </w:rPr>
        <w:t>c</w:t>
      </w:r>
      <w:r w:rsidRPr="00CF3673">
        <w:rPr>
          <w:lang w:val="pt-PT"/>
        </w:rPr>
        <w:t xml:space="preserve">to </w:t>
      </w:r>
      <w:r w:rsidR="0002515F" w:rsidRPr="00CF3673">
        <w:rPr>
          <w:lang w:val="pt-PT"/>
        </w:rPr>
        <w:t>da grand</w:t>
      </w:r>
      <w:r w:rsidR="006A4724" w:rsidRPr="00CF3673">
        <w:rPr>
          <w:lang w:val="pt-PT"/>
        </w:rPr>
        <w:t>e parte das associações empresa</w:t>
      </w:r>
      <w:r w:rsidR="0002515F" w:rsidRPr="00CF3673">
        <w:rPr>
          <w:lang w:val="pt-PT"/>
        </w:rPr>
        <w:t>ria</w:t>
      </w:r>
      <w:r w:rsidR="006A4724" w:rsidRPr="00CF3673">
        <w:rPr>
          <w:lang w:val="pt-PT"/>
        </w:rPr>
        <w:t>i</w:t>
      </w:r>
      <w:r w:rsidR="0002515F" w:rsidRPr="00CF3673">
        <w:rPr>
          <w:lang w:val="pt-PT"/>
        </w:rPr>
        <w:t xml:space="preserve">s de </w:t>
      </w:r>
      <w:r w:rsidR="006A4724" w:rsidRPr="00CF3673">
        <w:rPr>
          <w:lang w:val="pt-PT"/>
        </w:rPr>
        <w:t>Moçambicanas</w:t>
      </w:r>
      <w:r w:rsidR="0002515F" w:rsidRPr="00CF3673">
        <w:rPr>
          <w:lang w:val="pt-PT"/>
        </w:rPr>
        <w:t xml:space="preserve"> pertencem a um </w:t>
      </w:r>
      <w:r w:rsidRPr="00CF3673">
        <w:rPr>
          <w:lang w:val="pt-PT"/>
        </w:rPr>
        <w:t>se</w:t>
      </w:r>
      <w:r w:rsidR="0002515F" w:rsidRPr="00CF3673">
        <w:rPr>
          <w:lang w:val="pt-PT"/>
        </w:rPr>
        <w:t>c</w:t>
      </w:r>
      <w:r w:rsidRPr="00CF3673">
        <w:rPr>
          <w:lang w:val="pt-PT"/>
        </w:rPr>
        <w:t>tor específico. Também, empre</w:t>
      </w:r>
      <w:r w:rsidR="0002515F" w:rsidRPr="00CF3673">
        <w:rPr>
          <w:lang w:val="pt-PT"/>
        </w:rPr>
        <w:t>sas</w:t>
      </w:r>
      <w:r w:rsidRPr="00CF3673">
        <w:rPr>
          <w:lang w:val="pt-PT"/>
        </w:rPr>
        <w:t xml:space="preserve"> com uma rede mais diversificada têm </w:t>
      </w:r>
      <w:r w:rsidR="0002515F" w:rsidRPr="00CF3673">
        <w:rPr>
          <w:lang w:val="pt-PT"/>
        </w:rPr>
        <w:t xml:space="preserve">maior </w:t>
      </w:r>
      <w:r w:rsidRPr="00CF3673">
        <w:rPr>
          <w:lang w:val="pt-PT"/>
        </w:rPr>
        <w:t xml:space="preserve">probabilidade </w:t>
      </w:r>
      <w:r w:rsidR="0002515F" w:rsidRPr="00CF3673">
        <w:rPr>
          <w:lang w:val="pt-PT"/>
        </w:rPr>
        <w:t>de</w:t>
      </w:r>
      <w:r w:rsidRPr="00CF3673">
        <w:rPr>
          <w:lang w:val="pt-PT"/>
        </w:rPr>
        <w:t xml:space="preserve"> pertencer a uma associação empresarial. Basea</w:t>
      </w:r>
      <w:r w:rsidR="0002515F" w:rsidRPr="00CF3673">
        <w:rPr>
          <w:lang w:val="pt-PT"/>
        </w:rPr>
        <w:t>n</w:t>
      </w:r>
      <w:r w:rsidRPr="00CF3673">
        <w:rPr>
          <w:lang w:val="pt-PT"/>
        </w:rPr>
        <w:t>do</w:t>
      </w:r>
      <w:r w:rsidR="0002515F" w:rsidRPr="00CF3673">
        <w:rPr>
          <w:lang w:val="pt-PT"/>
        </w:rPr>
        <w:t xml:space="preserve"> se</w:t>
      </w:r>
      <w:r w:rsidRPr="00CF3673">
        <w:rPr>
          <w:lang w:val="pt-PT"/>
        </w:rPr>
        <w:t xml:space="preserve"> nestes resultados não é possível desembaraçar se empresas escolhem se tornar </w:t>
      </w:r>
      <w:r w:rsidR="0002515F" w:rsidRPr="00CF3673">
        <w:rPr>
          <w:lang w:val="pt-PT"/>
        </w:rPr>
        <w:t>membros das associações empresariais para</w:t>
      </w:r>
      <w:r w:rsidRPr="00CF3673">
        <w:rPr>
          <w:lang w:val="pt-PT"/>
        </w:rPr>
        <w:t xml:space="preserve"> expandir e diversificar as redes profissionais </w:t>
      </w:r>
      <w:r w:rsidR="0002515F" w:rsidRPr="00CF3673">
        <w:rPr>
          <w:lang w:val="pt-PT"/>
        </w:rPr>
        <w:t>e a carteira de negócios</w:t>
      </w:r>
      <w:r w:rsidRPr="00CF3673">
        <w:rPr>
          <w:lang w:val="pt-PT"/>
        </w:rPr>
        <w:t>. Estimativas de coeficiente também sugerem que o número de conta</w:t>
      </w:r>
      <w:r w:rsidR="00E640F3" w:rsidRPr="00CF3673">
        <w:rPr>
          <w:lang w:val="pt-PT"/>
        </w:rPr>
        <w:t>ctos com</w:t>
      </w:r>
      <w:r w:rsidRPr="00CF3673">
        <w:rPr>
          <w:lang w:val="pt-PT"/>
        </w:rPr>
        <w:t xml:space="preserve"> se</w:t>
      </w:r>
      <w:r w:rsidR="00E640F3" w:rsidRPr="00CF3673">
        <w:rPr>
          <w:lang w:val="pt-PT"/>
        </w:rPr>
        <w:t>c</w:t>
      </w:r>
      <w:r w:rsidRPr="00CF3673">
        <w:rPr>
          <w:lang w:val="pt-PT"/>
        </w:rPr>
        <w:t>tores diferentes e conta</w:t>
      </w:r>
      <w:r w:rsidR="00E640F3" w:rsidRPr="00CF3673">
        <w:rPr>
          <w:lang w:val="pt-PT"/>
        </w:rPr>
        <w:t>c</w:t>
      </w:r>
      <w:r w:rsidRPr="00CF3673">
        <w:rPr>
          <w:lang w:val="pt-PT"/>
        </w:rPr>
        <w:t xml:space="preserve">tos com </w:t>
      </w:r>
      <w:r w:rsidR="000B349F" w:rsidRPr="00CF3673">
        <w:rPr>
          <w:lang w:val="pt-PT"/>
        </w:rPr>
        <w:t>oficiais dos</w:t>
      </w:r>
      <w:r w:rsidRPr="00CF3673">
        <w:rPr>
          <w:lang w:val="pt-PT"/>
        </w:rPr>
        <w:t xml:space="preserve"> banco</w:t>
      </w:r>
      <w:r w:rsidR="00E640F3" w:rsidRPr="00CF3673">
        <w:rPr>
          <w:lang w:val="pt-PT"/>
        </w:rPr>
        <w:t>s</w:t>
      </w:r>
      <w:r w:rsidRPr="00CF3673">
        <w:rPr>
          <w:lang w:val="pt-PT"/>
        </w:rPr>
        <w:t xml:space="preserve"> seja</w:t>
      </w:r>
      <w:r w:rsidR="00E640F3" w:rsidRPr="00CF3673">
        <w:rPr>
          <w:lang w:val="pt-PT"/>
        </w:rPr>
        <w:t xml:space="preserve"> negativamente correlacionado com a filiação a uma associação comercial</w:t>
      </w:r>
      <w:r w:rsidRPr="00CF3673">
        <w:rPr>
          <w:lang w:val="pt-PT"/>
        </w:rPr>
        <w:t xml:space="preserve">. Isto pode sugestionar algum nível de substituição entre </w:t>
      </w:r>
      <w:r w:rsidR="000B349F" w:rsidRPr="00CF3673">
        <w:rPr>
          <w:lang w:val="pt-PT"/>
        </w:rPr>
        <w:t xml:space="preserve">filiação </w:t>
      </w:r>
      <w:r w:rsidRPr="00CF3673">
        <w:rPr>
          <w:lang w:val="pt-PT"/>
        </w:rPr>
        <w:t>e</w:t>
      </w:r>
      <w:r w:rsidR="000B349F" w:rsidRPr="00CF3673">
        <w:rPr>
          <w:lang w:val="pt-PT"/>
        </w:rPr>
        <w:t xml:space="preserve"> ligação aos oficiais dos bancos</w:t>
      </w:r>
      <w:r w:rsidRPr="00CF3673">
        <w:rPr>
          <w:lang w:val="pt-PT"/>
        </w:rPr>
        <w:t xml:space="preserve"> como </w:t>
      </w:r>
      <w:r w:rsidR="000B349F" w:rsidRPr="00CF3673">
        <w:rPr>
          <w:lang w:val="pt-PT"/>
        </w:rPr>
        <w:t>forma de ter acesso ao</w:t>
      </w:r>
      <w:r w:rsidRPr="00CF3673">
        <w:rPr>
          <w:lang w:val="pt-PT"/>
        </w:rPr>
        <w:t xml:space="preserve"> </w:t>
      </w:r>
      <w:r w:rsidR="000B349F" w:rsidRPr="00CF3673">
        <w:rPr>
          <w:lang w:val="pt-PT"/>
        </w:rPr>
        <w:t>crédito</w:t>
      </w:r>
      <w:r w:rsidRPr="00CF3673">
        <w:rPr>
          <w:lang w:val="pt-PT"/>
        </w:rPr>
        <w:t>.</w:t>
      </w:r>
      <w:r w:rsidR="000B349F" w:rsidRPr="00CF3673">
        <w:rPr>
          <w:lang w:val="pt-PT"/>
        </w:rPr>
        <w:t xml:space="preserve"> Os resultados da estimativa suportam as constatações acima de que grandes empresas e as empresas domésticas têm maiores probabilidades de pertencer a uma associação comercial. Além disso, as empresas mais estabelecidas (velhas) têm maior probabilidade de pertencer a uma associação empresarial do que a sua contraparte nova. Finalmente a localização </w:t>
      </w:r>
      <w:proofErr w:type="spellStart"/>
      <w:r w:rsidR="000B349F" w:rsidRPr="00CF3673">
        <w:rPr>
          <w:lang w:val="pt-PT"/>
        </w:rPr>
        <w:t>dummies</w:t>
      </w:r>
      <w:proofErr w:type="spellEnd"/>
      <w:r w:rsidR="000B349F" w:rsidRPr="00CF3673">
        <w:rPr>
          <w:lang w:val="pt-PT"/>
        </w:rPr>
        <w:t xml:space="preserve"> sugere que as empresas localizadas na Beira, Nampula e Chimoio têm maiores probabilidades de pertencer a uma associação empresarial comparativamente as empresas localizadas em Maputo (não reportado) </w:t>
      </w:r>
    </w:p>
    <w:p w:rsidR="004725B0" w:rsidRPr="00CF3673" w:rsidRDefault="000B349F" w:rsidP="004725B0">
      <w:pPr>
        <w:pStyle w:val="MainText"/>
        <w:rPr>
          <w:lang w:val="pt-PT"/>
        </w:rPr>
      </w:pPr>
      <w:r w:rsidRPr="00CF3673">
        <w:rPr>
          <w:lang w:val="pt-PT"/>
        </w:rPr>
        <w:t xml:space="preserve">Uma das razoes de todo separada para aderirem a uma associação empresarial foi revelada durante as entrevistas qualitativas: algumas empresas optam por pertencer a uma associação empresarial como forma de aceder aos subsídios governamentais. Por exemplo, em resposta às manifestações </w:t>
      </w:r>
      <w:r w:rsidR="001B529C" w:rsidRPr="00CF3673">
        <w:rPr>
          <w:lang w:val="pt-PT"/>
        </w:rPr>
        <w:t xml:space="preserve">sobre alta de </w:t>
      </w:r>
      <w:r w:rsidR="006A4724" w:rsidRPr="00CF3673">
        <w:rPr>
          <w:lang w:val="pt-PT"/>
        </w:rPr>
        <w:t>preço</w:t>
      </w:r>
      <w:r w:rsidR="001B529C" w:rsidRPr="00CF3673">
        <w:rPr>
          <w:lang w:val="pt-PT"/>
        </w:rPr>
        <w:t xml:space="preserve"> dos alimentos, o governo introduziu subsídios sobre o trigo para compensar </w:t>
      </w:r>
      <w:r w:rsidR="004725B0" w:rsidRPr="00CF3673">
        <w:rPr>
          <w:lang w:val="pt-PT"/>
        </w:rPr>
        <w:t>as padarias</w:t>
      </w:r>
      <w:r w:rsidRPr="00CF3673">
        <w:rPr>
          <w:lang w:val="pt-PT"/>
        </w:rPr>
        <w:t xml:space="preserve"> </w:t>
      </w:r>
      <w:r w:rsidR="004725B0" w:rsidRPr="00CF3673">
        <w:rPr>
          <w:lang w:val="pt-PT"/>
        </w:rPr>
        <w:t xml:space="preserve">em Setembro de 2010. O subsidio era pago através da associação AMOPAO apenas aos para os membros filiados. Isto significa que a estrutura do </w:t>
      </w:r>
      <w:r w:rsidR="006A4724" w:rsidRPr="00CF3673">
        <w:rPr>
          <w:lang w:val="pt-PT"/>
        </w:rPr>
        <w:t>subsídio</w:t>
      </w:r>
      <w:r w:rsidR="004725B0" w:rsidRPr="00CF3673">
        <w:rPr>
          <w:lang w:val="pt-PT"/>
        </w:rPr>
        <w:t xml:space="preserve"> tornou-se um incentivo para as empresas panificadoras se filiasse a </w:t>
      </w:r>
      <w:r w:rsidR="004725B0" w:rsidRPr="00CF3673">
        <w:rPr>
          <w:lang w:val="pt-PT"/>
        </w:rPr>
        <w:lastRenderedPageBreak/>
        <w:t>AMOPAO, desencadeando uma alta taxa de filiação das panificadoras (43% no IIM2012) do que em outras empresas (10%) embora a filiação a AMOPAO não seja gratuita (custa cerca de 100 meticais por mês).</w:t>
      </w:r>
    </w:p>
    <w:p w:rsidR="00193B3C" w:rsidRPr="00CF3673" w:rsidRDefault="004725B0" w:rsidP="004725B0">
      <w:pPr>
        <w:pStyle w:val="MainText"/>
        <w:rPr>
          <w:lang w:val="pt-PT"/>
        </w:rPr>
      </w:pPr>
      <w:r w:rsidRPr="00CF3673">
        <w:rPr>
          <w:lang w:val="pt-PT"/>
        </w:rPr>
        <w:t>A principal função das associações empresariais é providenciar serviços não-financeiros e representar os interesses comuns dos seus membros (</w:t>
      </w:r>
      <w:proofErr w:type="spellStart"/>
      <w:r w:rsidRPr="00CF3673">
        <w:rPr>
          <w:lang w:val="pt-PT"/>
        </w:rPr>
        <w:t>Doner</w:t>
      </w:r>
      <w:proofErr w:type="spellEnd"/>
      <w:r w:rsidRPr="00CF3673">
        <w:rPr>
          <w:lang w:val="pt-PT"/>
        </w:rPr>
        <w:t xml:space="preserve"> e Schneider, 2000). A tabela 8.5 mostra a </w:t>
      </w:r>
      <w:r w:rsidR="006A4724" w:rsidRPr="00CF3673">
        <w:rPr>
          <w:lang w:val="pt-PT"/>
        </w:rPr>
        <w:t>percepção</w:t>
      </w:r>
      <w:r w:rsidRPr="00CF3673">
        <w:rPr>
          <w:lang w:val="pt-PT"/>
        </w:rPr>
        <w:t xml:space="preserve"> se </w:t>
      </w:r>
      <w:r w:rsidR="00290F42" w:rsidRPr="00CF3673">
        <w:rPr>
          <w:lang w:val="pt-PT"/>
        </w:rPr>
        <w:t xml:space="preserve">as associações empresariais são uma mais-valia e de que tipo. 81% dos membros acreditam a filiação às organizações empresariais e este número tende a aumentar com o tamanho da empresa. Sem </w:t>
      </w:r>
      <w:r w:rsidR="006A4724" w:rsidRPr="00CF3673">
        <w:rPr>
          <w:lang w:val="pt-PT"/>
        </w:rPr>
        <w:t>surpresas</w:t>
      </w:r>
      <w:r w:rsidR="00290F42" w:rsidRPr="00CF3673">
        <w:rPr>
          <w:lang w:val="pt-PT"/>
        </w:rPr>
        <w:t xml:space="preserve">, a satisfação com a filiação aumenta com o tamanho da empresa, </w:t>
      </w:r>
      <w:r w:rsidR="006A4724" w:rsidRPr="00CF3673">
        <w:rPr>
          <w:lang w:val="pt-PT"/>
        </w:rPr>
        <w:t>talvez</w:t>
      </w:r>
      <w:r w:rsidR="00290F42" w:rsidRPr="00CF3673">
        <w:rPr>
          <w:lang w:val="pt-PT"/>
        </w:rPr>
        <w:t xml:space="preserve"> porque as associações empresariais tendem mais a prestar serviços não financeiros as grandes empresas devido ao seu elevado nível de capacidades internas e poder de negociação relativamente a associação empresarial (veja também a explicação na tabela 8.3). Segundo a tabela 8.5 o mais importante benefício de filiação à uma associação empresarial é o facto de esta ser um fórum de interacção. Em particular, as entrevistas qualitativas sugerem que as associações empresariais facilitam partilha de informação acerca de futuro clientes e </w:t>
      </w:r>
      <w:r w:rsidR="00193B3C" w:rsidRPr="00CF3673">
        <w:rPr>
          <w:lang w:val="pt-PT"/>
        </w:rPr>
        <w:t xml:space="preserve">fornecedores bem como as informações sobre novas tecnologias e práticas de gestão. Recuando para a tabela 8.5, o segundo e terceiro </w:t>
      </w:r>
      <w:r w:rsidR="006A4724" w:rsidRPr="00CF3673">
        <w:rPr>
          <w:lang w:val="pt-PT"/>
        </w:rPr>
        <w:t>benefício</w:t>
      </w:r>
      <w:r w:rsidR="00193B3C" w:rsidRPr="00CF3673">
        <w:rPr>
          <w:lang w:val="pt-PT"/>
        </w:rPr>
        <w:t xml:space="preserve"> mais importante é lobby e o cumprimento dos </w:t>
      </w:r>
      <w:r w:rsidR="006A4724" w:rsidRPr="00CF3673">
        <w:rPr>
          <w:lang w:val="pt-PT"/>
        </w:rPr>
        <w:t>padrões</w:t>
      </w:r>
      <w:r w:rsidR="00193B3C" w:rsidRPr="00CF3673">
        <w:rPr>
          <w:lang w:val="pt-PT"/>
        </w:rPr>
        <w:t xml:space="preserve"> de qualidade.</w:t>
      </w:r>
    </w:p>
    <w:p w:rsidR="001E6DDB" w:rsidRPr="00CF3673" w:rsidRDefault="001E6DDB" w:rsidP="00193B3C">
      <w:pPr>
        <w:pStyle w:val="MainText"/>
        <w:spacing w:after="0"/>
        <w:rPr>
          <w:b/>
          <w:lang w:val="pt-PT"/>
        </w:rPr>
      </w:pPr>
      <w:r w:rsidRPr="00CF3673">
        <w:rPr>
          <w:lang w:val="pt-PT"/>
        </w:rPr>
        <w:t xml:space="preserve">   </w:t>
      </w:r>
    </w:p>
    <w:p w:rsidR="00376503" w:rsidRPr="00CF3673" w:rsidRDefault="00376503" w:rsidP="00376503">
      <w:pPr>
        <w:pStyle w:val="TableTitle"/>
        <w:rPr>
          <w:lang w:val="pt-PT"/>
        </w:rPr>
      </w:pPr>
      <w:bookmarkStart w:id="67" w:name="_Toc360720491"/>
      <w:r w:rsidRPr="00CF3673">
        <w:rPr>
          <w:lang w:val="pt-PT"/>
        </w:rPr>
        <w:t>Tab</w:t>
      </w:r>
      <w:r w:rsidR="00193B3C" w:rsidRPr="00CF3673">
        <w:rPr>
          <w:lang w:val="pt-PT"/>
        </w:rPr>
        <w:t>ela</w:t>
      </w:r>
      <w:r w:rsidRPr="00CF3673">
        <w:rPr>
          <w:lang w:val="pt-PT"/>
        </w:rPr>
        <w:t xml:space="preserve"> 8.</w:t>
      </w:r>
      <w:r w:rsidR="00B2651F" w:rsidRPr="00CF3673">
        <w:rPr>
          <w:lang w:val="pt-PT"/>
        </w:rPr>
        <w:t>5</w:t>
      </w:r>
      <w:r w:rsidRPr="00CF3673">
        <w:rPr>
          <w:lang w:val="pt-PT"/>
        </w:rPr>
        <w:t xml:space="preserve">: </w:t>
      </w:r>
      <w:r w:rsidR="00193B3C" w:rsidRPr="00CF3673">
        <w:rPr>
          <w:lang w:val="pt-PT"/>
        </w:rPr>
        <w:t xml:space="preserve">Tipo de </w:t>
      </w:r>
      <w:r w:rsidR="006A4724" w:rsidRPr="00CF3673">
        <w:rPr>
          <w:lang w:val="pt-PT"/>
        </w:rPr>
        <w:t>benefícios</w:t>
      </w:r>
      <w:r w:rsidR="00193B3C" w:rsidRPr="00CF3673">
        <w:rPr>
          <w:lang w:val="pt-PT"/>
        </w:rPr>
        <w:t xml:space="preserve"> da filiação a associação </w:t>
      </w:r>
      <w:r w:rsidR="006A4724" w:rsidRPr="00CF3673">
        <w:rPr>
          <w:lang w:val="pt-PT"/>
        </w:rPr>
        <w:t>empresarial</w:t>
      </w:r>
      <w:r w:rsidR="00193B3C" w:rsidRPr="00CF3673">
        <w:rPr>
          <w:lang w:val="pt-PT"/>
        </w:rPr>
        <w:t xml:space="preserve"> pelo tamanho da empresas, </w:t>
      </w:r>
      <w:bookmarkEnd w:id="67"/>
      <w:r w:rsidR="00193B3C" w:rsidRPr="00CF3673">
        <w:rPr>
          <w:lang w:val="pt-PT"/>
        </w:rPr>
        <w:t>%</w:t>
      </w:r>
    </w:p>
    <w:tbl>
      <w:tblPr>
        <w:tblW w:w="8640" w:type="dxa"/>
        <w:jc w:val="center"/>
        <w:tblInd w:w="93" w:type="dxa"/>
        <w:tblLook w:val="04A0" w:firstRow="1" w:lastRow="0" w:firstColumn="1" w:lastColumn="0" w:noHBand="0" w:noVBand="1"/>
      </w:tblPr>
      <w:tblGrid>
        <w:gridCol w:w="4800"/>
        <w:gridCol w:w="960"/>
        <w:gridCol w:w="960"/>
        <w:gridCol w:w="960"/>
        <w:gridCol w:w="960"/>
      </w:tblGrid>
      <w:tr w:rsidR="00376503" w:rsidRPr="00CF3673" w:rsidTr="00063143">
        <w:trPr>
          <w:trHeight w:val="270"/>
          <w:jc w:val="center"/>
        </w:trPr>
        <w:tc>
          <w:tcPr>
            <w:tcW w:w="4800" w:type="dxa"/>
            <w:tcBorders>
              <w:top w:val="double" w:sz="6" w:space="0" w:color="auto"/>
              <w:left w:val="nil"/>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960" w:type="dxa"/>
            <w:tcBorders>
              <w:top w:val="double" w:sz="6" w:space="0" w:color="auto"/>
              <w:left w:val="nil"/>
              <w:right w:val="nil"/>
            </w:tcBorders>
            <w:shd w:val="clear" w:color="000000" w:fill="FFFFFF"/>
            <w:noWrap/>
            <w:vAlign w:val="bottom"/>
            <w:hideMark/>
          </w:tcPr>
          <w:p w:rsidR="00376503" w:rsidRPr="00CF3673" w:rsidRDefault="00193B3C"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Todos</w:t>
            </w:r>
          </w:p>
        </w:tc>
        <w:tc>
          <w:tcPr>
            <w:tcW w:w="960" w:type="dxa"/>
            <w:tcBorders>
              <w:top w:val="double" w:sz="6" w:space="0" w:color="auto"/>
              <w:left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Micro</w:t>
            </w:r>
          </w:p>
        </w:tc>
        <w:tc>
          <w:tcPr>
            <w:tcW w:w="960" w:type="dxa"/>
            <w:tcBorders>
              <w:top w:val="double" w:sz="6" w:space="0" w:color="auto"/>
              <w:left w:val="nil"/>
              <w:right w:val="nil"/>
            </w:tcBorders>
            <w:shd w:val="clear" w:color="000000" w:fill="FFFFFF"/>
            <w:noWrap/>
            <w:vAlign w:val="bottom"/>
            <w:hideMark/>
          </w:tcPr>
          <w:p w:rsidR="00376503" w:rsidRPr="00CF3673" w:rsidRDefault="00193B3C" w:rsidP="00193B3C">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Pequena</w:t>
            </w:r>
          </w:p>
        </w:tc>
        <w:tc>
          <w:tcPr>
            <w:tcW w:w="960" w:type="dxa"/>
            <w:tcBorders>
              <w:top w:val="double" w:sz="6" w:space="0" w:color="auto"/>
              <w:left w:val="nil"/>
              <w:right w:val="nil"/>
            </w:tcBorders>
            <w:shd w:val="clear" w:color="000000" w:fill="FFFFFF"/>
            <w:noWrap/>
            <w:vAlign w:val="bottom"/>
            <w:hideMark/>
          </w:tcPr>
          <w:p w:rsidR="00376503" w:rsidRPr="00CF3673" w:rsidRDefault="00376503" w:rsidP="00193B3C">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Medi</w:t>
            </w:r>
            <w:r w:rsidR="00193B3C" w:rsidRPr="00CF3673">
              <w:rPr>
                <w:rFonts w:ascii="Calibri" w:eastAsia="Times New Roman" w:hAnsi="Calibri" w:cs="Times New Roman"/>
                <w:color w:val="000000"/>
                <w:sz w:val="20"/>
                <w:szCs w:val="20"/>
                <w:lang w:eastAsia="en-GB"/>
              </w:rPr>
              <w:t>a</w:t>
            </w:r>
          </w:p>
        </w:tc>
      </w:tr>
      <w:tr w:rsidR="00376503" w:rsidRPr="00CF3673" w:rsidTr="00063143">
        <w:trPr>
          <w:trHeight w:val="255"/>
          <w:jc w:val="center"/>
        </w:trPr>
        <w:tc>
          <w:tcPr>
            <w:tcW w:w="4800" w:type="dxa"/>
            <w:tcBorders>
              <w:left w:val="nil"/>
              <w:bottom w:val="nil"/>
              <w:right w:val="nil"/>
            </w:tcBorders>
            <w:shd w:val="clear" w:color="000000" w:fill="FFFFFF"/>
            <w:noWrap/>
            <w:vAlign w:val="bottom"/>
            <w:hideMark/>
          </w:tcPr>
          <w:p w:rsidR="00376503" w:rsidRPr="00CF3673" w:rsidRDefault="006A4724" w:rsidP="00193B3C">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A filiação trás</w:t>
            </w:r>
            <w:r w:rsidR="00193B3C" w:rsidRPr="00CF3673">
              <w:rPr>
                <w:rFonts w:ascii="Calibri" w:eastAsia="Times New Roman" w:hAnsi="Calibri" w:cs="Times New Roman"/>
                <w:color w:val="000000"/>
                <w:sz w:val="20"/>
                <w:szCs w:val="20"/>
                <w:lang w:eastAsia="en-GB"/>
              </w:rPr>
              <w:t xml:space="preserve"> </w:t>
            </w:r>
            <w:r w:rsidRPr="00CF3673">
              <w:rPr>
                <w:rFonts w:ascii="Calibri" w:eastAsia="Times New Roman" w:hAnsi="Calibri" w:cs="Times New Roman"/>
                <w:color w:val="000000"/>
                <w:sz w:val="20"/>
                <w:szCs w:val="20"/>
                <w:lang w:eastAsia="en-GB"/>
              </w:rPr>
              <w:t>benefícios</w:t>
            </w:r>
            <w:r w:rsidR="00193B3C" w:rsidRPr="00CF3673">
              <w:rPr>
                <w:rFonts w:ascii="Calibri" w:eastAsia="Times New Roman" w:hAnsi="Calibri" w:cs="Times New Roman"/>
                <w:color w:val="000000"/>
                <w:sz w:val="20"/>
                <w:szCs w:val="20"/>
                <w:lang w:eastAsia="en-GB"/>
              </w:rPr>
              <w:t xml:space="preserve"> para a empresa?</w:t>
            </w:r>
          </w:p>
        </w:tc>
        <w:tc>
          <w:tcPr>
            <w:tcW w:w="960"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80.5</w:t>
            </w:r>
          </w:p>
        </w:tc>
        <w:tc>
          <w:tcPr>
            <w:tcW w:w="960"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70.0</w:t>
            </w:r>
          </w:p>
        </w:tc>
        <w:tc>
          <w:tcPr>
            <w:tcW w:w="960"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75.0</w:t>
            </w:r>
          </w:p>
        </w:tc>
        <w:tc>
          <w:tcPr>
            <w:tcW w:w="960" w:type="dxa"/>
            <w:tcBorders>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91.4</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193B3C"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Observações</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70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14</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24</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32</w:t>
            </w:r>
          </w:p>
        </w:tc>
      </w:tr>
      <w:tr w:rsidR="00376503" w:rsidRPr="00CF3673" w:rsidTr="00063143">
        <w:trPr>
          <w:trHeight w:val="255"/>
          <w:jc w:val="center"/>
        </w:trPr>
        <w:tc>
          <w:tcPr>
            <w:tcW w:w="4800" w:type="dxa"/>
            <w:tcBorders>
              <w:top w:val="single" w:sz="4" w:space="0" w:color="auto"/>
              <w:left w:val="nil"/>
              <w:bottom w:val="single" w:sz="4" w:space="0" w:color="auto"/>
              <w:right w:val="nil"/>
            </w:tcBorders>
            <w:shd w:val="clear" w:color="000000" w:fill="FFFFFF"/>
            <w:noWrap/>
            <w:vAlign w:val="bottom"/>
            <w:hideMark/>
          </w:tcPr>
          <w:p w:rsidR="00376503" w:rsidRPr="00CF3673" w:rsidRDefault="00376503" w:rsidP="00193B3C">
            <w:pPr>
              <w:spacing w:after="0" w:line="240" w:lineRule="auto"/>
              <w:rPr>
                <w:rFonts w:ascii="Calibri" w:eastAsia="Times New Roman" w:hAnsi="Calibri" w:cs="Times New Roman"/>
                <w:i/>
                <w:iCs/>
                <w:color w:val="000000"/>
                <w:sz w:val="20"/>
                <w:szCs w:val="20"/>
                <w:lang w:eastAsia="en-GB"/>
              </w:rPr>
            </w:pPr>
            <w:r w:rsidRPr="00CF3673">
              <w:rPr>
                <w:rFonts w:ascii="Calibri" w:eastAsia="Times New Roman" w:hAnsi="Calibri" w:cs="Times New Roman"/>
                <w:i/>
                <w:iCs/>
                <w:color w:val="000000"/>
                <w:sz w:val="20"/>
                <w:szCs w:val="20"/>
                <w:lang w:eastAsia="en-GB"/>
              </w:rPr>
              <w:t>T</w:t>
            </w:r>
            <w:r w:rsidR="00193B3C" w:rsidRPr="00CF3673">
              <w:rPr>
                <w:rFonts w:ascii="Calibri" w:eastAsia="Times New Roman" w:hAnsi="Calibri" w:cs="Times New Roman"/>
                <w:i/>
                <w:iCs/>
                <w:color w:val="000000"/>
                <w:sz w:val="20"/>
                <w:szCs w:val="20"/>
                <w:lang w:eastAsia="en-GB"/>
              </w:rPr>
              <w:t xml:space="preserve">ipo de </w:t>
            </w:r>
            <w:r w:rsidR="006A4724" w:rsidRPr="00CF3673">
              <w:rPr>
                <w:rFonts w:ascii="Calibri" w:eastAsia="Times New Roman" w:hAnsi="Calibri" w:cs="Times New Roman"/>
                <w:i/>
                <w:iCs/>
                <w:color w:val="000000"/>
                <w:sz w:val="20"/>
                <w:szCs w:val="20"/>
                <w:lang w:eastAsia="en-GB"/>
              </w:rPr>
              <w:t>benefícios</w:t>
            </w:r>
            <w:r w:rsidR="00193B3C" w:rsidRPr="00CF3673">
              <w:rPr>
                <w:rFonts w:ascii="Calibri" w:eastAsia="Times New Roman" w:hAnsi="Calibri" w:cs="Times New Roman"/>
                <w:i/>
                <w:iCs/>
                <w:color w:val="000000"/>
                <w:sz w:val="20"/>
                <w:szCs w:val="20"/>
                <w:lang w:eastAsia="en-GB"/>
              </w:rPr>
              <w:t xml:space="preserve"> da filiação</w:t>
            </w:r>
            <w:r w:rsidRPr="00CF3673">
              <w:rPr>
                <w:rFonts w:ascii="Calibri" w:eastAsia="Times New Roman" w:hAnsi="Calibri" w:cs="Times New Roman"/>
                <w:i/>
                <w:iCs/>
                <w:color w:val="000000"/>
                <w:sz w:val="20"/>
                <w:szCs w:val="20"/>
                <w:lang w:eastAsia="en-GB"/>
              </w:rPr>
              <w:t>:</w:t>
            </w:r>
          </w:p>
        </w:tc>
        <w:tc>
          <w:tcPr>
            <w:tcW w:w="960" w:type="dxa"/>
            <w:tcBorders>
              <w:top w:val="single" w:sz="4" w:space="0" w:color="auto"/>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960" w:type="dxa"/>
            <w:tcBorders>
              <w:top w:val="single" w:sz="4" w:space="0" w:color="auto"/>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960" w:type="dxa"/>
            <w:tcBorders>
              <w:top w:val="single" w:sz="4" w:space="0" w:color="auto"/>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960" w:type="dxa"/>
            <w:tcBorders>
              <w:top w:val="single" w:sz="4" w:space="0" w:color="auto"/>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376503" w:rsidP="00193B3C">
            <w:pPr>
              <w:spacing w:after="0" w:line="240" w:lineRule="auto"/>
              <w:rPr>
                <w:rFonts w:ascii="Calibri" w:eastAsia="Times New Roman" w:hAnsi="Calibri" w:cs="Times New Roman"/>
                <w:color w:val="000000"/>
                <w:sz w:val="20"/>
                <w:szCs w:val="20"/>
                <w:lang w:eastAsia="en-GB"/>
              </w:rPr>
            </w:pPr>
            <w:proofErr w:type="spellStart"/>
            <w:r w:rsidRPr="00CF3673">
              <w:rPr>
                <w:rFonts w:ascii="Calibri" w:eastAsia="Times New Roman" w:hAnsi="Calibri" w:cs="Times New Roman"/>
                <w:color w:val="000000"/>
                <w:sz w:val="20"/>
                <w:szCs w:val="20"/>
                <w:lang w:eastAsia="en-GB"/>
              </w:rPr>
              <w:t>Lobbying</w:t>
            </w:r>
            <w:proofErr w:type="spellEnd"/>
            <w:r w:rsidRPr="00CF3673">
              <w:rPr>
                <w:rFonts w:ascii="Calibri" w:eastAsia="Times New Roman" w:hAnsi="Calibri" w:cs="Times New Roman"/>
                <w:color w:val="000000"/>
                <w:sz w:val="20"/>
                <w:szCs w:val="20"/>
                <w:lang w:eastAsia="en-GB"/>
              </w:rPr>
              <w:t xml:space="preserve"> </w:t>
            </w:r>
            <w:r w:rsidR="00193B3C" w:rsidRPr="00CF3673">
              <w:rPr>
                <w:rFonts w:ascii="Calibri" w:eastAsia="Times New Roman" w:hAnsi="Calibri" w:cs="Times New Roman"/>
                <w:color w:val="000000"/>
                <w:sz w:val="20"/>
                <w:szCs w:val="20"/>
                <w:lang w:eastAsia="en-GB"/>
              </w:rPr>
              <w:t>ao governo</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48.3</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30.0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46.9</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60.0</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6A4724" w:rsidP="00193B3C">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Organização</w:t>
            </w:r>
            <w:r w:rsidR="00193B3C" w:rsidRPr="00CF3673">
              <w:rPr>
                <w:rFonts w:ascii="Calibri" w:eastAsia="Times New Roman" w:hAnsi="Calibri" w:cs="Times New Roman"/>
                <w:color w:val="000000"/>
                <w:sz w:val="20"/>
                <w:szCs w:val="20"/>
                <w:lang w:eastAsia="en-GB"/>
              </w:rPr>
              <w:t xml:space="preserve"> de feiras </w:t>
            </w:r>
            <w:r w:rsidRPr="00CF3673">
              <w:rPr>
                <w:rFonts w:ascii="Calibri" w:eastAsia="Times New Roman" w:hAnsi="Calibri" w:cs="Times New Roman"/>
                <w:color w:val="000000"/>
                <w:sz w:val="20"/>
                <w:szCs w:val="20"/>
                <w:lang w:eastAsia="en-GB"/>
              </w:rPr>
              <w:t>técnicas</w:t>
            </w:r>
            <w:r w:rsidR="00193B3C" w:rsidRPr="00CF3673">
              <w:rPr>
                <w:rFonts w:ascii="Calibri" w:eastAsia="Times New Roman" w:hAnsi="Calibri" w:cs="Times New Roman"/>
                <w:color w:val="000000"/>
                <w:sz w:val="20"/>
                <w:szCs w:val="20"/>
                <w:lang w:eastAsia="en-GB"/>
              </w:rPr>
              <w:t xml:space="preserve"> e comerciais</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33.3</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25.0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28.1</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42.9</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376503" w:rsidP="00193B3C">
            <w:pPr>
              <w:spacing w:after="0" w:line="240" w:lineRule="auto"/>
              <w:rPr>
                <w:rFonts w:ascii="Calibri" w:eastAsia="Times New Roman" w:hAnsi="Calibri" w:cs="Times New Roman"/>
                <w:color w:val="000000"/>
                <w:sz w:val="20"/>
                <w:szCs w:val="20"/>
                <w:lang w:eastAsia="en-GB"/>
              </w:rPr>
            </w:pPr>
            <w:proofErr w:type="spellStart"/>
            <w:r w:rsidRPr="00CF3673">
              <w:rPr>
                <w:rFonts w:ascii="Calibri" w:eastAsia="Times New Roman" w:hAnsi="Calibri" w:cs="Times New Roman"/>
                <w:color w:val="000000"/>
                <w:sz w:val="20"/>
                <w:szCs w:val="20"/>
                <w:lang w:eastAsia="en-GB"/>
              </w:rPr>
              <w:t>Lobbying</w:t>
            </w:r>
            <w:proofErr w:type="spellEnd"/>
            <w:r w:rsidRPr="00CF3673">
              <w:rPr>
                <w:rFonts w:ascii="Calibri" w:eastAsia="Times New Roman" w:hAnsi="Calibri" w:cs="Times New Roman"/>
                <w:color w:val="000000"/>
                <w:sz w:val="20"/>
                <w:szCs w:val="20"/>
                <w:lang w:eastAsia="en-GB"/>
              </w:rPr>
              <w:t xml:space="preserve"> </w:t>
            </w:r>
            <w:r w:rsidR="00193B3C" w:rsidRPr="00CF3673">
              <w:rPr>
                <w:rFonts w:ascii="Calibri" w:eastAsia="Times New Roman" w:hAnsi="Calibri" w:cs="Times New Roman"/>
                <w:color w:val="000000"/>
                <w:sz w:val="20"/>
                <w:szCs w:val="20"/>
                <w:lang w:eastAsia="en-GB"/>
              </w:rPr>
              <w:t>aos bancos para facilitar acesso ao crédito</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20.7</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20.0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18.8</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22.9</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6A4724" w:rsidP="00193B3C">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Acesso</w:t>
            </w:r>
            <w:r w:rsidR="00193B3C" w:rsidRPr="00CF3673">
              <w:rPr>
                <w:rFonts w:ascii="Calibri" w:eastAsia="Times New Roman" w:hAnsi="Calibri" w:cs="Times New Roman"/>
                <w:color w:val="000000"/>
                <w:sz w:val="20"/>
                <w:szCs w:val="20"/>
                <w:lang w:eastAsia="en-GB"/>
              </w:rPr>
              <w:t xml:space="preserve"> aos insumos</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31.0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20.0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31.3</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37.1</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376503" w:rsidP="00951B71">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Provi</w:t>
            </w:r>
            <w:r w:rsidR="00951B71" w:rsidRPr="00CF3673">
              <w:rPr>
                <w:rFonts w:ascii="Calibri" w:eastAsia="Times New Roman" w:hAnsi="Calibri" w:cs="Times New Roman"/>
                <w:color w:val="000000"/>
                <w:sz w:val="20"/>
                <w:szCs w:val="20"/>
                <w:lang w:eastAsia="en-GB"/>
              </w:rPr>
              <w:t>são de informação comercial e técnica</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41.4</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30.0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40.6</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48.6</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951B71" w:rsidP="00951B71">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xml:space="preserve">Cumprimento das normas e </w:t>
            </w:r>
            <w:r w:rsidR="006A4724" w:rsidRPr="00CF3673">
              <w:rPr>
                <w:rFonts w:ascii="Calibri" w:eastAsia="Times New Roman" w:hAnsi="Calibri" w:cs="Times New Roman"/>
                <w:color w:val="000000"/>
                <w:sz w:val="20"/>
                <w:szCs w:val="20"/>
                <w:lang w:eastAsia="en-GB"/>
              </w:rPr>
              <w:t>padrões</w:t>
            </w:r>
            <w:r w:rsidRPr="00CF3673">
              <w:rPr>
                <w:rFonts w:ascii="Calibri" w:eastAsia="Times New Roman" w:hAnsi="Calibri" w:cs="Times New Roman"/>
                <w:color w:val="000000"/>
                <w:sz w:val="20"/>
                <w:szCs w:val="20"/>
                <w:lang w:eastAsia="en-GB"/>
              </w:rPr>
              <w:t xml:space="preserve"> de qualidade</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48.3</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40.0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50.0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51.4</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376503" w:rsidP="00951B71">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Resol</w:t>
            </w:r>
            <w:r w:rsidR="00951B71" w:rsidRPr="00CF3673">
              <w:rPr>
                <w:rFonts w:ascii="Calibri" w:eastAsia="Times New Roman" w:hAnsi="Calibri" w:cs="Times New Roman"/>
                <w:color w:val="000000"/>
                <w:sz w:val="20"/>
                <w:szCs w:val="20"/>
                <w:lang w:eastAsia="en-GB"/>
              </w:rPr>
              <w:t>ução de disputas comerciais</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36.8</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35.0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40.6</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34.3</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951B71" w:rsidP="00951B71">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Provisão de ‘garantia moral’ aos parceiros estrangeiros</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21.8</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10.0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18.8</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31.4</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6A4724" w:rsidP="00951B71">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Fórum</w:t>
            </w:r>
            <w:r w:rsidR="00376503" w:rsidRPr="00CF3673">
              <w:rPr>
                <w:rFonts w:ascii="Calibri" w:eastAsia="Times New Roman" w:hAnsi="Calibri" w:cs="Times New Roman"/>
                <w:color w:val="000000"/>
                <w:sz w:val="20"/>
                <w:szCs w:val="20"/>
                <w:lang w:eastAsia="en-GB"/>
              </w:rPr>
              <w:t xml:space="preserve"> </w:t>
            </w:r>
            <w:r w:rsidR="00951B71" w:rsidRPr="00CF3673">
              <w:rPr>
                <w:rFonts w:ascii="Calibri" w:eastAsia="Times New Roman" w:hAnsi="Calibri" w:cs="Times New Roman"/>
                <w:color w:val="000000"/>
                <w:sz w:val="20"/>
                <w:szCs w:val="20"/>
                <w:lang w:eastAsia="en-GB"/>
              </w:rPr>
              <w:t>para interagir com outras firmas</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54.0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30.0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56.3</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65.7</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951B71" w:rsidP="00951B71">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Locais para a identificação de parceiros comerciais</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32.2</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15.0</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28.1</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45.7</w:t>
            </w:r>
          </w:p>
        </w:tc>
      </w:tr>
      <w:tr w:rsidR="00376503" w:rsidRPr="00CF3673" w:rsidTr="00063143">
        <w:trPr>
          <w:trHeight w:val="270"/>
          <w:jc w:val="center"/>
        </w:trPr>
        <w:tc>
          <w:tcPr>
            <w:tcW w:w="4800" w:type="dxa"/>
            <w:tcBorders>
              <w:top w:val="nil"/>
              <w:left w:val="nil"/>
              <w:bottom w:val="double" w:sz="6" w:space="0" w:color="auto"/>
              <w:right w:val="nil"/>
            </w:tcBorders>
            <w:shd w:val="clear" w:color="000000" w:fill="FFFFFF"/>
            <w:noWrap/>
            <w:vAlign w:val="bottom"/>
            <w:hideMark/>
          </w:tcPr>
          <w:p w:rsidR="00376503" w:rsidRPr="00CF3673" w:rsidRDefault="00951B71"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Outro</w:t>
            </w:r>
          </w:p>
        </w:tc>
        <w:tc>
          <w:tcPr>
            <w:tcW w:w="96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4.6</w:t>
            </w:r>
          </w:p>
        </w:tc>
        <w:tc>
          <w:tcPr>
            <w:tcW w:w="96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5.0</w:t>
            </w:r>
          </w:p>
        </w:tc>
        <w:tc>
          <w:tcPr>
            <w:tcW w:w="96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3.1</w:t>
            </w:r>
          </w:p>
        </w:tc>
        <w:tc>
          <w:tcPr>
            <w:tcW w:w="96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5.7</w:t>
            </w:r>
          </w:p>
        </w:tc>
      </w:tr>
      <w:tr w:rsidR="00376503" w:rsidRPr="00CF3673" w:rsidTr="00063143">
        <w:trPr>
          <w:trHeight w:val="270"/>
          <w:jc w:val="center"/>
        </w:trPr>
        <w:tc>
          <w:tcPr>
            <w:tcW w:w="6720" w:type="dxa"/>
            <w:gridSpan w:val="3"/>
            <w:tcBorders>
              <w:top w:val="nil"/>
              <w:left w:val="nil"/>
              <w:bottom w:val="nil"/>
              <w:right w:val="nil"/>
            </w:tcBorders>
            <w:shd w:val="clear" w:color="000000" w:fill="FFFFFF"/>
            <w:noWrap/>
            <w:vAlign w:val="bottom"/>
            <w:hideMark/>
          </w:tcPr>
          <w:p w:rsidR="00376503" w:rsidRPr="00CF3673" w:rsidRDefault="00951B71" w:rsidP="00951B71">
            <w:pPr>
              <w:pStyle w:val="Tablenote"/>
              <w:rPr>
                <w:lang w:val="pt-PT" w:eastAsia="en-GB"/>
              </w:rPr>
            </w:pPr>
            <w:r w:rsidRPr="00CF3673">
              <w:rPr>
                <w:b/>
                <w:lang w:val="pt-PT" w:eastAsia="en-GB"/>
              </w:rPr>
              <w:t>Nota</w:t>
            </w:r>
            <w:r w:rsidR="00376503" w:rsidRPr="00CF3673">
              <w:rPr>
                <w:lang w:val="pt-PT" w:eastAsia="en-GB"/>
              </w:rPr>
              <w:t xml:space="preserve">: </w:t>
            </w:r>
            <w:r w:rsidRPr="00CF3673">
              <w:rPr>
                <w:lang w:val="pt-PT" w:eastAsia="en-GB"/>
              </w:rPr>
              <w:t>Apenas informação de 57 empresas das 80 observações</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r w:rsidR="00376503" w:rsidRPr="00CF3673" w:rsidTr="00063143">
        <w:trPr>
          <w:trHeight w:val="255"/>
          <w:jc w:val="center"/>
        </w:trPr>
        <w:tc>
          <w:tcPr>
            <w:tcW w:w="4800" w:type="dxa"/>
            <w:tcBorders>
              <w:top w:val="nil"/>
              <w:left w:val="nil"/>
              <w:bottom w:val="nil"/>
              <w:right w:val="nil"/>
            </w:tcBorders>
            <w:shd w:val="clear" w:color="000000" w:fill="FFFFFF"/>
            <w:noWrap/>
            <w:vAlign w:val="bottom"/>
            <w:hideMark/>
          </w:tcPr>
          <w:p w:rsidR="00376503" w:rsidRPr="00CF3673" w:rsidRDefault="006A4724" w:rsidP="0071433C">
            <w:pPr>
              <w:pStyle w:val="Tablenote"/>
              <w:rPr>
                <w:lang w:val="pt-PT" w:eastAsia="en-GB"/>
              </w:rPr>
            </w:pPr>
            <w:r w:rsidRPr="00CF3673">
              <w:rPr>
                <w:b/>
                <w:lang w:val="pt-PT" w:eastAsia="en-GB"/>
              </w:rPr>
              <w:t>Fonte:</w:t>
            </w:r>
            <w:r w:rsidR="00376503" w:rsidRPr="00CF3673">
              <w:rPr>
                <w:lang w:val="pt-PT" w:eastAsia="en-GB"/>
              </w:rPr>
              <w:t xml:space="preserve">: </w:t>
            </w:r>
            <w:r w:rsidRPr="00CF3673">
              <w:rPr>
                <w:lang w:val="pt-PT" w:eastAsia="en-GB"/>
              </w:rPr>
              <w:t>Cálculos</w:t>
            </w:r>
            <w:r w:rsidR="00951B71" w:rsidRPr="00CF3673">
              <w:rPr>
                <w:lang w:val="pt-PT" w:eastAsia="en-GB"/>
              </w:rPr>
              <w:t xml:space="preserve"> </w:t>
            </w:r>
            <w:r w:rsidR="0071433C" w:rsidRPr="00CF3673">
              <w:rPr>
                <w:lang w:val="pt-PT" w:eastAsia="en-GB"/>
              </w:rPr>
              <w:t>dos autores com</w:t>
            </w:r>
            <w:r w:rsidR="00951B71" w:rsidRPr="00CF3673">
              <w:rPr>
                <w:lang w:val="pt-PT" w:eastAsia="en-GB"/>
              </w:rPr>
              <w:t xml:space="preserve"> base no </w:t>
            </w:r>
            <w:r w:rsidR="00376503" w:rsidRPr="00CF3673">
              <w:rPr>
                <w:lang w:val="pt-PT" w:eastAsia="en-GB"/>
              </w:rPr>
              <w:t>IIM 2012</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eastAsia="en-GB"/>
              </w:rPr>
            </w:pPr>
            <w:r w:rsidRPr="00CF3673">
              <w:rPr>
                <w:lang w:val="pt-PT" w:eastAsia="en-GB"/>
              </w:rPr>
              <w:t> </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pStyle w:val="Tablenote"/>
              <w:rPr>
                <w:lang w:val="pt-PT" w:eastAsia="en-GB"/>
              </w:rPr>
            </w:pPr>
            <w:r w:rsidRPr="00CF3673">
              <w:rPr>
                <w:lang w:val="pt-PT" w:eastAsia="en-GB"/>
              </w:rPr>
              <w:t> </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9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bl>
    <w:p w:rsidR="00376503" w:rsidRPr="00CF3673" w:rsidRDefault="00376503" w:rsidP="001E664B">
      <w:pPr>
        <w:pStyle w:val="MainText"/>
        <w:rPr>
          <w:lang w:val="pt-PT"/>
        </w:rPr>
      </w:pPr>
    </w:p>
    <w:p w:rsidR="008875A6" w:rsidRPr="00CF3673" w:rsidRDefault="008875A6" w:rsidP="001E664B">
      <w:pPr>
        <w:pStyle w:val="MainText"/>
        <w:rPr>
          <w:lang w:val="pt-PT"/>
        </w:rPr>
      </w:pPr>
      <w:r w:rsidRPr="00CF3673">
        <w:rPr>
          <w:lang w:val="pt-PT"/>
        </w:rPr>
        <w:t xml:space="preserve">A tabela 8.6 apresenta dimensão diferente de </w:t>
      </w:r>
      <w:r w:rsidR="006A4724" w:rsidRPr="00CF3673">
        <w:rPr>
          <w:lang w:val="pt-PT"/>
        </w:rPr>
        <w:t>interacção</w:t>
      </w:r>
      <w:r w:rsidRPr="00CF3673">
        <w:rPr>
          <w:lang w:val="pt-PT"/>
        </w:rPr>
        <w:t xml:space="preserve"> dos membros. Primeiro, 42% das empresas fazer </w:t>
      </w:r>
      <w:r w:rsidR="006A4724" w:rsidRPr="00CF3673">
        <w:rPr>
          <w:lang w:val="pt-PT"/>
        </w:rPr>
        <w:t>negócios</w:t>
      </w:r>
      <w:r w:rsidRPr="00CF3673">
        <w:rPr>
          <w:lang w:val="pt-PT"/>
        </w:rPr>
        <w:t xml:space="preserve"> com outros membros da associação</w:t>
      </w:r>
      <w:r w:rsidR="00EC5DA4" w:rsidRPr="00CF3673">
        <w:rPr>
          <w:lang w:val="pt-PT"/>
        </w:rPr>
        <w:t xml:space="preserve">. Segundo, quase 57% indicam confiar mais membros da </w:t>
      </w:r>
      <w:r w:rsidR="00EC5DA4" w:rsidRPr="00CF3673">
        <w:rPr>
          <w:lang w:val="pt-PT"/>
        </w:rPr>
        <w:lastRenderedPageBreak/>
        <w:t>associação</w:t>
      </w:r>
      <w:r w:rsidR="00B724B2" w:rsidRPr="00CF3673">
        <w:rPr>
          <w:lang w:val="pt-PT"/>
        </w:rPr>
        <w:t xml:space="preserve">, e em terceiro lugar, 76% acreditam que é mais fácil resolver disputa com membros iguais que com empresários não filiados. Para estas todas as questões, os números aumentam com o tamanho da empresa. Contudo, existem uma tendência geral que as empresas membros da associação são </w:t>
      </w:r>
      <w:r w:rsidR="006A4724" w:rsidRPr="00CF3673">
        <w:rPr>
          <w:lang w:val="pt-PT"/>
        </w:rPr>
        <w:t>relutantes</w:t>
      </w:r>
      <w:r w:rsidR="00B724B2" w:rsidRPr="00CF3673">
        <w:rPr>
          <w:lang w:val="pt-PT"/>
        </w:rPr>
        <w:t xml:space="preserve"> em envolver-se com outras empresas que não são membros da associação.</w:t>
      </w:r>
    </w:p>
    <w:p w:rsidR="00376503" w:rsidRPr="00CF3673" w:rsidRDefault="00376503" w:rsidP="00376503">
      <w:pPr>
        <w:pStyle w:val="TableTitle"/>
        <w:rPr>
          <w:lang w:val="pt-PT"/>
        </w:rPr>
      </w:pPr>
      <w:bookmarkStart w:id="68" w:name="_Toc360720492"/>
      <w:r w:rsidRPr="00CF3673">
        <w:rPr>
          <w:lang w:val="pt-PT"/>
        </w:rPr>
        <w:t>Tab</w:t>
      </w:r>
      <w:r w:rsidR="001D6EE9" w:rsidRPr="00CF3673">
        <w:rPr>
          <w:lang w:val="pt-PT"/>
        </w:rPr>
        <w:t>ela</w:t>
      </w:r>
      <w:r w:rsidRPr="00CF3673">
        <w:rPr>
          <w:lang w:val="pt-PT"/>
        </w:rPr>
        <w:t xml:space="preserve"> 8.</w:t>
      </w:r>
      <w:r w:rsidR="00B2651F" w:rsidRPr="00CF3673">
        <w:rPr>
          <w:lang w:val="pt-PT"/>
        </w:rPr>
        <w:t>6</w:t>
      </w:r>
      <w:r w:rsidRPr="00CF3673">
        <w:rPr>
          <w:lang w:val="pt-PT"/>
        </w:rPr>
        <w:t xml:space="preserve">: </w:t>
      </w:r>
      <w:r w:rsidR="006A4724" w:rsidRPr="00CF3673">
        <w:rPr>
          <w:lang w:val="pt-PT"/>
        </w:rPr>
        <w:t>Negócios</w:t>
      </w:r>
      <w:r w:rsidR="001D6EE9" w:rsidRPr="00CF3673">
        <w:rPr>
          <w:lang w:val="pt-PT"/>
        </w:rPr>
        <w:t xml:space="preserve"> com outros membros da associação, %</w:t>
      </w:r>
      <w:bookmarkEnd w:id="68"/>
      <w:r w:rsidRPr="00CF3673">
        <w:rPr>
          <w:lang w:val="pt-PT"/>
        </w:rPr>
        <w:t xml:space="preserve"> </w:t>
      </w:r>
    </w:p>
    <w:tbl>
      <w:tblPr>
        <w:tblW w:w="9654" w:type="dxa"/>
        <w:tblInd w:w="93" w:type="dxa"/>
        <w:tblLook w:val="04A0" w:firstRow="1" w:lastRow="0" w:firstColumn="1" w:lastColumn="0" w:noHBand="0" w:noVBand="1"/>
      </w:tblPr>
      <w:tblGrid>
        <w:gridCol w:w="4877"/>
        <w:gridCol w:w="892"/>
        <w:gridCol w:w="892"/>
        <w:gridCol w:w="1007"/>
        <w:gridCol w:w="937"/>
        <w:gridCol w:w="1156"/>
      </w:tblGrid>
      <w:tr w:rsidR="00376503" w:rsidRPr="00CF3673" w:rsidTr="001057B8">
        <w:trPr>
          <w:trHeight w:val="274"/>
        </w:trPr>
        <w:tc>
          <w:tcPr>
            <w:tcW w:w="4880" w:type="dxa"/>
            <w:tcBorders>
              <w:top w:val="double" w:sz="6" w:space="0" w:color="auto"/>
              <w:left w:val="nil"/>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893" w:type="dxa"/>
            <w:tcBorders>
              <w:top w:val="double" w:sz="6" w:space="0" w:color="auto"/>
              <w:left w:val="nil"/>
              <w:bottom w:val="single" w:sz="6" w:space="0" w:color="auto"/>
              <w:right w:val="nil"/>
            </w:tcBorders>
            <w:shd w:val="clear" w:color="000000" w:fill="FFFFFF"/>
            <w:noWrap/>
            <w:vAlign w:val="bottom"/>
            <w:hideMark/>
          </w:tcPr>
          <w:p w:rsidR="00376503" w:rsidRPr="00CF3673" w:rsidRDefault="001D6EE9"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Todas</w:t>
            </w:r>
          </w:p>
        </w:tc>
        <w:tc>
          <w:tcPr>
            <w:tcW w:w="893" w:type="dxa"/>
            <w:tcBorders>
              <w:top w:val="double" w:sz="6" w:space="0" w:color="auto"/>
              <w:left w:val="nil"/>
              <w:bottom w:val="sing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Micro</w:t>
            </w:r>
          </w:p>
        </w:tc>
        <w:tc>
          <w:tcPr>
            <w:tcW w:w="893" w:type="dxa"/>
            <w:tcBorders>
              <w:top w:val="double" w:sz="6" w:space="0" w:color="auto"/>
              <w:left w:val="nil"/>
              <w:bottom w:val="single" w:sz="6" w:space="0" w:color="auto"/>
              <w:right w:val="nil"/>
            </w:tcBorders>
            <w:shd w:val="clear" w:color="000000" w:fill="FFFFFF"/>
            <w:noWrap/>
            <w:vAlign w:val="bottom"/>
            <w:hideMark/>
          </w:tcPr>
          <w:p w:rsidR="00376503" w:rsidRPr="00CF3673" w:rsidRDefault="001D6EE9" w:rsidP="001D6EE9">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Pequenas</w:t>
            </w:r>
          </w:p>
        </w:tc>
        <w:tc>
          <w:tcPr>
            <w:tcW w:w="938" w:type="dxa"/>
            <w:tcBorders>
              <w:top w:val="double" w:sz="6" w:space="0" w:color="auto"/>
              <w:left w:val="nil"/>
              <w:bottom w:val="single" w:sz="6" w:space="0" w:color="auto"/>
              <w:right w:val="nil"/>
            </w:tcBorders>
            <w:shd w:val="clear" w:color="000000" w:fill="FFFFFF"/>
            <w:noWrap/>
            <w:vAlign w:val="bottom"/>
            <w:hideMark/>
          </w:tcPr>
          <w:p w:rsidR="00376503" w:rsidRPr="00CF3673" w:rsidRDefault="00376503" w:rsidP="001D6EE9">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Medi</w:t>
            </w:r>
            <w:r w:rsidR="001D6EE9" w:rsidRPr="00CF3673">
              <w:rPr>
                <w:rFonts w:ascii="Calibri" w:eastAsia="Times New Roman" w:hAnsi="Calibri" w:cs="Times New Roman"/>
                <w:color w:val="000000"/>
                <w:sz w:val="20"/>
                <w:szCs w:val="20"/>
                <w:lang w:eastAsia="en-GB"/>
              </w:rPr>
              <w:t>a</w:t>
            </w:r>
          </w:p>
        </w:tc>
        <w:tc>
          <w:tcPr>
            <w:tcW w:w="1157" w:type="dxa"/>
            <w:tcBorders>
              <w:top w:val="double" w:sz="6" w:space="0" w:color="auto"/>
              <w:left w:val="nil"/>
              <w:bottom w:val="single" w:sz="6" w:space="0" w:color="auto"/>
              <w:right w:val="nil"/>
            </w:tcBorders>
            <w:shd w:val="clear" w:color="000000" w:fill="FFFFFF"/>
            <w:noWrap/>
            <w:vAlign w:val="bottom"/>
            <w:hideMark/>
          </w:tcPr>
          <w:p w:rsidR="00376503" w:rsidRPr="00CF3673" w:rsidRDefault="001D6EE9" w:rsidP="001D6EE9">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Em falta</w:t>
            </w:r>
          </w:p>
        </w:tc>
      </w:tr>
      <w:tr w:rsidR="00376503" w:rsidRPr="00CF3673" w:rsidTr="001057B8">
        <w:trPr>
          <w:trHeight w:val="259"/>
        </w:trPr>
        <w:tc>
          <w:tcPr>
            <w:tcW w:w="4880" w:type="dxa"/>
            <w:tcBorders>
              <w:left w:val="nil"/>
              <w:bottom w:val="nil"/>
              <w:right w:val="nil"/>
            </w:tcBorders>
            <w:shd w:val="clear" w:color="000000" w:fill="FFFFFF"/>
            <w:noWrap/>
            <w:vAlign w:val="bottom"/>
            <w:hideMark/>
          </w:tcPr>
          <w:p w:rsidR="00376503" w:rsidRPr="00CF3673" w:rsidRDefault="001D6EE9" w:rsidP="001D6EE9">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xml:space="preserve">Prefere </w:t>
            </w:r>
            <w:r w:rsidR="006A4724" w:rsidRPr="00CF3673">
              <w:rPr>
                <w:rFonts w:ascii="Calibri" w:eastAsia="Times New Roman" w:hAnsi="Calibri" w:cs="Times New Roman"/>
                <w:color w:val="000000"/>
                <w:sz w:val="20"/>
                <w:szCs w:val="20"/>
                <w:lang w:eastAsia="en-GB"/>
              </w:rPr>
              <w:t>negócios</w:t>
            </w:r>
            <w:r w:rsidRPr="00CF3673">
              <w:rPr>
                <w:rFonts w:ascii="Calibri" w:eastAsia="Times New Roman" w:hAnsi="Calibri" w:cs="Times New Roman"/>
                <w:color w:val="000000"/>
                <w:sz w:val="20"/>
                <w:szCs w:val="20"/>
                <w:lang w:eastAsia="en-GB"/>
              </w:rPr>
              <w:t xml:space="preserve"> com outros membros da associação</w:t>
            </w:r>
            <w:r w:rsidR="00376503" w:rsidRPr="00CF3673">
              <w:rPr>
                <w:rFonts w:ascii="Calibri" w:eastAsia="Times New Roman" w:hAnsi="Calibri" w:cs="Times New Roman"/>
                <w:color w:val="000000"/>
                <w:sz w:val="20"/>
                <w:szCs w:val="20"/>
                <w:lang w:eastAsia="en-GB"/>
              </w:rPr>
              <w:t>?</w:t>
            </w:r>
          </w:p>
        </w:tc>
        <w:tc>
          <w:tcPr>
            <w:tcW w:w="893" w:type="dxa"/>
            <w:tcBorders>
              <w:top w:val="single" w:sz="6"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42.4</w:t>
            </w:r>
          </w:p>
        </w:tc>
        <w:tc>
          <w:tcPr>
            <w:tcW w:w="893" w:type="dxa"/>
            <w:tcBorders>
              <w:top w:val="single" w:sz="6"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33.3</w:t>
            </w:r>
          </w:p>
        </w:tc>
        <w:tc>
          <w:tcPr>
            <w:tcW w:w="893" w:type="dxa"/>
            <w:tcBorders>
              <w:top w:val="single" w:sz="6"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38.7</w:t>
            </w:r>
          </w:p>
        </w:tc>
        <w:tc>
          <w:tcPr>
            <w:tcW w:w="938" w:type="dxa"/>
            <w:tcBorders>
              <w:top w:val="single" w:sz="6"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50.0</w:t>
            </w:r>
          </w:p>
        </w:tc>
        <w:tc>
          <w:tcPr>
            <w:tcW w:w="1157" w:type="dxa"/>
            <w:tcBorders>
              <w:top w:val="single" w:sz="6"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20"/>
                <w:szCs w:val="20"/>
                <w:lang w:eastAsia="en-GB"/>
              </w:rPr>
            </w:pPr>
            <w:r w:rsidRPr="00CF3673">
              <w:rPr>
                <w:rFonts w:ascii="Calibri" w:eastAsia="Times New Roman" w:hAnsi="Calibri" w:cs="Times New Roman"/>
                <w:b/>
                <w:bCs/>
                <w:color w:val="000000"/>
                <w:sz w:val="20"/>
                <w:szCs w:val="20"/>
                <w:lang w:eastAsia="en-GB"/>
              </w:rPr>
              <w:t>11</w:t>
            </w:r>
          </w:p>
        </w:tc>
      </w:tr>
      <w:tr w:rsidR="00376503" w:rsidRPr="00CF3673" w:rsidTr="001057B8">
        <w:trPr>
          <w:trHeight w:val="259"/>
        </w:trPr>
        <w:tc>
          <w:tcPr>
            <w:tcW w:w="4880" w:type="dxa"/>
            <w:tcBorders>
              <w:top w:val="nil"/>
              <w:left w:val="nil"/>
              <w:bottom w:val="nil"/>
              <w:right w:val="nil"/>
            </w:tcBorders>
            <w:shd w:val="clear" w:color="000000" w:fill="FFFFFF"/>
            <w:noWrap/>
            <w:vAlign w:val="bottom"/>
            <w:hideMark/>
          </w:tcPr>
          <w:p w:rsidR="00376503" w:rsidRPr="00CF3673" w:rsidRDefault="001D6EE9" w:rsidP="001D6EE9">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Confia os membros da associação</w:t>
            </w:r>
            <w:r w:rsidR="00376503" w:rsidRPr="00CF3673">
              <w:rPr>
                <w:rFonts w:ascii="Calibri" w:eastAsia="Times New Roman" w:hAnsi="Calibri" w:cs="Times New Roman"/>
                <w:color w:val="000000"/>
                <w:sz w:val="20"/>
                <w:szCs w:val="20"/>
                <w:lang w:eastAsia="en-GB"/>
              </w:rPr>
              <w:t>?</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56.5</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47.4</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54.8</w:t>
            </w:r>
          </w:p>
        </w:tc>
        <w:tc>
          <w:tcPr>
            <w:tcW w:w="93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62.9</w:t>
            </w:r>
          </w:p>
        </w:tc>
        <w:tc>
          <w:tcPr>
            <w:tcW w:w="115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20"/>
                <w:szCs w:val="20"/>
                <w:lang w:eastAsia="en-GB"/>
              </w:rPr>
            </w:pPr>
            <w:r w:rsidRPr="00CF3673">
              <w:rPr>
                <w:rFonts w:ascii="Calibri" w:eastAsia="Times New Roman" w:hAnsi="Calibri" w:cs="Times New Roman"/>
                <w:b/>
                <w:bCs/>
                <w:color w:val="000000"/>
                <w:sz w:val="20"/>
                <w:szCs w:val="20"/>
                <w:lang w:eastAsia="en-GB"/>
              </w:rPr>
              <w:t>11</w:t>
            </w:r>
          </w:p>
        </w:tc>
      </w:tr>
      <w:tr w:rsidR="00376503" w:rsidRPr="00CF3673" w:rsidTr="001057B8">
        <w:trPr>
          <w:trHeight w:val="259"/>
        </w:trPr>
        <w:tc>
          <w:tcPr>
            <w:tcW w:w="4880" w:type="dxa"/>
            <w:tcBorders>
              <w:top w:val="nil"/>
              <w:left w:val="nil"/>
              <w:bottom w:val="nil"/>
              <w:right w:val="nil"/>
            </w:tcBorders>
            <w:shd w:val="clear" w:color="000000" w:fill="FFFFFF"/>
            <w:noWrap/>
            <w:vAlign w:val="bottom"/>
            <w:hideMark/>
          </w:tcPr>
          <w:p w:rsidR="00376503" w:rsidRPr="00CF3673" w:rsidRDefault="001D6EE9" w:rsidP="001D6EE9">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xml:space="preserve">É </w:t>
            </w:r>
            <w:r w:rsidR="006A4724" w:rsidRPr="00CF3673">
              <w:rPr>
                <w:rFonts w:ascii="Calibri" w:eastAsia="Times New Roman" w:hAnsi="Calibri" w:cs="Times New Roman"/>
                <w:color w:val="000000"/>
                <w:sz w:val="20"/>
                <w:szCs w:val="20"/>
                <w:lang w:eastAsia="en-GB"/>
              </w:rPr>
              <w:t>fácil</w:t>
            </w:r>
            <w:r w:rsidRPr="00CF3673">
              <w:rPr>
                <w:rFonts w:ascii="Calibri" w:eastAsia="Times New Roman" w:hAnsi="Calibri" w:cs="Times New Roman"/>
                <w:color w:val="000000"/>
                <w:sz w:val="20"/>
                <w:szCs w:val="20"/>
                <w:lang w:eastAsia="en-GB"/>
              </w:rPr>
              <w:t xml:space="preserve"> resolver disputas com os membros da </w:t>
            </w:r>
            <w:r w:rsidR="006A4724" w:rsidRPr="00CF3673">
              <w:rPr>
                <w:rFonts w:ascii="Calibri" w:eastAsia="Times New Roman" w:hAnsi="Calibri" w:cs="Times New Roman"/>
                <w:color w:val="000000"/>
                <w:sz w:val="20"/>
                <w:szCs w:val="20"/>
                <w:lang w:eastAsia="en-GB"/>
              </w:rPr>
              <w:t>mesma</w:t>
            </w:r>
            <w:r w:rsidRPr="00CF3673">
              <w:rPr>
                <w:rFonts w:ascii="Calibri" w:eastAsia="Times New Roman" w:hAnsi="Calibri" w:cs="Times New Roman"/>
                <w:color w:val="000000"/>
                <w:sz w:val="20"/>
                <w:szCs w:val="20"/>
                <w:lang w:eastAsia="en-GB"/>
              </w:rPr>
              <w:t xml:space="preserve"> associação</w:t>
            </w:r>
            <w:r w:rsidR="00376503" w:rsidRPr="00CF3673">
              <w:rPr>
                <w:rFonts w:ascii="Calibri" w:eastAsia="Times New Roman" w:hAnsi="Calibri" w:cs="Times New Roman"/>
                <w:color w:val="000000"/>
                <w:sz w:val="20"/>
                <w:szCs w:val="20"/>
                <w:lang w:eastAsia="en-GB"/>
              </w:rPr>
              <w:t>?</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76.2</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68.4</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71.0</w:t>
            </w:r>
          </w:p>
        </w:tc>
        <w:tc>
          <w:tcPr>
            <w:tcW w:w="93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85.3</w:t>
            </w:r>
          </w:p>
        </w:tc>
        <w:tc>
          <w:tcPr>
            <w:tcW w:w="115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20"/>
                <w:szCs w:val="20"/>
                <w:lang w:eastAsia="en-GB"/>
              </w:rPr>
            </w:pPr>
            <w:r w:rsidRPr="00CF3673">
              <w:rPr>
                <w:rFonts w:ascii="Calibri" w:eastAsia="Times New Roman" w:hAnsi="Calibri" w:cs="Times New Roman"/>
                <w:b/>
                <w:bCs/>
                <w:color w:val="000000"/>
                <w:sz w:val="20"/>
                <w:szCs w:val="20"/>
                <w:lang w:eastAsia="en-GB"/>
              </w:rPr>
              <w:t>12</w:t>
            </w:r>
          </w:p>
        </w:tc>
      </w:tr>
      <w:tr w:rsidR="00376503" w:rsidRPr="00CF3673" w:rsidTr="001057B8">
        <w:trPr>
          <w:trHeight w:val="259"/>
        </w:trPr>
        <w:tc>
          <w:tcPr>
            <w:tcW w:w="4880" w:type="dxa"/>
            <w:vMerge w:val="restart"/>
            <w:tcBorders>
              <w:top w:val="nil"/>
              <w:left w:val="nil"/>
              <w:bottom w:val="single" w:sz="4" w:space="0" w:color="000000"/>
              <w:right w:val="nil"/>
            </w:tcBorders>
            <w:shd w:val="clear" w:color="000000" w:fill="FFFFFF"/>
            <w:vAlign w:val="bottom"/>
            <w:hideMark/>
          </w:tcPr>
          <w:p w:rsidR="00376503" w:rsidRPr="00CF3673" w:rsidRDefault="001D6EE9" w:rsidP="001D6EE9">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Fala com outros membros sobre novas tecnologias e práticas de negócios</w:t>
            </w:r>
            <w:r w:rsidR="00376503" w:rsidRPr="00CF3673">
              <w:rPr>
                <w:rFonts w:ascii="Calibri" w:eastAsia="Times New Roman" w:hAnsi="Calibri" w:cs="Times New Roman"/>
                <w:color w:val="000000"/>
                <w:sz w:val="20"/>
                <w:szCs w:val="20"/>
                <w:lang w:eastAsia="en-GB"/>
              </w:rPr>
              <w:t>?</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64.0</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55.0</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57.6</w:t>
            </w:r>
          </w:p>
        </w:tc>
        <w:tc>
          <w:tcPr>
            <w:tcW w:w="93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75.0</w:t>
            </w:r>
          </w:p>
        </w:tc>
        <w:tc>
          <w:tcPr>
            <w:tcW w:w="115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20"/>
                <w:szCs w:val="20"/>
                <w:lang w:eastAsia="en-GB"/>
              </w:rPr>
            </w:pPr>
            <w:r w:rsidRPr="00CF3673">
              <w:rPr>
                <w:rFonts w:ascii="Calibri" w:eastAsia="Times New Roman" w:hAnsi="Calibri" w:cs="Times New Roman"/>
                <w:b/>
                <w:bCs/>
                <w:color w:val="000000"/>
                <w:sz w:val="20"/>
                <w:szCs w:val="20"/>
                <w:lang w:eastAsia="en-GB"/>
              </w:rPr>
              <w:t> </w:t>
            </w:r>
          </w:p>
        </w:tc>
      </w:tr>
      <w:tr w:rsidR="00376503" w:rsidRPr="00CF3673" w:rsidTr="001057B8">
        <w:trPr>
          <w:trHeight w:val="229"/>
        </w:trPr>
        <w:tc>
          <w:tcPr>
            <w:tcW w:w="4880" w:type="dxa"/>
            <w:vMerge/>
            <w:tcBorders>
              <w:top w:val="nil"/>
              <w:left w:val="nil"/>
              <w:bottom w:val="single" w:sz="4" w:space="0" w:color="000000"/>
              <w:right w:val="nil"/>
            </w:tcBorders>
            <w:vAlign w:val="center"/>
            <w:hideMark/>
          </w:tcPr>
          <w:p w:rsidR="00376503" w:rsidRPr="00CF3673" w:rsidRDefault="00376503" w:rsidP="00063143">
            <w:pPr>
              <w:spacing w:after="0" w:line="240" w:lineRule="auto"/>
              <w:rPr>
                <w:rFonts w:ascii="Calibri" w:eastAsia="Times New Roman" w:hAnsi="Calibri" w:cs="Times New Roman"/>
                <w:color w:val="000000"/>
                <w:sz w:val="20"/>
                <w:szCs w:val="20"/>
                <w:lang w:eastAsia="en-GB"/>
              </w:rPr>
            </w:pPr>
          </w:p>
        </w:tc>
        <w:tc>
          <w:tcPr>
            <w:tcW w:w="893" w:type="dxa"/>
            <w:tcBorders>
              <w:top w:val="nil"/>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20"/>
                <w:szCs w:val="20"/>
                <w:lang w:eastAsia="en-GB"/>
              </w:rPr>
            </w:pPr>
            <w:r w:rsidRPr="00CF3673">
              <w:rPr>
                <w:rFonts w:ascii="Calibri" w:eastAsia="Times New Roman" w:hAnsi="Calibri" w:cs="Times New Roman"/>
                <w:b/>
                <w:bCs/>
                <w:color w:val="000000"/>
                <w:sz w:val="20"/>
                <w:szCs w:val="20"/>
                <w:lang w:eastAsia="en-GB"/>
              </w:rPr>
              <w:t>89</w:t>
            </w:r>
          </w:p>
        </w:tc>
        <w:tc>
          <w:tcPr>
            <w:tcW w:w="893" w:type="dxa"/>
            <w:tcBorders>
              <w:top w:val="nil"/>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20"/>
                <w:szCs w:val="20"/>
                <w:lang w:eastAsia="en-GB"/>
              </w:rPr>
            </w:pPr>
            <w:r w:rsidRPr="00CF3673">
              <w:rPr>
                <w:rFonts w:ascii="Calibri" w:eastAsia="Times New Roman" w:hAnsi="Calibri" w:cs="Times New Roman"/>
                <w:b/>
                <w:bCs/>
                <w:color w:val="000000"/>
                <w:sz w:val="20"/>
                <w:szCs w:val="20"/>
                <w:lang w:eastAsia="en-GB"/>
              </w:rPr>
              <w:t>20</w:t>
            </w:r>
          </w:p>
        </w:tc>
        <w:tc>
          <w:tcPr>
            <w:tcW w:w="893" w:type="dxa"/>
            <w:tcBorders>
              <w:top w:val="nil"/>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20"/>
                <w:szCs w:val="20"/>
                <w:lang w:eastAsia="en-GB"/>
              </w:rPr>
            </w:pPr>
            <w:r w:rsidRPr="00CF3673">
              <w:rPr>
                <w:rFonts w:ascii="Calibri" w:eastAsia="Times New Roman" w:hAnsi="Calibri" w:cs="Times New Roman"/>
                <w:b/>
                <w:bCs/>
                <w:color w:val="000000"/>
                <w:sz w:val="20"/>
                <w:szCs w:val="20"/>
                <w:lang w:eastAsia="en-GB"/>
              </w:rPr>
              <w:t>33</w:t>
            </w:r>
          </w:p>
        </w:tc>
        <w:tc>
          <w:tcPr>
            <w:tcW w:w="938" w:type="dxa"/>
            <w:tcBorders>
              <w:top w:val="nil"/>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20"/>
                <w:szCs w:val="20"/>
                <w:lang w:eastAsia="en-GB"/>
              </w:rPr>
            </w:pPr>
            <w:r w:rsidRPr="00CF3673">
              <w:rPr>
                <w:rFonts w:ascii="Calibri" w:eastAsia="Times New Roman" w:hAnsi="Calibri" w:cs="Times New Roman"/>
                <w:b/>
                <w:bCs/>
                <w:color w:val="000000"/>
                <w:sz w:val="20"/>
                <w:szCs w:val="20"/>
                <w:lang w:eastAsia="en-GB"/>
              </w:rPr>
              <w:t>36</w:t>
            </w:r>
          </w:p>
        </w:tc>
        <w:tc>
          <w:tcPr>
            <w:tcW w:w="1157" w:type="dxa"/>
            <w:tcBorders>
              <w:top w:val="nil"/>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b/>
                <w:bCs/>
                <w:color w:val="000000"/>
                <w:sz w:val="20"/>
                <w:szCs w:val="20"/>
                <w:lang w:eastAsia="en-GB"/>
              </w:rPr>
            </w:pPr>
            <w:r w:rsidRPr="00CF3673">
              <w:rPr>
                <w:rFonts w:ascii="Calibri" w:eastAsia="Times New Roman" w:hAnsi="Calibri" w:cs="Times New Roman"/>
                <w:b/>
                <w:bCs/>
                <w:color w:val="000000"/>
                <w:sz w:val="20"/>
                <w:szCs w:val="20"/>
                <w:lang w:eastAsia="en-GB"/>
              </w:rPr>
              <w:t>6</w:t>
            </w:r>
          </w:p>
        </w:tc>
      </w:tr>
      <w:tr w:rsidR="00376503" w:rsidRPr="00CF3673" w:rsidTr="001057B8">
        <w:trPr>
          <w:trHeight w:val="259"/>
        </w:trPr>
        <w:tc>
          <w:tcPr>
            <w:tcW w:w="4880" w:type="dxa"/>
            <w:tcBorders>
              <w:top w:val="nil"/>
              <w:left w:val="nil"/>
              <w:bottom w:val="single" w:sz="4" w:space="0" w:color="auto"/>
              <w:right w:val="nil"/>
            </w:tcBorders>
            <w:shd w:val="clear" w:color="000000" w:fill="FFFFFF"/>
            <w:noWrap/>
            <w:vAlign w:val="bottom"/>
            <w:hideMark/>
          </w:tcPr>
          <w:p w:rsidR="00376503" w:rsidRPr="00CF3673" w:rsidRDefault="0080475E" w:rsidP="0080475E">
            <w:pPr>
              <w:spacing w:after="0" w:line="240" w:lineRule="auto"/>
              <w:rPr>
                <w:rFonts w:ascii="Calibri" w:eastAsia="Times New Roman" w:hAnsi="Calibri" w:cs="Times New Roman"/>
                <w:i/>
                <w:iCs/>
                <w:color w:val="000000"/>
                <w:sz w:val="20"/>
                <w:szCs w:val="20"/>
                <w:lang w:eastAsia="en-GB"/>
              </w:rPr>
            </w:pPr>
            <w:r w:rsidRPr="00CF3673">
              <w:rPr>
                <w:rFonts w:ascii="Calibri" w:eastAsia="Times New Roman" w:hAnsi="Calibri" w:cs="Times New Roman"/>
                <w:i/>
                <w:iCs/>
                <w:color w:val="000000"/>
                <w:sz w:val="20"/>
                <w:szCs w:val="20"/>
                <w:lang w:eastAsia="en-GB"/>
              </w:rPr>
              <w:t>Se sim, de que falam?</w:t>
            </w:r>
          </w:p>
        </w:tc>
        <w:tc>
          <w:tcPr>
            <w:tcW w:w="893" w:type="dxa"/>
            <w:tcBorders>
              <w:top w:val="nil"/>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893" w:type="dxa"/>
            <w:tcBorders>
              <w:top w:val="nil"/>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893" w:type="dxa"/>
            <w:tcBorders>
              <w:top w:val="nil"/>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938" w:type="dxa"/>
            <w:tcBorders>
              <w:top w:val="nil"/>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1157" w:type="dxa"/>
            <w:tcBorders>
              <w:top w:val="nil"/>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r w:rsidR="00376503" w:rsidRPr="00CF3673" w:rsidTr="001057B8">
        <w:trPr>
          <w:trHeight w:val="259"/>
        </w:trPr>
        <w:tc>
          <w:tcPr>
            <w:tcW w:w="4880" w:type="dxa"/>
            <w:tcBorders>
              <w:top w:val="nil"/>
              <w:left w:val="nil"/>
              <w:bottom w:val="nil"/>
              <w:right w:val="nil"/>
            </w:tcBorders>
            <w:shd w:val="clear" w:color="000000" w:fill="FFFFFF"/>
            <w:noWrap/>
            <w:vAlign w:val="bottom"/>
            <w:hideMark/>
          </w:tcPr>
          <w:p w:rsidR="00376503" w:rsidRPr="00CF3673" w:rsidRDefault="001D6EE9" w:rsidP="0080475E">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Novas inovações</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52.6</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27.3</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47.4</w:t>
            </w:r>
          </w:p>
        </w:tc>
        <w:tc>
          <w:tcPr>
            <w:tcW w:w="93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66.7</w:t>
            </w:r>
          </w:p>
        </w:tc>
        <w:tc>
          <w:tcPr>
            <w:tcW w:w="115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r w:rsidR="00376503" w:rsidRPr="00CF3673" w:rsidTr="001057B8">
        <w:trPr>
          <w:trHeight w:val="259"/>
        </w:trPr>
        <w:tc>
          <w:tcPr>
            <w:tcW w:w="4880" w:type="dxa"/>
            <w:tcBorders>
              <w:top w:val="nil"/>
              <w:left w:val="nil"/>
              <w:bottom w:val="nil"/>
              <w:right w:val="nil"/>
            </w:tcBorders>
            <w:shd w:val="clear" w:color="000000" w:fill="FFFFFF"/>
            <w:noWrap/>
            <w:vAlign w:val="bottom"/>
            <w:hideMark/>
          </w:tcPr>
          <w:p w:rsidR="00376503" w:rsidRPr="00CF3673" w:rsidRDefault="0080475E"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Sobre os fornecedores</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61.4</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36.4</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52.6</w:t>
            </w:r>
          </w:p>
        </w:tc>
        <w:tc>
          <w:tcPr>
            <w:tcW w:w="93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77.8</w:t>
            </w:r>
          </w:p>
        </w:tc>
        <w:tc>
          <w:tcPr>
            <w:tcW w:w="115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r w:rsidR="00376503" w:rsidRPr="00CF3673" w:rsidTr="001057B8">
        <w:trPr>
          <w:trHeight w:val="259"/>
        </w:trPr>
        <w:tc>
          <w:tcPr>
            <w:tcW w:w="4880" w:type="dxa"/>
            <w:tcBorders>
              <w:top w:val="nil"/>
              <w:left w:val="nil"/>
              <w:bottom w:val="nil"/>
              <w:right w:val="nil"/>
            </w:tcBorders>
            <w:shd w:val="clear" w:color="000000" w:fill="FFFFFF"/>
            <w:noWrap/>
            <w:vAlign w:val="bottom"/>
            <w:hideMark/>
          </w:tcPr>
          <w:p w:rsidR="00376503" w:rsidRPr="00CF3673" w:rsidRDefault="0080475E"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Sobre os clientes</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63.2</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54.5</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47.4</w:t>
            </w:r>
          </w:p>
        </w:tc>
        <w:tc>
          <w:tcPr>
            <w:tcW w:w="93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77.8</w:t>
            </w:r>
          </w:p>
        </w:tc>
        <w:tc>
          <w:tcPr>
            <w:tcW w:w="115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r w:rsidR="00376503" w:rsidRPr="00CF3673" w:rsidTr="001057B8">
        <w:trPr>
          <w:trHeight w:val="259"/>
        </w:trPr>
        <w:tc>
          <w:tcPr>
            <w:tcW w:w="4880" w:type="dxa"/>
            <w:tcBorders>
              <w:top w:val="nil"/>
              <w:left w:val="nil"/>
              <w:bottom w:val="nil"/>
              <w:right w:val="nil"/>
            </w:tcBorders>
            <w:shd w:val="clear" w:color="000000" w:fill="FFFFFF"/>
            <w:noWrap/>
            <w:vAlign w:val="bottom"/>
            <w:hideMark/>
          </w:tcPr>
          <w:p w:rsidR="00376503" w:rsidRPr="00CF3673" w:rsidRDefault="0080475E"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Acesso ao crédito bancário</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36.8</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27.3</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21.1</w:t>
            </w:r>
          </w:p>
        </w:tc>
        <w:tc>
          <w:tcPr>
            <w:tcW w:w="93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51.9</w:t>
            </w:r>
          </w:p>
        </w:tc>
        <w:tc>
          <w:tcPr>
            <w:tcW w:w="115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r w:rsidR="00376503" w:rsidRPr="00CF3673" w:rsidTr="001057B8">
        <w:trPr>
          <w:trHeight w:val="259"/>
        </w:trPr>
        <w:tc>
          <w:tcPr>
            <w:tcW w:w="4880" w:type="dxa"/>
            <w:tcBorders>
              <w:top w:val="nil"/>
              <w:left w:val="nil"/>
              <w:bottom w:val="nil"/>
              <w:right w:val="nil"/>
            </w:tcBorders>
            <w:shd w:val="clear" w:color="000000" w:fill="FFFFFF"/>
            <w:noWrap/>
            <w:vAlign w:val="bottom"/>
            <w:hideMark/>
          </w:tcPr>
          <w:p w:rsidR="00376503" w:rsidRPr="00CF3673" w:rsidRDefault="0080475E"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Oportunidade de crédito informal</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14.0</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9.1</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5.3</w:t>
            </w:r>
          </w:p>
        </w:tc>
        <w:tc>
          <w:tcPr>
            <w:tcW w:w="93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22.2</w:t>
            </w:r>
          </w:p>
        </w:tc>
        <w:tc>
          <w:tcPr>
            <w:tcW w:w="115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r w:rsidR="00376503" w:rsidRPr="00CF3673" w:rsidTr="001057B8">
        <w:trPr>
          <w:trHeight w:val="259"/>
        </w:trPr>
        <w:tc>
          <w:tcPr>
            <w:tcW w:w="4880" w:type="dxa"/>
            <w:tcBorders>
              <w:top w:val="nil"/>
              <w:left w:val="nil"/>
              <w:bottom w:val="nil"/>
              <w:right w:val="nil"/>
            </w:tcBorders>
            <w:shd w:val="clear" w:color="000000" w:fill="FFFFFF"/>
            <w:noWrap/>
            <w:vAlign w:val="bottom"/>
            <w:hideMark/>
          </w:tcPr>
          <w:p w:rsidR="00376503" w:rsidRPr="00CF3673" w:rsidRDefault="0080475E"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xml:space="preserve">Nova legislação </w:t>
            </w:r>
            <w:r w:rsidR="006A4724" w:rsidRPr="00CF3673">
              <w:rPr>
                <w:rFonts w:ascii="Calibri" w:eastAsia="Times New Roman" w:hAnsi="Calibri" w:cs="Times New Roman"/>
                <w:color w:val="000000"/>
                <w:sz w:val="20"/>
                <w:szCs w:val="20"/>
                <w:lang w:eastAsia="en-GB"/>
              </w:rPr>
              <w:t>governamental</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59.6</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18.2</w:t>
            </w: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57.9</w:t>
            </w:r>
          </w:p>
        </w:tc>
        <w:tc>
          <w:tcPr>
            <w:tcW w:w="93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77.8</w:t>
            </w:r>
          </w:p>
        </w:tc>
        <w:tc>
          <w:tcPr>
            <w:tcW w:w="115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r w:rsidR="00376503" w:rsidRPr="00CF3673" w:rsidTr="001057B8">
        <w:trPr>
          <w:trHeight w:val="274"/>
        </w:trPr>
        <w:tc>
          <w:tcPr>
            <w:tcW w:w="4880" w:type="dxa"/>
            <w:tcBorders>
              <w:top w:val="nil"/>
              <w:left w:val="nil"/>
              <w:bottom w:val="double" w:sz="6" w:space="0" w:color="auto"/>
              <w:right w:val="nil"/>
            </w:tcBorders>
            <w:shd w:val="clear" w:color="000000" w:fill="FFFFFF"/>
            <w:noWrap/>
            <w:vAlign w:val="bottom"/>
            <w:hideMark/>
          </w:tcPr>
          <w:p w:rsidR="00376503" w:rsidRPr="00CF3673" w:rsidRDefault="006A4724" w:rsidP="0080475E">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Acesso</w:t>
            </w:r>
            <w:r w:rsidR="0080475E" w:rsidRPr="00CF3673">
              <w:rPr>
                <w:rFonts w:ascii="Calibri" w:eastAsia="Times New Roman" w:hAnsi="Calibri" w:cs="Times New Roman"/>
                <w:color w:val="000000"/>
                <w:sz w:val="20"/>
                <w:szCs w:val="20"/>
                <w:lang w:eastAsia="en-GB"/>
              </w:rPr>
              <w:t xml:space="preserve"> aos recursos</w:t>
            </w:r>
            <w:r w:rsidR="00376503" w:rsidRPr="00CF3673">
              <w:rPr>
                <w:rFonts w:ascii="Calibri" w:eastAsia="Times New Roman" w:hAnsi="Calibri" w:cs="Times New Roman"/>
                <w:color w:val="000000"/>
                <w:sz w:val="20"/>
                <w:szCs w:val="20"/>
                <w:lang w:eastAsia="en-GB"/>
              </w:rPr>
              <w:t xml:space="preserve"> (in</w:t>
            </w:r>
            <w:r w:rsidR="0080475E" w:rsidRPr="00CF3673">
              <w:rPr>
                <w:rFonts w:ascii="Calibri" w:eastAsia="Times New Roman" w:hAnsi="Calibri" w:cs="Times New Roman"/>
                <w:color w:val="000000"/>
                <w:sz w:val="20"/>
                <w:szCs w:val="20"/>
                <w:lang w:eastAsia="en-GB"/>
              </w:rPr>
              <w:t>sumo</w:t>
            </w:r>
            <w:r w:rsidR="00376503" w:rsidRPr="00CF3673">
              <w:rPr>
                <w:rFonts w:ascii="Calibri" w:eastAsia="Times New Roman" w:hAnsi="Calibri" w:cs="Times New Roman"/>
                <w:color w:val="000000"/>
                <w:sz w:val="20"/>
                <w:szCs w:val="20"/>
                <w:lang w:eastAsia="en-GB"/>
              </w:rPr>
              <w:t>)</w:t>
            </w:r>
          </w:p>
        </w:tc>
        <w:tc>
          <w:tcPr>
            <w:tcW w:w="893"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61.4</w:t>
            </w:r>
          </w:p>
        </w:tc>
        <w:tc>
          <w:tcPr>
            <w:tcW w:w="893"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45.5</w:t>
            </w:r>
          </w:p>
        </w:tc>
        <w:tc>
          <w:tcPr>
            <w:tcW w:w="893"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52.6</w:t>
            </w:r>
          </w:p>
        </w:tc>
        <w:tc>
          <w:tcPr>
            <w:tcW w:w="938"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74.1</w:t>
            </w:r>
          </w:p>
        </w:tc>
        <w:tc>
          <w:tcPr>
            <w:tcW w:w="1157"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r w:rsidR="00376503" w:rsidRPr="00CF3673" w:rsidTr="001057B8">
        <w:trPr>
          <w:trHeight w:val="503"/>
        </w:trPr>
        <w:tc>
          <w:tcPr>
            <w:tcW w:w="9654" w:type="dxa"/>
            <w:gridSpan w:val="6"/>
            <w:tcBorders>
              <w:top w:val="double" w:sz="6" w:space="0" w:color="auto"/>
              <w:left w:val="nil"/>
              <w:bottom w:val="nil"/>
              <w:right w:val="nil"/>
            </w:tcBorders>
            <w:shd w:val="clear" w:color="000000" w:fill="FFFFFF"/>
            <w:vAlign w:val="center"/>
            <w:hideMark/>
          </w:tcPr>
          <w:p w:rsidR="00376503" w:rsidRPr="00CF3673" w:rsidRDefault="00376503" w:rsidP="00B578FE">
            <w:pPr>
              <w:spacing w:after="0" w:line="240" w:lineRule="auto"/>
              <w:rPr>
                <w:rFonts w:ascii="Calibri" w:eastAsia="Times New Roman" w:hAnsi="Calibri" w:cs="Times New Roman"/>
                <w:b/>
                <w:bCs/>
                <w:color w:val="000000"/>
                <w:sz w:val="18"/>
                <w:szCs w:val="18"/>
                <w:lang w:eastAsia="en-GB"/>
              </w:rPr>
            </w:pPr>
            <w:r w:rsidRPr="00CF3673">
              <w:rPr>
                <w:rFonts w:ascii="Calibri" w:eastAsia="Times New Roman" w:hAnsi="Calibri" w:cs="Times New Roman"/>
                <w:b/>
                <w:bCs/>
                <w:color w:val="000000"/>
                <w:sz w:val="18"/>
                <w:szCs w:val="18"/>
                <w:lang w:eastAsia="en-GB"/>
              </w:rPr>
              <w:t>Not</w:t>
            </w:r>
            <w:r w:rsidR="00B578FE" w:rsidRPr="00CF3673">
              <w:rPr>
                <w:rFonts w:ascii="Calibri" w:eastAsia="Times New Roman" w:hAnsi="Calibri" w:cs="Times New Roman"/>
                <w:b/>
                <w:bCs/>
                <w:color w:val="000000"/>
                <w:sz w:val="18"/>
                <w:szCs w:val="18"/>
                <w:lang w:eastAsia="en-GB"/>
              </w:rPr>
              <w:t>a</w:t>
            </w:r>
            <w:r w:rsidR="001057B8" w:rsidRPr="00CF3673">
              <w:rPr>
                <w:rFonts w:ascii="Calibri" w:eastAsia="Times New Roman" w:hAnsi="Calibri" w:cs="Times New Roman"/>
                <w:color w:val="000000"/>
                <w:sz w:val="18"/>
                <w:szCs w:val="18"/>
                <w:lang w:eastAsia="en-GB"/>
              </w:rPr>
              <w:t xml:space="preserve">: </w:t>
            </w:r>
            <w:r w:rsidRPr="00CF3673">
              <w:rPr>
                <w:rFonts w:ascii="Calibri" w:eastAsia="Times New Roman" w:hAnsi="Calibri" w:cs="Times New Roman"/>
                <w:color w:val="000000"/>
                <w:sz w:val="18"/>
                <w:szCs w:val="18"/>
                <w:lang w:eastAsia="en-GB"/>
              </w:rPr>
              <w:t>N</w:t>
            </w:r>
            <w:r w:rsidR="00B578FE" w:rsidRPr="00CF3673">
              <w:rPr>
                <w:rFonts w:ascii="Calibri" w:eastAsia="Times New Roman" w:hAnsi="Calibri" w:cs="Times New Roman"/>
                <w:color w:val="000000"/>
                <w:sz w:val="18"/>
                <w:szCs w:val="18"/>
                <w:lang w:eastAsia="en-GB"/>
              </w:rPr>
              <w:t>úmero de observações em negrito</w:t>
            </w:r>
            <w:r w:rsidRPr="00CF3673">
              <w:rPr>
                <w:rFonts w:ascii="Calibri" w:eastAsia="Times New Roman" w:hAnsi="Calibri" w:cs="Times New Roman"/>
                <w:color w:val="000000"/>
                <w:sz w:val="18"/>
                <w:szCs w:val="18"/>
                <w:lang w:eastAsia="en-GB"/>
              </w:rPr>
              <w:t xml:space="preserve">. </w:t>
            </w:r>
            <w:r w:rsidR="00B578FE" w:rsidRPr="00CF3673">
              <w:rPr>
                <w:rFonts w:ascii="Calibri" w:eastAsia="Times New Roman" w:hAnsi="Calibri" w:cs="Times New Roman"/>
                <w:color w:val="000000"/>
                <w:sz w:val="18"/>
                <w:szCs w:val="18"/>
                <w:lang w:eastAsia="en-GB"/>
              </w:rPr>
              <w:t>Em falta é o número de observações comparadas com o número das empresas filiadas.</w:t>
            </w:r>
          </w:p>
        </w:tc>
      </w:tr>
      <w:tr w:rsidR="00376503" w:rsidRPr="00CF3673" w:rsidTr="001057B8">
        <w:trPr>
          <w:trHeight w:val="305"/>
        </w:trPr>
        <w:tc>
          <w:tcPr>
            <w:tcW w:w="4880" w:type="dxa"/>
            <w:tcBorders>
              <w:top w:val="nil"/>
              <w:left w:val="nil"/>
              <w:bottom w:val="nil"/>
              <w:right w:val="nil"/>
            </w:tcBorders>
            <w:shd w:val="clear" w:color="000000" w:fill="FFFFFF"/>
            <w:noWrap/>
            <w:vAlign w:val="center"/>
            <w:hideMark/>
          </w:tcPr>
          <w:p w:rsidR="00376503" w:rsidRPr="00CF3673" w:rsidRDefault="00B578FE" w:rsidP="00B578FE">
            <w:pPr>
              <w:spacing w:after="0" w:line="240" w:lineRule="auto"/>
              <w:rPr>
                <w:rFonts w:ascii="Calibri" w:eastAsia="Times New Roman" w:hAnsi="Calibri" w:cs="Times New Roman"/>
                <w:b/>
                <w:bCs/>
                <w:color w:val="000000"/>
                <w:sz w:val="18"/>
                <w:szCs w:val="18"/>
                <w:lang w:eastAsia="en-GB"/>
              </w:rPr>
            </w:pPr>
            <w:r w:rsidRPr="00CF3673">
              <w:rPr>
                <w:rFonts w:ascii="Calibri" w:eastAsia="Times New Roman" w:hAnsi="Calibri" w:cs="Times New Roman"/>
                <w:b/>
                <w:bCs/>
                <w:color w:val="000000"/>
                <w:sz w:val="18"/>
                <w:szCs w:val="18"/>
                <w:lang w:eastAsia="en-GB"/>
              </w:rPr>
              <w:t>Fonte:</w:t>
            </w:r>
            <w:r w:rsidR="0071433C" w:rsidRPr="00CF3673">
              <w:rPr>
                <w:rFonts w:ascii="Calibri" w:eastAsia="Times New Roman" w:hAnsi="Calibri" w:cs="Times New Roman"/>
                <w:b/>
                <w:bCs/>
                <w:color w:val="000000"/>
                <w:sz w:val="18"/>
                <w:szCs w:val="18"/>
                <w:lang w:eastAsia="en-GB"/>
              </w:rPr>
              <w:t xml:space="preserve"> </w:t>
            </w:r>
            <w:r w:rsidR="006A4724" w:rsidRPr="00CF3673">
              <w:rPr>
                <w:rFonts w:ascii="Calibri" w:eastAsia="Times New Roman" w:hAnsi="Calibri" w:cs="Times New Roman"/>
                <w:color w:val="000000"/>
                <w:sz w:val="18"/>
                <w:szCs w:val="18"/>
                <w:lang w:eastAsia="en-GB"/>
              </w:rPr>
              <w:t>Cálculos</w:t>
            </w:r>
            <w:r w:rsidRPr="00CF3673">
              <w:rPr>
                <w:rFonts w:ascii="Calibri" w:eastAsia="Times New Roman" w:hAnsi="Calibri" w:cs="Times New Roman"/>
                <w:color w:val="000000"/>
                <w:sz w:val="18"/>
                <w:szCs w:val="18"/>
                <w:lang w:eastAsia="en-GB"/>
              </w:rPr>
              <w:t xml:space="preserve"> </w:t>
            </w:r>
            <w:r w:rsidR="0071433C" w:rsidRPr="00CF3673">
              <w:rPr>
                <w:rFonts w:ascii="Calibri" w:eastAsia="Times New Roman" w:hAnsi="Calibri" w:cs="Times New Roman"/>
                <w:color w:val="000000"/>
                <w:sz w:val="18"/>
                <w:szCs w:val="18"/>
                <w:lang w:eastAsia="en-GB"/>
              </w:rPr>
              <w:t xml:space="preserve">dos autores </w:t>
            </w:r>
            <w:r w:rsidRPr="00CF3673">
              <w:rPr>
                <w:rFonts w:ascii="Calibri" w:eastAsia="Times New Roman" w:hAnsi="Calibri" w:cs="Times New Roman"/>
                <w:color w:val="000000"/>
                <w:sz w:val="18"/>
                <w:szCs w:val="18"/>
                <w:lang w:eastAsia="en-GB"/>
              </w:rPr>
              <w:t xml:space="preserve">com base no </w:t>
            </w:r>
            <w:r w:rsidR="00376503" w:rsidRPr="00CF3673">
              <w:rPr>
                <w:rFonts w:ascii="Calibri" w:eastAsia="Times New Roman" w:hAnsi="Calibri" w:cs="Times New Roman"/>
                <w:color w:val="000000"/>
                <w:sz w:val="18"/>
                <w:szCs w:val="18"/>
                <w:lang w:eastAsia="en-GB"/>
              </w:rPr>
              <w:t>IIM 2012</w:t>
            </w:r>
          </w:p>
        </w:tc>
        <w:tc>
          <w:tcPr>
            <w:tcW w:w="893" w:type="dxa"/>
            <w:tcBorders>
              <w:top w:val="nil"/>
              <w:left w:val="nil"/>
              <w:bottom w:val="nil"/>
              <w:right w:val="nil"/>
            </w:tcBorders>
            <w:shd w:val="clear" w:color="000000" w:fill="FFFFFF"/>
            <w:noWrap/>
            <w:vAlign w:val="center"/>
            <w:hideMark/>
          </w:tcPr>
          <w:p w:rsidR="00376503" w:rsidRPr="00CF3673" w:rsidRDefault="00376503" w:rsidP="00063143">
            <w:pPr>
              <w:spacing w:after="0" w:line="240" w:lineRule="auto"/>
              <w:rPr>
                <w:rFonts w:ascii="Calibri" w:eastAsia="Times New Roman" w:hAnsi="Calibri" w:cs="Times New Roman"/>
                <w:b/>
                <w:bCs/>
                <w:color w:val="000000"/>
                <w:sz w:val="18"/>
                <w:szCs w:val="18"/>
                <w:lang w:eastAsia="en-GB"/>
              </w:rPr>
            </w:pPr>
            <w:r w:rsidRPr="00CF3673">
              <w:rPr>
                <w:rFonts w:ascii="Calibri" w:eastAsia="Times New Roman" w:hAnsi="Calibri" w:cs="Times New Roman"/>
                <w:b/>
                <w:bCs/>
                <w:color w:val="000000"/>
                <w:sz w:val="18"/>
                <w:szCs w:val="18"/>
                <w:lang w:eastAsia="en-GB"/>
              </w:rPr>
              <w:t> </w:t>
            </w:r>
          </w:p>
        </w:tc>
        <w:tc>
          <w:tcPr>
            <w:tcW w:w="893" w:type="dxa"/>
            <w:tcBorders>
              <w:top w:val="nil"/>
              <w:left w:val="nil"/>
              <w:bottom w:val="nil"/>
              <w:right w:val="nil"/>
            </w:tcBorders>
            <w:shd w:val="clear" w:color="auto" w:fill="auto"/>
            <w:noWrap/>
            <w:vAlign w:val="center"/>
            <w:hideMark/>
          </w:tcPr>
          <w:p w:rsidR="00376503" w:rsidRPr="00CF3673" w:rsidRDefault="00376503" w:rsidP="00063143">
            <w:pPr>
              <w:spacing w:after="0" w:line="240" w:lineRule="auto"/>
              <w:rPr>
                <w:rFonts w:ascii="Calibri" w:eastAsia="Times New Roman" w:hAnsi="Calibri" w:cs="Times New Roman"/>
                <w:color w:val="000000"/>
                <w:lang w:eastAsia="en-GB"/>
              </w:rPr>
            </w:pPr>
          </w:p>
        </w:tc>
        <w:tc>
          <w:tcPr>
            <w:tcW w:w="89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938"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1157"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bl>
    <w:p w:rsidR="00B578FE" w:rsidRPr="00CF3673" w:rsidRDefault="00B578FE" w:rsidP="001E664B">
      <w:pPr>
        <w:pStyle w:val="MainText"/>
        <w:rPr>
          <w:lang w:val="pt-PT"/>
        </w:rPr>
      </w:pPr>
    </w:p>
    <w:p w:rsidR="00BB57C8" w:rsidRPr="00CF3673" w:rsidRDefault="00BB57C8" w:rsidP="001E664B">
      <w:pPr>
        <w:pStyle w:val="MainText"/>
        <w:rPr>
          <w:lang w:val="pt-PT"/>
        </w:rPr>
      </w:pPr>
      <w:r w:rsidRPr="00CF3673">
        <w:rPr>
          <w:lang w:val="pt-PT"/>
        </w:rPr>
        <w:t xml:space="preserve">A tabela 8.6 especifica os </w:t>
      </w:r>
      <w:r w:rsidR="006A4724" w:rsidRPr="00CF3673">
        <w:rPr>
          <w:lang w:val="pt-PT"/>
        </w:rPr>
        <w:t>tópicos</w:t>
      </w:r>
      <w:r w:rsidRPr="00CF3673">
        <w:rPr>
          <w:lang w:val="pt-PT"/>
        </w:rPr>
        <w:t xml:space="preserve"> normalmente discutidos entre as empresas membros da associação. Estas tendem a discutir questões de fornecedores, clientes e nova legislação, sendo que a ultima é prevalecente ao nível das pequenas e medias empresas. Para as </w:t>
      </w:r>
      <w:r w:rsidR="006A4724" w:rsidRPr="00CF3673">
        <w:rPr>
          <w:lang w:val="pt-PT"/>
        </w:rPr>
        <w:t>microempresas</w:t>
      </w:r>
      <w:r w:rsidRPr="00CF3673">
        <w:rPr>
          <w:lang w:val="pt-PT"/>
        </w:rPr>
        <w:t>, o segundo tópico mais discutido entre os membros é como aceder aos recursos em forma de insumos.</w:t>
      </w:r>
    </w:p>
    <w:p w:rsidR="00BB57C8" w:rsidRPr="00CF3673" w:rsidRDefault="00BB57C8" w:rsidP="00F64076">
      <w:pPr>
        <w:pStyle w:val="MainText"/>
        <w:rPr>
          <w:lang w:val="pt-PT"/>
        </w:rPr>
      </w:pPr>
      <w:r w:rsidRPr="00CF3673">
        <w:rPr>
          <w:lang w:val="pt-PT"/>
        </w:rPr>
        <w:t xml:space="preserve">A tabela 8.7 alista as razões para não filiação por tamanho de empresas e a nacionalidade do proprietário. </w:t>
      </w:r>
      <w:r w:rsidR="006A4724" w:rsidRPr="00CF3673">
        <w:rPr>
          <w:lang w:val="pt-PT"/>
        </w:rPr>
        <w:t>Independente</w:t>
      </w:r>
      <w:r w:rsidRPr="00CF3673">
        <w:rPr>
          <w:lang w:val="pt-PT"/>
        </w:rPr>
        <w:t xml:space="preserve"> do tamanho e da nacionalidade do proprietário, mais de 50% das empresas não estão filiadas em nenhuma associação empresarial </w:t>
      </w:r>
      <w:r w:rsidR="00022D56" w:rsidRPr="00CF3673">
        <w:rPr>
          <w:lang w:val="pt-PT"/>
        </w:rPr>
        <w:t xml:space="preserve">porque segunda estas não existe associação empresarial relevante. Uma outra razão importante para não-filiação é percepção de que as associações existentes não trazem resultados tangíveis. Interessantemente, entre 8 a 25% das empresas não são membros devido a falta de ligações com outros membros das associações empresariais e as autoridades das associações, respectivamente. Esta é uma situação infeliz se </w:t>
      </w:r>
      <w:r w:rsidR="00D6481A" w:rsidRPr="00CF3673">
        <w:rPr>
          <w:lang w:val="pt-PT"/>
        </w:rPr>
        <w:t>as associações empresariais devem jogar papel importante no futuro desenvolvimento do ambiente de negócios em Moçambique.</w:t>
      </w:r>
    </w:p>
    <w:p w:rsidR="00376503" w:rsidRPr="00CF3673" w:rsidRDefault="006A4724" w:rsidP="00376503">
      <w:pPr>
        <w:pStyle w:val="TableTitle"/>
        <w:rPr>
          <w:lang w:val="pt-PT"/>
        </w:rPr>
      </w:pPr>
      <w:bookmarkStart w:id="69" w:name="_Toc360720493"/>
      <w:r w:rsidRPr="00CF3673">
        <w:rPr>
          <w:lang w:val="pt-PT"/>
        </w:rPr>
        <w:lastRenderedPageBreak/>
        <w:t>Tabela</w:t>
      </w:r>
      <w:r w:rsidR="00376503" w:rsidRPr="00CF3673">
        <w:rPr>
          <w:lang w:val="pt-PT"/>
        </w:rPr>
        <w:t xml:space="preserve"> 8.</w:t>
      </w:r>
      <w:r w:rsidR="00B2651F" w:rsidRPr="00CF3673">
        <w:rPr>
          <w:lang w:val="pt-PT"/>
        </w:rPr>
        <w:t>7</w:t>
      </w:r>
      <w:r w:rsidR="00376503" w:rsidRPr="00CF3673">
        <w:rPr>
          <w:lang w:val="pt-PT"/>
        </w:rPr>
        <w:t xml:space="preserve">: </w:t>
      </w:r>
      <w:r w:rsidR="00564892" w:rsidRPr="00CF3673">
        <w:rPr>
          <w:lang w:val="pt-PT"/>
        </w:rPr>
        <w:t>Razões para não filiação</w:t>
      </w:r>
      <w:bookmarkEnd w:id="69"/>
    </w:p>
    <w:tbl>
      <w:tblPr>
        <w:tblW w:w="9723" w:type="dxa"/>
        <w:tblInd w:w="93" w:type="dxa"/>
        <w:tblLook w:val="04A0" w:firstRow="1" w:lastRow="0" w:firstColumn="1" w:lastColumn="0" w:noHBand="0" w:noVBand="1"/>
      </w:tblPr>
      <w:tblGrid>
        <w:gridCol w:w="3975"/>
        <w:gridCol w:w="732"/>
        <w:gridCol w:w="893"/>
        <w:gridCol w:w="867"/>
        <w:gridCol w:w="1389"/>
        <w:gridCol w:w="1173"/>
        <w:gridCol w:w="732"/>
      </w:tblGrid>
      <w:tr w:rsidR="00564892" w:rsidRPr="00CF3673" w:rsidTr="00063143">
        <w:trPr>
          <w:trHeight w:val="270"/>
        </w:trPr>
        <w:tc>
          <w:tcPr>
            <w:tcW w:w="4180" w:type="dxa"/>
            <w:tcBorders>
              <w:top w:val="double" w:sz="6" w:space="0" w:color="auto"/>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760" w:type="dxa"/>
            <w:tcBorders>
              <w:top w:val="double" w:sz="6" w:space="0" w:color="auto"/>
              <w:left w:val="nil"/>
              <w:bottom w:val="single" w:sz="4"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Micro</w:t>
            </w:r>
          </w:p>
        </w:tc>
        <w:tc>
          <w:tcPr>
            <w:tcW w:w="760" w:type="dxa"/>
            <w:tcBorders>
              <w:top w:val="double" w:sz="6" w:space="0" w:color="auto"/>
              <w:left w:val="nil"/>
              <w:bottom w:val="single" w:sz="4" w:space="0" w:color="auto"/>
              <w:right w:val="nil"/>
            </w:tcBorders>
            <w:shd w:val="clear" w:color="000000" w:fill="FFFFFF"/>
            <w:noWrap/>
            <w:vAlign w:val="bottom"/>
            <w:hideMark/>
          </w:tcPr>
          <w:p w:rsidR="00376503" w:rsidRPr="00CF3673" w:rsidRDefault="00564892" w:rsidP="00564892">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Pequena</w:t>
            </w:r>
          </w:p>
        </w:tc>
        <w:tc>
          <w:tcPr>
            <w:tcW w:w="903" w:type="dxa"/>
            <w:tcBorders>
              <w:top w:val="double" w:sz="6" w:space="0" w:color="auto"/>
              <w:left w:val="nil"/>
              <w:bottom w:val="single" w:sz="4" w:space="0" w:color="auto"/>
              <w:right w:val="nil"/>
            </w:tcBorders>
            <w:shd w:val="clear" w:color="000000" w:fill="FFFFFF"/>
            <w:noWrap/>
            <w:vAlign w:val="bottom"/>
            <w:hideMark/>
          </w:tcPr>
          <w:p w:rsidR="00376503" w:rsidRPr="00CF3673" w:rsidRDefault="00376503" w:rsidP="00564892">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Medi</w:t>
            </w:r>
            <w:r w:rsidR="00564892" w:rsidRPr="00CF3673">
              <w:rPr>
                <w:rFonts w:ascii="Calibri" w:eastAsia="Times New Roman" w:hAnsi="Calibri" w:cs="Times New Roman"/>
                <w:color w:val="000000"/>
                <w:sz w:val="20"/>
                <w:szCs w:val="20"/>
                <w:lang w:eastAsia="en-GB"/>
              </w:rPr>
              <w:t>a</w:t>
            </w:r>
          </w:p>
        </w:tc>
        <w:tc>
          <w:tcPr>
            <w:tcW w:w="1180" w:type="dxa"/>
            <w:tcBorders>
              <w:top w:val="double" w:sz="6" w:space="0" w:color="auto"/>
              <w:left w:val="nil"/>
              <w:bottom w:val="single" w:sz="4" w:space="0" w:color="auto"/>
              <w:right w:val="nil"/>
            </w:tcBorders>
            <w:shd w:val="clear" w:color="000000" w:fill="FFFFFF"/>
            <w:noWrap/>
            <w:vAlign w:val="bottom"/>
            <w:hideMark/>
          </w:tcPr>
          <w:p w:rsidR="00376503" w:rsidRPr="00CF3673" w:rsidRDefault="00564892" w:rsidP="00564892">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xml:space="preserve">Detidas por </w:t>
            </w:r>
            <w:proofErr w:type="spellStart"/>
            <w:r w:rsidRPr="00CF3673">
              <w:rPr>
                <w:rFonts w:ascii="Calibri" w:eastAsia="Times New Roman" w:hAnsi="Calibri" w:cs="Times New Roman"/>
                <w:color w:val="000000"/>
                <w:sz w:val="20"/>
                <w:szCs w:val="20"/>
                <w:lang w:eastAsia="en-GB"/>
              </w:rPr>
              <w:t>Mocambicanos</w:t>
            </w:r>
            <w:proofErr w:type="spellEnd"/>
          </w:p>
        </w:tc>
        <w:tc>
          <w:tcPr>
            <w:tcW w:w="1180" w:type="dxa"/>
            <w:tcBorders>
              <w:top w:val="double" w:sz="6" w:space="0" w:color="auto"/>
              <w:left w:val="nil"/>
              <w:bottom w:val="single" w:sz="4" w:space="0" w:color="auto"/>
              <w:right w:val="nil"/>
            </w:tcBorders>
            <w:shd w:val="clear" w:color="000000" w:fill="FFFFFF"/>
            <w:noWrap/>
            <w:vAlign w:val="bottom"/>
            <w:hideMark/>
          </w:tcPr>
          <w:p w:rsidR="00376503" w:rsidRPr="00CF3673" w:rsidRDefault="00564892" w:rsidP="00564892">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Detidas por estrangeiros</w:t>
            </w:r>
          </w:p>
        </w:tc>
        <w:tc>
          <w:tcPr>
            <w:tcW w:w="760" w:type="dxa"/>
            <w:tcBorders>
              <w:top w:val="double" w:sz="6" w:space="0" w:color="auto"/>
              <w:left w:val="nil"/>
              <w:bottom w:val="single" w:sz="4" w:space="0" w:color="auto"/>
              <w:right w:val="nil"/>
            </w:tcBorders>
            <w:shd w:val="clear" w:color="000000" w:fill="FFFFFF"/>
            <w:vAlign w:val="bottom"/>
            <w:hideMark/>
          </w:tcPr>
          <w:p w:rsidR="00376503" w:rsidRPr="00CF3673" w:rsidRDefault="00564892"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Todos</w:t>
            </w:r>
          </w:p>
        </w:tc>
      </w:tr>
      <w:tr w:rsidR="00564892" w:rsidRPr="00CF3673" w:rsidTr="00063143">
        <w:trPr>
          <w:trHeight w:val="255"/>
        </w:trPr>
        <w:tc>
          <w:tcPr>
            <w:tcW w:w="4180" w:type="dxa"/>
            <w:tcBorders>
              <w:top w:val="single" w:sz="4" w:space="0" w:color="auto"/>
              <w:left w:val="nil"/>
              <w:bottom w:val="nil"/>
              <w:right w:val="nil"/>
            </w:tcBorders>
            <w:shd w:val="clear" w:color="000000" w:fill="FFFFFF"/>
            <w:noWrap/>
            <w:vAlign w:val="bottom"/>
            <w:hideMark/>
          </w:tcPr>
          <w:p w:rsidR="00376503" w:rsidRPr="00CF3673" w:rsidRDefault="00941EDF"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Associação não relevante</w:t>
            </w:r>
          </w:p>
        </w:tc>
        <w:tc>
          <w:tcPr>
            <w:tcW w:w="76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63.1</w:t>
            </w:r>
          </w:p>
        </w:tc>
        <w:tc>
          <w:tcPr>
            <w:tcW w:w="76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63.6</w:t>
            </w:r>
          </w:p>
        </w:tc>
        <w:tc>
          <w:tcPr>
            <w:tcW w:w="903"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54.2</w:t>
            </w:r>
          </w:p>
        </w:tc>
        <w:tc>
          <w:tcPr>
            <w:tcW w:w="118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63.6</w:t>
            </w:r>
          </w:p>
        </w:tc>
        <w:tc>
          <w:tcPr>
            <w:tcW w:w="118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55.4</w:t>
            </w:r>
          </w:p>
        </w:tc>
        <w:tc>
          <w:tcPr>
            <w:tcW w:w="760" w:type="dxa"/>
            <w:tcBorders>
              <w:top w:val="single" w:sz="4" w:space="0" w:color="auto"/>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62.9</w:t>
            </w:r>
          </w:p>
        </w:tc>
      </w:tr>
      <w:tr w:rsidR="00564892" w:rsidRPr="00CF3673" w:rsidTr="00063143">
        <w:trPr>
          <w:trHeight w:val="255"/>
        </w:trPr>
        <w:tc>
          <w:tcPr>
            <w:tcW w:w="4180" w:type="dxa"/>
            <w:tcBorders>
              <w:top w:val="nil"/>
              <w:left w:val="nil"/>
              <w:bottom w:val="nil"/>
              <w:right w:val="nil"/>
            </w:tcBorders>
            <w:shd w:val="clear" w:color="000000" w:fill="FFFFFF"/>
            <w:noWrap/>
            <w:vAlign w:val="bottom"/>
            <w:hideMark/>
          </w:tcPr>
          <w:p w:rsidR="00376503" w:rsidRPr="00CF3673" w:rsidRDefault="00941EDF"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xml:space="preserve">Não resultados </w:t>
            </w:r>
            <w:r w:rsidR="006A4724" w:rsidRPr="00CF3673">
              <w:rPr>
                <w:rFonts w:ascii="Calibri" w:eastAsia="Times New Roman" w:hAnsi="Calibri" w:cs="Times New Roman"/>
                <w:color w:val="000000"/>
                <w:sz w:val="20"/>
                <w:szCs w:val="20"/>
                <w:lang w:eastAsia="en-GB"/>
              </w:rPr>
              <w:t>tangíveis</w:t>
            </w:r>
            <w:r w:rsidRPr="00CF3673">
              <w:rPr>
                <w:rFonts w:ascii="Calibri" w:eastAsia="Times New Roman" w:hAnsi="Calibri" w:cs="Times New Roman"/>
                <w:color w:val="000000"/>
                <w:sz w:val="20"/>
                <w:szCs w:val="20"/>
                <w:lang w:eastAsia="en-GB"/>
              </w:rPr>
              <w:t xml:space="preserve"> nas actuais </w:t>
            </w:r>
            <w:proofErr w:type="spellStart"/>
            <w:r w:rsidRPr="00CF3673">
              <w:rPr>
                <w:rFonts w:ascii="Calibri" w:eastAsia="Times New Roman" w:hAnsi="Calibri" w:cs="Times New Roman"/>
                <w:color w:val="000000"/>
                <w:sz w:val="20"/>
                <w:szCs w:val="20"/>
                <w:lang w:eastAsia="en-GB"/>
              </w:rPr>
              <w:t>ass</w:t>
            </w:r>
            <w:proofErr w:type="spellEnd"/>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14.2</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15.2</w:t>
            </w:r>
          </w:p>
        </w:tc>
        <w:tc>
          <w:tcPr>
            <w:tcW w:w="90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16.7</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14.5</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14.3</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14.5</w:t>
            </w:r>
          </w:p>
        </w:tc>
      </w:tr>
      <w:tr w:rsidR="00564892" w:rsidRPr="00CF3673" w:rsidTr="00063143">
        <w:trPr>
          <w:trHeight w:val="255"/>
        </w:trPr>
        <w:tc>
          <w:tcPr>
            <w:tcW w:w="4180" w:type="dxa"/>
            <w:tcBorders>
              <w:top w:val="nil"/>
              <w:left w:val="nil"/>
              <w:bottom w:val="nil"/>
              <w:right w:val="nil"/>
            </w:tcBorders>
            <w:shd w:val="clear" w:color="000000" w:fill="FFFFFF"/>
            <w:noWrap/>
            <w:vAlign w:val="bottom"/>
            <w:hideMark/>
          </w:tcPr>
          <w:p w:rsidR="00376503" w:rsidRPr="00CF3673" w:rsidRDefault="00941EDF"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Quotas elevadas</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4.2</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3.0</w:t>
            </w:r>
          </w:p>
        </w:tc>
        <w:tc>
          <w:tcPr>
            <w:tcW w:w="90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4.2</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4.1</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1.8</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3.9</w:t>
            </w:r>
          </w:p>
        </w:tc>
      </w:tr>
      <w:tr w:rsidR="00564892" w:rsidRPr="00CF3673" w:rsidTr="00063143">
        <w:trPr>
          <w:trHeight w:val="255"/>
        </w:trPr>
        <w:tc>
          <w:tcPr>
            <w:tcW w:w="4180" w:type="dxa"/>
            <w:tcBorders>
              <w:top w:val="nil"/>
              <w:left w:val="nil"/>
              <w:bottom w:val="nil"/>
              <w:right w:val="nil"/>
            </w:tcBorders>
            <w:shd w:val="clear" w:color="000000" w:fill="FFFFFF"/>
            <w:noWrap/>
            <w:vAlign w:val="bottom"/>
            <w:hideMark/>
          </w:tcPr>
          <w:p w:rsidR="00376503" w:rsidRPr="00CF3673" w:rsidRDefault="006A4724" w:rsidP="00063143">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Filiação</w:t>
            </w:r>
            <w:r w:rsidR="00941EDF" w:rsidRPr="00CF3673">
              <w:rPr>
                <w:rFonts w:ascii="Calibri" w:eastAsia="Times New Roman" w:hAnsi="Calibri" w:cs="Times New Roman"/>
                <w:color w:val="000000"/>
                <w:sz w:val="20"/>
                <w:szCs w:val="20"/>
                <w:lang w:eastAsia="en-GB"/>
              </w:rPr>
              <w:t xml:space="preserve"> limitada a certas empresas</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2.3</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2.3</w:t>
            </w:r>
          </w:p>
        </w:tc>
        <w:tc>
          <w:tcPr>
            <w:tcW w:w="90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0.0</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2.2</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1.8</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2.2</w:t>
            </w:r>
          </w:p>
        </w:tc>
      </w:tr>
      <w:tr w:rsidR="00564892" w:rsidRPr="00CF3673" w:rsidTr="00063143">
        <w:trPr>
          <w:trHeight w:val="255"/>
        </w:trPr>
        <w:tc>
          <w:tcPr>
            <w:tcW w:w="4180" w:type="dxa"/>
            <w:tcBorders>
              <w:top w:val="nil"/>
              <w:left w:val="nil"/>
              <w:bottom w:val="nil"/>
              <w:right w:val="nil"/>
            </w:tcBorders>
            <w:shd w:val="clear" w:color="000000" w:fill="FFFFFF"/>
            <w:noWrap/>
            <w:vAlign w:val="bottom"/>
            <w:hideMark/>
          </w:tcPr>
          <w:p w:rsidR="00376503" w:rsidRPr="00CF3673" w:rsidRDefault="00941EDF" w:rsidP="00941EDF">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Falta de ligações pessoais aos outros membros</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11.5</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14.4</w:t>
            </w:r>
          </w:p>
        </w:tc>
        <w:tc>
          <w:tcPr>
            <w:tcW w:w="90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8.3</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11.2</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14.3</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11.5</w:t>
            </w:r>
          </w:p>
        </w:tc>
      </w:tr>
      <w:tr w:rsidR="00564892" w:rsidRPr="00CF3673" w:rsidTr="00063143">
        <w:trPr>
          <w:trHeight w:val="270"/>
        </w:trPr>
        <w:tc>
          <w:tcPr>
            <w:tcW w:w="4180" w:type="dxa"/>
            <w:tcBorders>
              <w:top w:val="nil"/>
              <w:left w:val="nil"/>
              <w:bottom w:val="double" w:sz="6" w:space="0" w:color="auto"/>
              <w:right w:val="nil"/>
            </w:tcBorders>
            <w:shd w:val="clear" w:color="000000" w:fill="FFFFFF"/>
            <w:noWrap/>
            <w:vAlign w:val="bottom"/>
            <w:hideMark/>
          </w:tcPr>
          <w:p w:rsidR="00376503" w:rsidRPr="00CF3673" w:rsidRDefault="00941EDF" w:rsidP="00941EDF">
            <w:pPr>
              <w:spacing w:after="0" w:line="240" w:lineRule="auto"/>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Falta de ligações pessoais as autoridades das associações</w:t>
            </w:r>
          </w:p>
        </w:tc>
        <w:tc>
          <w:tcPr>
            <w:tcW w:w="76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11.7</w:t>
            </w:r>
          </w:p>
        </w:tc>
        <w:tc>
          <w:tcPr>
            <w:tcW w:w="76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14.4</w:t>
            </w:r>
          </w:p>
        </w:tc>
        <w:tc>
          <w:tcPr>
            <w:tcW w:w="903"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29.2</w:t>
            </w:r>
          </w:p>
        </w:tc>
        <w:tc>
          <w:tcPr>
            <w:tcW w:w="118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11.7</w:t>
            </w:r>
          </w:p>
        </w:tc>
        <w:tc>
          <w:tcPr>
            <w:tcW w:w="118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25.0</w:t>
            </w:r>
          </w:p>
        </w:tc>
        <w:tc>
          <w:tcPr>
            <w:tcW w:w="760" w:type="dxa"/>
            <w:tcBorders>
              <w:top w:val="nil"/>
              <w:left w:val="nil"/>
              <w:bottom w:val="double" w:sz="6" w:space="0" w:color="auto"/>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12.9</w:t>
            </w:r>
          </w:p>
        </w:tc>
      </w:tr>
      <w:tr w:rsidR="00564892" w:rsidRPr="00CF3673" w:rsidTr="00063143">
        <w:trPr>
          <w:trHeight w:val="270"/>
        </w:trPr>
        <w:tc>
          <w:tcPr>
            <w:tcW w:w="4180" w:type="dxa"/>
            <w:tcBorders>
              <w:top w:val="nil"/>
              <w:left w:val="nil"/>
              <w:bottom w:val="nil"/>
              <w:right w:val="nil"/>
            </w:tcBorders>
            <w:shd w:val="clear" w:color="000000" w:fill="FFFFFF"/>
            <w:noWrap/>
            <w:vAlign w:val="bottom"/>
            <w:hideMark/>
          </w:tcPr>
          <w:p w:rsidR="00376503" w:rsidRPr="00CF3673" w:rsidRDefault="00376503" w:rsidP="00941EDF">
            <w:pPr>
              <w:pStyle w:val="Tablenote"/>
              <w:rPr>
                <w:lang w:val="pt-PT" w:eastAsia="en-GB"/>
              </w:rPr>
            </w:pPr>
            <w:r w:rsidRPr="00CF3673">
              <w:rPr>
                <w:b/>
                <w:lang w:val="pt-PT" w:eastAsia="en-GB"/>
              </w:rPr>
              <w:t>Not</w:t>
            </w:r>
            <w:r w:rsidR="00941EDF" w:rsidRPr="00CF3673">
              <w:rPr>
                <w:b/>
                <w:lang w:val="pt-PT" w:eastAsia="en-GB"/>
              </w:rPr>
              <w:t>a</w:t>
            </w:r>
            <w:r w:rsidRPr="00CF3673">
              <w:rPr>
                <w:lang w:val="pt-PT" w:eastAsia="en-GB"/>
              </w:rPr>
              <w:t xml:space="preserve">: </w:t>
            </w:r>
            <w:r w:rsidR="00941EDF" w:rsidRPr="00CF3673">
              <w:rPr>
                <w:lang w:val="pt-PT" w:eastAsia="en-GB"/>
              </w:rPr>
              <w:t>Número de observações</w:t>
            </w:r>
            <w:r w:rsidRPr="00CF3673">
              <w:rPr>
                <w:lang w:val="pt-PT" w:eastAsia="en-GB"/>
              </w:rPr>
              <w:t xml:space="preserve">: 637 (24 </w:t>
            </w:r>
            <w:r w:rsidR="00941EDF" w:rsidRPr="00CF3673">
              <w:rPr>
                <w:lang w:val="pt-PT" w:eastAsia="en-GB"/>
              </w:rPr>
              <w:t>em falta</w:t>
            </w:r>
            <w:r w:rsidRPr="00CF3673">
              <w:rPr>
                <w:lang w:val="pt-PT" w:eastAsia="en-GB"/>
              </w:rPr>
              <w:t>).</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90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r w:rsidR="00564892" w:rsidRPr="00CF3673" w:rsidTr="00063143">
        <w:trPr>
          <w:trHeight w:val="255"/>
        </w:trPr>
        <w:tc>
          <w:tcPr>
            <w:tcW w:w="4180" w:type="dxa"/>
            <w:tcBorders>
              <w:top w:val="nil"/>
              <w:left w:val="nil"/>
              <w:bottom w:val="nil"/>
              <w:right w:val="nil"/>
            </w:tcBorders>
            <w:shd w:val="clear" w:color="000000" w:fill="FFFFFF"/>
            <w:noWrap/>
            <w:vAlign w:val="bottom"/>
            <w:hideMark/>
          </w:tcPr>
          <w:p w:rsidR="00376503" w:rsidRPr="00CF3673" w:rsidRDefault="00941EDF" w:rsidP="0071433C">
            <w:pPr>
              <w:pStyle w:val="Tablenote"/>
              <w:rPr>
                <w:lang w:val="pt-PT" w:eastAsia="en-GB"/>
              </w:rPr>
            </w:pPr>
            <w:r w:rsidRPr="00CF3673">
              <w:rPr>
                <w:b/>
                <w:lang w:val="pt-PT" w:eastAsia="en-GB"/>
              </w:rPr>
              <w:t>Fonte</w:t>
            </w:r>
            <w:r w:rsidR="00376503" w:rsidRPr="00CF3673">
              <w:rPr>
                <w:lang w:val="pt-PT" w:eastAsia="en-GB"/>
              </w:rPr>
              <w:t xml:space="preserve">: </w:t>
            </w:r>
            <w:r w:rsidR="006A4724" w:rsidRPr="00CF3673">
              <w:rPr>
                <w:lang w:val="pt-PT" w:eastAsia="en-GB"/>
              </w:rPr>
              <w:t>Cálculos</w:t>
            </w:r>
            <w:r w:rsidRPr="00CF3673">
              <w:rPr>
                <w:lang w:val="pt-PT" w:eastAsia="en-GB"/>
              </w:rPr>
              <w:t xml:space="preserve"> </w:t>
            </w:r>
            <w:r w:rsidR="0071433C" w:rsidRPr="00CF3673">
              <w:rPr>
                <w:lang w:val="pt-PT" w:eastAsia="en-GB"/>
              </w:rPr>
              <w:t xml:space="preserve">com base no </w:t>
            </w:r>
            <w:r w:rsidR="00376503" w:rsidRPr="00CF3673">
              <w:rPr>
                <w:lang w:val="pt-PT" w:eastAsia="en-GB"/>
              </w:rPr>
              <w:t>IIM 2012.</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903"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118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c>
          <w:tcPr>
            <w:tcW w:w="760" w:type="dxa"/>
            <w:tcBorders>
              <w:top w:val="nil"/>
              <w:left w:val="nil"/>
              <w:bottom w:val="nil"/>
              <w:right w:val="nil"/>
            </w:tcBorders>
            <w:shd w:val="clear" w:color="000000" w:fill="FFFFFF"/>
            <w:noWrap/>
            <w:vAlign w:val="bottom"/>
            <w:hideMark/>
          </w:tcPr>
          <w:p w:rsidR="00376503" w:rsidRPr="00CF3673" w:rsidRDefault="00376503" w:rsidP="00063143">
            <w:pPr>
              <w:spacing w:after="0" w:line="240" w:lineRule="auto"/>
              <w:jc w:val="center"/>
              <w:rPr>
                <w:rFonts w:ascii="Calibri" w:eastAsia="Times New Roman" w:hAnsi="Calibri" w:cs="Times New Roman"/>
                <w:color w:val="000000"/>
                <w:sz w:val="20"/>
                <w:szCs w:val="20"/>
                <w:lang w:eastAsia="en-GB"/>
              </w:rPr>
            </w:pPr>
            <w:r w:rsidRPr="00CF3673">
              <w:rPr>
                <w:rFonts w:ascii="Calibri" w:eastAsia="Times New Roman" w:hAnsi="Calibri" w:cs="Times New Roman"/>
                <w:color w:val="000000"/>
                <w:sz w:val="20"/>
                <w:szCs w:val="20"/>
                <w:lang w:eastAsia="en-GB"/>
              </w:rPr>
              <w:t> </w:t>
            </w:r>
          </w:p>
        </w:tc>
      </w:tr>
    </w:tbl>
    <w:p w:rsidR="00376503" w:rsidRPr="00CF3673" w:rsidRDefault="00376503" w:rsidP="001E664B">
      <w:pPr>
        <w:pStyle w:val="SectionTitle"/>
        <w:rPr>
          <w:rStyle w:val="Strong"/>
          <w:b/>
          <w:bCs w:val="0"/>
          <w:lang w:val="pt-PT"/>
        </w:rPr>
      </w:pPr>
      <w:bookmarkStart w:id="70" w:name="_Toc323907229"/>
      <w:bookmarkStart w:id="71" w:name="_Toc350758921"/>
      <w:bookmarkStart w:id="72" w:name="_Toc360720404"/>
      <w:r w:rsidRPr="00CF3673">
        <w:rPr>
          <w:rStyle w:val="Strong"/>
          <w:b/>
          <w:bCs w:val="0"/>
          <w:lang w:val="pt-PT"/>
        </w:rPr>
        <w:t xml:space="preserve">8.3 </w:t>
      </w:r>
      <w:r w:rsidR="002A4297" w:rsidRPr="00CF3673">
        <w:rPr>
          <w:rStyle w:val="Strong"/>
          <w:b/>
          <w:bCs w:val="0"/>
          <w:lang w:val="pt-PT"/>
        </w:rPr>
        <w:t>O papel das relações/ligações no crescimento da empresa e inovação</w:t>
      </w:r>
      <w:bookmarkEnd w:id="70"/>
      <w:bookmarkEnd w:id="71"/>
      <w:bookmarkEnd w:id="72"/>
    </w:p>
    <w:p w:rsidR="002A4297" w:rsidRPr="00CF3673" w:rsidRDefault="002A4297" w:rsidP="001E664B">
      <w:pPr>
        <w:pStyle w:val="MainText"/>
        <w:rPr>
          <w:rStyle w:val="Strong"/>
          <w:rFonts w:cs="Calibri"/>
          <w:b w:val="0"/>
          <w:lang w:val="pt-PT"/>
        </w:rPr>
      </w:pPr>
      <w:r w:rsidRPr="00CF3673">
        <w:rPr>
          <w:rStyle w:val="Strong"/>
          <w:rFonts w:cs="Calibri"/>
          <w:b w:val="0"/>
          <w:lang w:val="pt-PT"/>
        </w:rPr>
        <w:t xml:space="preserve">Nesta secção consideramos como os contactos e as redes sociais podem afectar as empresas. Mais especificamente, investigamos se uma PME manufactureira bem conectada em </w:t>
      </w:r>
      <w:r w:rsidR="006A4724" w:rsidRPr="00CF3673">
        <w:rPr>
          <w:rStyle w:val="Strong"/>
          <w:rFonts w:cs="Calibri"/>
          <w:b w:val="0"/>
          <w:lang w:val="pt-PT"/>
        </w:rPr>
        <w:t>Moçambique</w:t>
      </w:r>
      <w:r w:rsidRPr="00CF3673">
        <w:rPr>
          <w:rStyle w:val="Strong"/>
          <w:rFonts w:cs="Calibri"/>
          <w:b w:val="0"/>
          <w:lang w:val="pt-PT"/>
        </w:rPr>
        <w:t xml:space="preserve"> tem melhor desempenho que as menos conectadas.</w:t>
      </w:r>
      <w:r w:rsidRPr="00CF3673">
        <w:rPr>
          <w:rStyle w:val="FootnoteReference"/>
          <w:rFonts w:cs="Calibri"/>
          <w:bCs/>
          <w:lang w:val="pt-PT"/>
        </w:rPr>
        <w:footnoteReference w:id="38"/>
      </w:r>
    </w:p>
    <w:p w:rsidR="00D27CF3" w:rsidRPr="00CF3673" w:rsidRDefault="00D27CF3" w:rsidP="001E664B">
      <w:pPr>
        <w:pStyle w:val="MainText"/>
        <w:rPr>
          <w:rStyle w:val="Strong"/>
          <w:rFonts w:cs="Calibri"/>
          <w:b w:val="0"/>
          <w:lang w:val="pt-PT"/>
        </w:rPr>
      </w:pPr>
      <w:r w:rsidRPr="00CF3673">
        <w:rPr>
          <w:rStyle w:val="Strong"/>
          <w:rFonts w:cs="Calibri"/>
          <w:b w:val="0"/>
          <w:lang w:val="pt-PT"/>
        </w:rPr>
        <w:t xml:space="preserve">A tabela 8.9 apresenta a estimativa OLS da capital social no crescimento da empresa, corrigindo as características e propriedade da empresa, localização, estrutura legal de propriedade e sector. Crescimento da empresa é medido com base no número de trabalhadores a tempo inteiro e os lucros reais de 2010 a 2011. Na coluna (1) e (2), o capital das redes sociais é medido como o número total dos contactos, diversidade dos contactos e filiação as organizações empresariais. </w:t>
      </w:r>
      <w:r w:rsidR="006A4724" w:rsidRPr="00CF3673">
        <w:rPr>
          <w:rStyle w:val="Strong"/>
          <w:rFonts w:cs="Calibri"/>
          <w:b w:val="0"/>
          <w:lang w:val="pt-PT"/>
        </w:rPr>
        <w:t xml:space="preserve">A filiação às organizações empresariais está incluída porque pode ser um espaço efectivo para estabelecimento de novas relações com novos fornecedores e clientes, dada a relutância dos proprietários em estabelecer tais relações quando se encontram estabelecidos. </w:t>
      </w:r>
      <w:r w:rsidR="00BC6EF5" w:rsidRPr="00CF3673">
        <w:rPr>
          <w:rStyle w:val="Strong"/>
          <w:rFonts w:cs="Calibri"/>
          <w:b w:val="0"/>
          <w:lang w:val="pt-PT"/>
        </w:rPr>
        <w:t xml:space="preserve">Na coluna (3) e (4), o numero total de contactos está divido em seis grupos similares aos da tabela 8.5. De acordo com a teoria, esperamos uma correlação positiva e significativa entre o numero total de contactos e o crescimento da </w:t>
      </w:r>
      <w:r w:rsidR="006A4724" w:rsidRPr="00CF3673">
        <w:rPr>
          <w:rStyle w:val="Strong"/>
          <w:rFonts w:cs="Calibri"/>
          <w:b w:val="0"/>
          <w:lang w:val="pt-PT"/>
        </w:rPr>
        <w:t>empresa</w:t>
      </w:r>
      <w:r w:rsidR="00BC6EF5" w:rsidRPr="00CF3673">
        <w:rPr>
          <w:rStyle w:val="Strong"/>
          <w:rFonts w:cs="Calibri"/>
          <w:b w:val="0"/>
          <w:lang w:val="pt-PT"/>
        </w:rPr>
        <w:t>. De igual modo, as empresas com uma rede de contactos diversificados são esperados s ser melhor informados do que a sua contraparte e assim experimentar altos níveis de crescimento.</w:t>
      </w:r>
    </w:p>
    <w:p w:rsidR="002270F0" w:rsidRPr="00CF3673" w:rsidRDefault="002270F0" w:rsidP="001E664B">
      <w:pPr>
        <w:pStyle w:val="MainText"/>
        <w:rPr>
          <w:lang w:val="pt-PT"/>
        </w:rPr>
      </w:pPr>
      <w:r w:rsidRPr="00CF3673">
        <w:rPr>
          <w:lang w:val="pt-PT"/>
        </w:rPr>
        <w:t xml:space="preserve">Sumarizando os resultados o seguinte pode ser referido. Primeiro, o coeficiente de estimativa sobre o </w:t>
      </w:r>
      <w:r w:rsidR="006A4724" w:rsidRPr="00CF3673">
        <w:rPr>
          <w:lang w:val="pt-PT"/>
        </w:rPr>
        <w:t>número</w:t>
      </w:r>
      <w:r w:rsidRPr="00CF3673">
        <w:rPr>
          <w:lang w:val="pt-PT"/>
        </w:rPr>
        <w:t xml:space="preserve"> total de contactos é negativa mas não estatisticamente significativa. Este resultado está claro </w:t>
      </w:r>
      <w:r w:rsidRPr="00CF3673">
        <w:rPr>
          <w:lang w:val="pt-PT"/>
        </w:rPr>
        <w:lastRenderedPageBreak/>
        <w:t xml:space="preserve">contraste com os resultados obtidos por </w:t>
      </w:r>
      <w:proofErr w:type="spellStart"/>
      <w:r w:rsidRPr="00CF3673">
        <w:rPr>
          <w:lang w:val="pt-PT"/>
        </w:rPr>
        <w:t>Fafchamps</w:t>
      </w:r>
      <w:proofErr w:type="spellEnd"/>
      <w:r w:rsidRPr="00CF3673">
        <w:rPr>
          <w:lang w:val="pt-PT"/>
        </w:rPr>
        <w:t xml:space="preserve"> e </w:t>
      </w:r>
      <w:proofErr w:type="spellStart"/>
      <w:r w:rsidRPr="00CF3673">
        <w:rPr>
          <w:lang w:val="pt-PT"/>
        </w:rPr>
        <w:t>Minten</w:t>
      </w:r>
      <w:proofErr w:type="spellEnd"/>
      <w:r w:rsidRPr="00CF3673">
        <w:rPr>
          <w:lang w:val="pt-PT"/>
        </w:rPr>
        <w:t xml:space="preserve"> (2002). Eles encontraram uma significativa relação entre o número de operadores </w:t>
      </w:r>
      <w:r w:rsidR="008C01F7" w:rsidRPr="00CF3673">
        <w:rPr>
          <w:lang w:val="pt-PT"/>
        </w:rPr>
        <w:t xml:space="preserve">conhecidos em </w:t>
      </w:r>
      <w:r w:rsidR="006A4724" w:rsidRPr="00CF3673">
        <w:rPr>
          <w:lang w:val="pt-PT"/>
        </w:rPr>
        <w:t>Madagáscar</w:t>
      </w:r>
      <w:r w:rsidR="008C01F7" w:rsidRPr="00CF3673">
        <w:rPr>
          <w:lang w:val="pt-PT"/>
        </w:rPr>
        <w:t xml:space="preserve"> e o total de vendas.</w:t>
      </w:r>
      <w:r w:rsidR="008C01F7" w:rsidRPr="00CF3673">
        <w:rPr>
          <w:rStyle w:val="FootnoteReference"/>
          <w:lang w:val="pt-PT"/>
        </w:rPr>
        <w:footnoteReference w:id="39"/>
      </w:r>
    </w:p>
    <w:p w:rsidR="0059744A" w:rsidRPr="00CF3673" w:rsidRDefault="008C01F7" w:rsidP="00B1240E">
      <w:pPr>
        <w:pStyle w:val="MainText"/>
        <w:rPr>
          <w:lang w:val="pt-PT"/>
        </w:rPr>
      </w:pPr>
      <w:r w:rsidRPr="00CF3673">
        <w:rPr>
          <w:lang w:val="pt-PT"/>
        </w:rPr>
        <w:t xml:space="preserve">Segundo, o tamanho da empresa definido como o número de trabalhadores a tempo inteiro é estatisticamente significativo e negativamente relacionado com crescimento do emprego. Terceiro, empresas antigas tende a ter uma taxa de crescimento de emprego baixa comparada com as novas empresas. Estes resultados estão de acordo com os resultados da estimativa do coeficiente na tabela 3.5 (mas não estatisticamente significativa). Quarto, o crescimento real dos lucros por trabalhador esta positivamente associado ao tamanho da empresa. Finalmente, as empresas de responsabilidade limitada experimentam </w:t>
      </w:r>
      <w:r w:rsidR="00B1240E" w:rsidRPr="00CF3673">
        <w:rPr>
          <w:lang w:val="pt-PT"/>
        </w:rPr>
        <w:t>baixa taxa de lucro por trabalhador comparado com aquelas empresas de propriedade individual.</w:t>
      </w:r>
      <w:r w:rsidRPr="00CF3673">
        <w:rPr>
          <w:lang w:val="pt-PT"/>
        </w:rPr>
        <w:t xml:space="preserve">  </w:t>
      </w:r>
      <w:r w:rsidR="00376503" w:rsidRPr="00CF3673">
        <w:rPr>
          <w:lang w:val="pt-PT"/>
        </w:rPr>
        <w:t xml:space="preserve">  </w:t>
      </w:r>
    </w:p>
    <w:p w:rsidR="00F946FE" w:rsidRPr="00CF3673" w:rsidRDefault="00F946FE" w:rsidP="0059744A">
      <w:pPr>
        <w:pStyle w:val="MainText"/>
        <w:rPr>
          <w:rStyle w:val="Strong"/>
          <w:b w:val="0"/>
          <w:bCs w:val="0"/>
          <w:lang w:val="pt-PT"/>
        </w:rPr>
      </w:pPr>
      <w:r w:rsidRPr="00CF3673">
        <w:rPr>
          <w:rStyle w:val="Strong"/>
          <w:b w:val="0"/>
          <w:bCs w:val="0"/>
          <w:lang w:val="pt-PT"/>
        </w:rPr>
        <w:t xml:space="preserve">Uma das principais constatações na figura 8.1 é de que os contactos de negócios providenciam as empresas de informações valiosas sobre novas tecnologias e produtos. Esta constatação está em alinhamento com a actual assunção na literatura sobre difusão interna </w:t>
      </w:r>
      <w:r w:rsidR="009170D4" w:rsidRPr="00CF3673">
        <w:rPr>
          <w:rStyle w:val="Strong"/>
          <w:b w:val="0"/>
          <w:bCs w:val="0"/>
          <w:lang w:val="pt-PT"/>
        </w:rPr>
        <w:t>no país</w:t>
      </w:r>
      <w:r w:rsidRPr="00CF3673">
        <w:rPr>
          <w:rStyle w:val="Strong"/>
          <w:b w:val="0"/>
          <w:bCs w:val="0"/>
          <w:lang w:val="pt-PT"/>
        </w:rPr>
        <w:t>, designadamente de que os actores aprendem uns dos outros sobre novas tecnologias e inovações (</w:t>
      </w:r>
      <w:proofErr w:type="spellStart"/>
      <w:r w:rsidRPr="00CF3673">
        <w:rPr>
          <w:rStyle w:val="Strong"/>
          <w:b w:val="0"/>
          <w:bCs w:val="0"/>
          <w:lang w:val="pt-PT"/>
        </w:rPr>
        <w:t>Fafchamps</w:t>
      </w:r>
      <w:proofErr w:type="spellEnd"/>
      <w:r w:rsidRPr="00CF3673">
        <w:rPr>
          <w:rStyle w:val="Strong"/>
          <w:b w:val="0"/>
          <w:bCs w:val="0"/>
          <w:lang w:val="pt-PT"/>
        </w:rPr>
        <w:t xml:space="preserve"> e </w:t>
      </w:r>
      <w:proofErr w:type="spellStart"/>
      <w:r w:rsidRPr="00CF3673">
        <w:rPr>
          <w:rStyle w:val="Strong"/>
          <w:b w:val="0"/>
          <w:bCs w:val="0"/>
          <w:lang w:val="pt-PT"/>
        </w:rPr>
        <w:t>Söderbom</w:t>
      </w:r>
      <w:proofErr w:type="spellEnd"/>
      <w:r w:rsidRPr="00CF3673">
        <w:rPr>
          <w:rStyle w:val="Strong"/>
          <w:b w:val="0"/>
          <w:bCs w:val="0"/>
          <w:lang w:val="pt-PT"/>
        </w:rPr>
        <w:t xml:space="preserve">, 2011). Com base nas constatações anteriores, a </w:t>
      </w:r>
      <w:r w:rsidR="006A4724" w:rsidRPr="00CF3673">
        <w:rPr>
          <w:rStyle w:val="Strong"/>
          <w:b w:val="0"/>
          <w:bCs w:val="0"/>
          <w:lang w:val="pt-PT"/>
        </w:rPr>
        <w:t>ideia</w:t>
      </w:r>
      <w:r w:rsidRPr="00CF3673">
        <w:rPr>
          <w:rStyle w:val="Strong"/>
          <w:b w:val="0"/>
          <w:bCs w:val="0"/>
          <w:lang w:val="pt-PT"/>
        </w:rPr>
        <w:t xml:space="preserve"> subjacente na </w:t>
      </w:r>
      <w:r w:rsidR="009170D4" w:rsidRPr="00CF3673">
        <w:rPr>
          <w:rStyle w:val="Strong"/>
          <w:b w:val="0"/>
          <w:bCs w:val="0"/>
          <w:lang w:val="pt-PT"/>
        </w:rPr>
        <w:t>análise</w:t>
      </w:r>
      <w:r w:rsidRPr="00CF3673">
        <w:rPr>
          <w:rStyle w:val="Strong"/>
          <w:b w:val="0"/>
          <w:bCs w:val="0"/>
          <w:lang w:val="pt-PT"/>
        </w:rPr>
        <w:t xml:space="preserve"> a seguir é de que os proprietários de negócios recebem assessoria e conselhos sobre </w:t>
      </w:r>
      <w:r w:rsidR="009170D4" w:rsidRPr="00CF3673">
        <w:rPr>
          <w:rStyle w:val="Strong"/>
          <w:b w:val="0"/>
          <w:bCs w:val="0"/>
          <w:lang w:val="pt-PT"/>
        </w:rPr>
        <w:t>actualização das tecnologias e inovação institucional a partir dos seus pares da rede, e assim o tamanho e a diversidade da rede de contactos está associada à inovação.</w:t>
      </w:r>
    </w:p>
    <w:p w:rsidR="001B2368" w:rsidRPr="00CF3673" w:rsidRDefault="006A4724" w:rsidP="001B2368">
      <w:pPr>
        <w:pStyle w:val="TableTitle"/>
        <w:rPr>
          <w:rStyle w:val="Strong"/>
          <w:b/>
          <w:bCs w:val="0"/>
          <w:lang w:val="pt-PT"/>
        </w:rPr>
      </w:pPr>
      <w:bookmarkStart w:id="73" w:name="_Toc360720494"/>
      <w:r w:rsidRPr="00CF3673">
        <w:rPr>
          <w:rStyle w:val="Strong"/>
          <w:b/>
          <w:bCs w:val="0"/>
          <w:lang w:val="pt-PT"/>
        </w:rPr>
        <w:t>Tabela</w:t>
      </w:r>
      <w:r w:rsidR="001B2368" w:rsidRPr="00CF3673">
        <w:rPr>
          <w:rStyle w:val="Strong"/>
          <w:b/>
          <w:bCs w:val="0"/>
          <w:lang w:val="pt-PT"/>
        </w:rPr>
        <w:t xml:space="preserve"> 8.8: </w:t>
      </w:r>
      <w:r w:rsidR="00A5219D" w:rsidRPr="00CF3673">
        <w:rPr>
          <w:rStyle w:val="Strong"/>
          <w:b/>
          <w:bCs w:val="0"/>
          <w:lang w:val="pt-PT"/>
        </w:rPr>
        <w:t>Determinantes do crescimento do emprego</w:t>
      </w:r>
      <w:r w:rsidR="001B2368" w:rsidRPr="00CF3673">
        <w:rPr>
          <w:lang w:val="pt-PT"/>
        </w:rPr>
        <w:t xml:space="preserve"> 2009-2011 (</w:t>
      </w:r>
      <w:r w:rsidR="00A5219D" w:rsidRPr="00CF3673">
        <w:rPr>
          <w:lang w:val="pt-PT"/>
        </w:rPr>
        <w:t>variáveis da rede</w:t>
      </w:r>
      <w:r w:rsidR="001B2368" w:rsidRPr="00CF3673">
        <w:rPr>
          <w:rStyle w:val="Strong"/>
          <w:b/>
          <w:bCs w:val="0"/>
          <w:lang w:val="pt-PT"/>
        </w:rPr>
        <w:t>)</w:t>
      </w:r>
      <w:r w:rsidR="001B2368" w:rsidRPr="00CF3673">
        <w:rPr>
          <w:lang w:val="pt-PT"/>
        </w:rPr>
        <w:t xml:space="preserve">, </w:t>
      </w:r>
      <w:r w:rsidR="00A5219D" w:rsidRPr="00CF3673">
        <w:rPr>
          <w:lang w:val="pt-PT"/>
        </w:rPr>
        <w:t xml:space="preserve">regressão </w:t>
      </w:r>
      <w:r w:rsidR="001B2368" w:rsidRPr="00CF3673">
        <w:rPr>
          <w:lang w:val="pt-PT"/>
        </w:rPr>
        <w:t>OLS</w:t>
      </w:r>
      <w:bookmarkEnd w:id="73"/>
    </w:p>
    <w:tbl>
      <w:tblPr>
        <w:tblW w:w="0" w:type="auto"/>
        <w:jc w:val="center"/>
        <w:tblInd w:w="-730" w:type="dxa"/>
        <w:tblLayout w:type="fixed"/>
        <w:tblCellMar>
          <w:left w:w="75" w:type="dxa"/>
          <w:right w:w="75" w:type="dxa"/>
        </w:tblCellMar>
        <w:tblLook w:val="0000" w:firstRow="0" w:lastRow="0" w:firstColumn="0" w:lastColumn="0" w:noHBand="0" w:noVBand="0"/>
      </w:tblPr>
      <w:tblGrid>
        <w:gridCol w:w="2821"/>
        <w:gridCol w:w="1313"/>
        <w:gridCol w:w="1382"/>
        <w:gridCol w:w="1453"/>
        <w:gridCol w:w="1276"/>
      </w:tblGrid>
      <w:tr w:rsidR="001B2368" w:rsidRPr="00CF3673" w:rsidTr="001B2368">
        <w:trPr>
          <w:jc w:val="center"/>
        </w:trPr>
        <w:tc>
          <w:tcPr>
            <w:tcW w:w="2821" w:type="dxa"/>
            <w:tcBorders>
              <w:top w:val="double" w:sz="4" w:space="0" w:color="auto"/>
              <w:left w:val="nil"/>
              <w:bottom w:val="nil"/>
              <w:right w:val="nil"/>
            </w:tcBorders>
          </w:tcPr>
          <w:p w:rsidR="001B2368" w:rsidRPr="00CF3673" w:rsidRDefault="001B2368" w:rsidP="004F7D5E">
            <w:pPr>
              <w:widowControl w:val="0"/>
              <w:autoSpaceDE w:val="0"/>
              <w:autoSpaceDN w:val="0"/>
              <w:adjustRightInd w:val="0"/>
              <w:spacing w:after="0" w:line="240" w:lineRule="auto"/>
              <w:rPr>
                <w:rFonts w:cs="Times New Roman"/>
                <w:sz w:val="20"/>
                <w:szCs w:val="20"/>
              </w:rPr>
            </w:pPr>
          </w:p>
        </w:tc>
        <w:tc>
          <w:tcPr>
            <w:tcW w:w="1313" w:type="dxa"/>
            <w:tcBorders>
              <w:top w:val="double" w:sz="4" w:space="0" w:color="auto"/>
              <w:left w:val="nil"/>
              <w:bottom w:val="nil"/>
              <w:right w:val="nil"/>
            </w:tcBorders>
          </w:tcPr>
          <w:p w:rsidR="001B2368" w:rsidRPr="00CF3673" w:rsidRDefault="001B2368" w:rsidP="004F7D5E">
            <w:pPr>
              <w:widowControl w:val="0"/>
              <w:autoSpaceDE w:val="0"/>
              <w:autoSpaceDN w:val="0"/>
              <w:adjustRightInd w:val="0"/>
              <w:spacing w:after="0"/>
              <w:jc w:val="center"/>
              <w:rPr>
                <w:sz w:val="20"/>
                <w:szCs w:val="20"/>
              </w:rPr>
            </w:pPr>
            <w:r w:rsidRPr="00CF3673">
              <w:rPr>
                <w:sz w:val="20"/>
                <w:szCs w:val="20"/>
              </w:rPr>
              <w:t>(1)</w:t>
            </w:r>
          </w:p>
        </w:tc>
        <w:tc>
          <w:tcPr>
            <w:tcW w:w="1382" w:type="dxa"/>
            <w:tcBorders>
              <w:top w:val="double" w:sz="4" w:space="0" w:color="auto"/>
              <w:left w:val="nil"/>
              <w:bottom w:val="nil"/>
              <w:right w:val="nil"/>
            </w:tcBorders>
          </w:tcPr>
          <w:p w:rsidR="001B2368" w:rsidRPr="00CF3673" w:rsidRDefault="001B2368" w:rsidP="004F7D5E">
            <w:pPr>
              <w:widowControl w:val="0"/>
              <w:autoSpaceDE w:val="0"/>
              <w:autoSpaceDN w:val="0"/>
              <w:adjustRightInd w:val="0"/>
              <w:spacing w:after="0"/>
              <w:jc w:val="center"/>
              <w:rPr>
                <w:sz w:val="20"/>
                <w:szCs w:val="20"/>
              </w:rPr>
            </w:pPr>
            <w:r w:rsidRPr="00CF3673">
              <w:rPr>
                <w:sz w:val="20"/>
                <w:szCs w:val="20"/>
              </w:rPr>
              <w:t>(2)</w:t>
            </w:r>
          </w:p>
        </w:tc>
        <w:tc>
          <w:tcPr>
            <w:tcW w:w="1453" w:type="dxa"/>
            <w:tcBorders>
              <w:top w:val="double" w:sz="4" w:space="0" w:color="auto"/>
              <w:left w:val="nil"/>
              <w:bottom w:val="nil"/>
              <w:right w:val="nil"/>
            </w:tcBorders>
          </w:tcPr>
          <w:p w:rsidR="001B2368" w:rsidRPr="00CF3673" w:rsidRDefault="001B2368" w:rsidP="004F7D5E">
            <w:pPr>
              <w:widowControl w:val="0"/>
              <w:autoSpaceDE w:val="0"/>
              <w:autoSpaceDN w:val="0"/>
              <w:adjustRightInd w:val="0"/>
              <w:spacing w:after="0"/>
              <w:jc w:val="center"/>
              <w:rPr>
                <w:sz w:val="20"/>
                <w:szCs w:val="20"/>
              </w:rPr>
            </w:pPr>
            <w:r w:rsidRPr="00CF3673">
              <w:rPr>
                <w:sz w:val="20"/>
                <w:szCs w:val="20"/>
              </w:rPr>
              <w:t>(3)</w:t>
            </w:r>
          </w:p>
        </w:tc>
        <w:tc>
          <w:tcPr>
            <w:tcW w:w="1276" w:type="dxa"/>
            <w:tcBorders>
              <w:top w:val="double" w:sz="4" w:space="0" w:color="auto"/>
              <w:left w:val="nil"/>
              <w:bottom w:val="nil"/>
              <w:right w:val="nil"/>
            </w:tcBorders>
          </w:tcPr>
          <w:p w:rsidR="001B2368" w:rsidRPr="00CF3673" w:rsidRDefault="001B2368" w:rsidP="004F7D5E">
            <w:pPr>
              <w:widowControl w:val="0"/>
              <w:autoSpaceDE w:val="0"/>
              <w:autoSpaceDN w:val="0"/>
              <w:adjustRightInd w:val="0"/>
              <w:spacing w:after="0"/>
              <w:jc w:val="center"/>
              <w:rPr>
                <w:sz w:val="20"/>
                <w:szCs w:val="20"/>
              </w:rPr>
            </w:pPr>
            <w:r w:rsidRPr="00CF3673">
              <w:rPr>
                <w:sz w:val="20"/>
                <w:szCs w:val="20"/>
              </w:rPr>
              <w:t>(4)</w:t>
            </w:r>
          </w:p>
        </w:tc>
      </w:tr>
      <w:tr w:rsidR="001B2368" w:rsidRPr="00CF3673" w:rsidTr="004F7D5E">
        <w:trPr>
          <w:jc w:val="center"/>
        </w:trPr>
        <w:tc>
          <w:tcPr>
            <w:tcW w:w="2821" w:type="dxa"/>
            <w:tcBorders>
              <w:top w:val="nil"/>
              <w:left w:val="nil"/>
              <w:bottom w:val="single" w:sz="6" w:space="0" w:color="auto"/>
              <w:right w:val="nil"/>
            </w:tcBorders>
          </w:tcPr>
          <w:p w:rsidR="001B2368" w:rsidRPr="00CF3673" w:rsidRDefault="001B2368" w:rsidP="004F7D5E">
            <w:pPr>
              <w:widowControl w:val="0"/>
              <w:autoSpaceDE w:val="0"/>
              <w:autoSpaceDN w:val="0"/>
              <w:adjustRightInd w:val="0"/>
              <w:spacing w:after="0" w:line="240" w:lineRule="auto"/>
              <w:rPr>
                <w:rFonts w:cs="Times New Roman"/>
                <w:sz w:val="20"/>
                <w:szCs w:val="20"/>
              </w:rPr>
            </w:pPr>
          </w:p>
        </w:tc>
        <w:tc>
          <w:tcPr>
            <w:tcW w:w="1313" w:type="dxa"/>
            <w:tcBorders>
              <w:top w:val="nil"/>
              <w:left w:val="nil"/>
              <w:bottom w:val="single" w:sz="6" w:space="0" w:color="auto"/>
              <w:right w:val="nil"/>
            </w:tcBorders>
          </w:tcPr>
          <w:p w:rsidR="001B2368" w:rsidRPr="00CF3673" w:rsidRDefault="00A5219D" w:rsidP="004F7D5E">
            <w:pPr>
              <w:widowControl w:val="0"/>
              <w:autoSpaceDE w:val="0"/>
              <w:autoSpaceDN w:val="0"/>
              <w:adjustRightInd w:val="0"/>
              <w:spacing w:after="0"/>
              <w:jc w:val="center"/>
              <w:rPr>
                <w:sz w:val="20"/>
                <w:szCs w:val="20"/>
              </w:rPr>
            </w:pPr>
            <w:r w:rsidRPr="00CF3673">
              <w:rPr>
                <w:sz w:val="20"/>
                <w:szCs w:val="20"/>
              </w:rPr>
              <w:t>Crescimento do emprego</w:t>
            </w:r>
          </w:p>
        </w:tc>
        <w:tc>
          <w:tcPr>
            <w:tcW w:w="1382" w:type="dxa"/>
            <w:tcBorders>
              <w:top w:val="nil"/>
              <w:left w:val="nil"/>
              <w:bottom w:val="single" w:sz="6" w:space="0" w:color="auto"/>
              <w:right w:val="nil"/>
            </w:tcBorders>
          </w:tcPr>
          <w:p w:rsidR="001B2368" w:rsidRPr="00CF3673" w:rsidRDefault="006A4724" w:rsidP="00A5219D">
            <w:pPr>
              <w:widowControl w:val="0"/>
              <w:autoSpaceDE w:val="0"/>
              <w:autoSpaceDN w:val="0"/>
              <w:adjustRightInd w:val="0"/>
              <w:spacing w:after="0"/>
              <w:jc w:val="center"/>
              <w:rPr>
                <w:sz w:val="20"/>
                <w:szCs w:val="20"/>
              </w:rPr>
            </w:pPr>
            <w:r w:rsidRPr="00CF3673">
              <w:rPr>
                <w:sz w:val="20"/>
                <w:szCs w:val="20"/>
              </w:rPr>
              <w:t>Crescimento</w:t>
            </w:r>
            <w:r w:rsidR="00A5219D" w:rsidRPr="00CF3673">
              <w:rPr>
                <w:sz w:val="20"/>
                <w:szCs w:val="20"/>
              </w:rPr>
              <w:t xml:space="preserve"> das receitas por trabalhador</w:t>
            </w:r>
          </w:p>
        </w:tc>
        <w:tc>
          <w:tcPr>
            <w:tcW w:w="1453" w:type="dxa"/>
            <w:tcBorders>
              <w:top w:val="nil"/>
              <w:left w:val="nil"/>
              <w:bottom w:val="single" w:sz="6" w:space="0" w:color="auto"/>
              <w:right w:val="nil"/>
            </w:tcBorders>
          </w:tcPr>
          <w:p w:rsidR="001B2368" w:rsidRPr="00CF3673" w:rsidRDefault="00A5219D" w:rsidP="004F7D5E">
            <w:pPr>
              <w:widowControl w:val="0"/>
              <w:autoSpaceDE w:val="0"/>
              <w:autoSpaceDN w:val="0"/>
              <w:adjustRightInd w:val="0"/>
              <w:spacing w:after="0"/>
              <w:jc w:val="center"/>
              <w:rPr>
                <w:sz w:val="20"/>
                <w:szCs w:val="20"/>
              </w:rPr>
            </w:pPr>
            <w:r w:rsidRPr="00CF3673">
              <w:rPr>
                <w:sz w:val="20"/>
                <w:szCs w:val="20"/>
              </w:rPr>
              <w:t>Crescimento do emprego</w:t>
            </w:r>
          </w:p>
        </w:tc>
        <w:tc>
          <w:tcPr>
            <w:tcW w:w="1276" w:type="dxa"/>
            <w:tcBorders>
              <w:top w:val="nil"/>
              <w:left w:val="nil"/>
              <w:bottom w:val="single" w:sz="6" w:space="0" w:color="auto"/>
              <w:right w:val="nil"/>
            </w:tcBorders>
          </w:tcPr>
          <w:p w:rsidR="001B2368" w:rsidRPr="00CF3673" w:rsidRDefault="006A4724" w:rsidP="004F7D5E">
            <w:pPr>
              <w:widowControl w:val="0"/>
              <w:autoSpaceDE w:val="0"/>
              <w:autoSpaceDN w:val="0"/>
              <w:adjustRightInd w:val="0"/>
              <w:spacing w:after="0"/>
              <w:jc w:val="center"/>
              <w:rPr>
                <w:sz w:val="20"/>
                <w:szCs w:val="20"/>
              </w:rPr>
            </w:pPr>
            <w:r w:rsidRPr="00CF3673">
              <w:rPr>
                <w:sz w:val="20"/>
                <w:szCs w:val="20"/>
              </w:rPr>
              <w:t>Crescimento</w:t>
            </w:r>
            <w:r w:rsidR="00A5219D" w:rsidRPr="00CF3673">
              <w:rPr>
                <w:sz w:val="20"/>
                <w:szCs w:val="20"/>
              </w:rPr>
              <w:t xml:space="preserve"> das receitas por trabalhador</w:t>
            </w:r>
          </w:p>
        </w:tc>
      </w:tr>
      <w:tr w:rsidR="001B2368" w:rsidRPr="00CF3673" w:rsidTr="004F7D5E">
        <w:trPr>
          <w:jc w:val="center"/>
        </w:trPr>
        <w:tc>
          <w:tcPr>
            <w:tcW w:w="2821" w:type="dxa"/>
            <w:tcBorders>
              <w:top w:val="nil"/>
              <w:left w:val="nil"/>
              <w:bottom w:val="nil"/>
              <w:right w:val="nil"/>
            </w:tcBorders>
          </w:tcPr>
          <w:p w:rsidR="001B2368" w:rsidRPr="00CF3673" w:rsidRDefault="00A5219D" w:rsidP="00A5219D">
            <w:pPr>
              <w:widowControl w:val="0"/>
              <w:autoSpaceDE w:val="0"/>
              <w:autoSpaceDN w:val="0"/>
              <w:adjustRightInd w:val="0"/>
              <w:spacing w:after="0"/>
              <w:rPr>
                <w:sz w:val="20"/>
                <w:szCs w:val="20"/>
              </w:rPr>
            </w:pPr>
            <w:r w:rsidRPr="00CF3673">
              <w:rPr>
                <w:sz w:val="20"/>
                <w:szCs w:val="20"/>
              </w:rPr>
              <w:t>Numero t</w:t>
            </w:r>
            <w:r w:rsidR="001B2368" w:rsidRPr="00CF3673">
              <w:rPr>
                <w:sz w:val="20"/>
                <w:szCs w:val="20"/>
              </w:rPr>
              <w:t xml:space="preserve">otal </w:t>
            </w:r>
            <w:r w:rsidRPr="00CF3673">
              <w:rPr>
                <w:sz w:val="20"/>
                <w:szCs w:val="20"/>
              </w:rPr>
              <w:t xml:space="preserve">de </w:t>
            </w:r>
            <w:r w:rsidR="001B2368" w:rsidRPr="00CF3673">
              <w:rPr>
                <w:sz w:val="20"/>
                <w:szCs w:val="20"/>
              </w:rPr>
              <w:t>contact</w:t>
            </w:r>
            <w:r w:rsidRPr="00CF3673">
              <w:rPr>
                <w:sz w:val="20"/>
                <w:szCs w:val="20"/>
              </w:rPr>
              <w:t xml:space="preserve">os </w:t>
            </w:r>
            <w:r w:rsidR="001B2368" w:rsidRPr="00CF3673">
              <w:rPr>
                <w:sz w:val="20"/>
                <w:szCs w:val="20"/>
              </w:rPr>
              <w:t>(log)</w:t>
            </w: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0.000</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-0.042</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rPr>
                <w:sz w:val="20"/>
                <w:szCs w:val="20"/>
              </w:rPr>
            </w:pP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(0.96)</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p>
        </w:tc>
      </w:tr>
      <w:tr w:rsidR="001B2368" w:rsidRPr="00CF3673" w:rsidTr="004F7D5E">
        <w:trPr>
          <w:jc w:val="center"/>
        </w:trPr>
        <w:tc>
          <w:tcPr>
            <w:tcW w:w="2821" w:type="dxa"/>
            <w:tcBorders>
              <w:top w:val="nil"/>
              <w:left w:val="nil"/>
              <w:bottom w:val="nil"/>
              <w:right w:val="nil"/>
            </w:tcBorders>
          </w:tcPr>
          <w:p w:rsidR="001B2368" w:rsidRPr="00CF3673" w:rsidRDefault="00A5219D" w:rsidP="004F7D5E">
            <w:pPr>
              <w:widowControl w:val="0"/>
              <w:autoSpaceDE w:val="0"/>
              <w:autoSpaceDN w:val="0"/>
              <w:adjustRightInd w:val="0"/>
              <w:spacing w:after="0"/>
              <w:rPr>
                <w:sz w:val="20"/>
                <w:szCs w:val="20"/>
              </w:rPr>
            </w:pPr>
            <w:r w:rsidRPr="00CF3673">
              <w:rPr>
                <w:sz w:val="20"/>
                <w:szCs w:val="20"/>
              </w:rPr>
              <w:t>Diversidade de contactos</w:t>
            </w: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0.014</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0.006</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0.001</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0.027</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rPr>
                <w:sz w:val="20"/>
                <w:szCs w:val="20"/>
              </w:rPr>
            </w:pP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(1.12)</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(0.22)</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(0.07)</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(1.01)</w:t>
            </w:r>
          </w:p>
        </w:tc>
      </w:tr>
      <w:tr w:rsidR="001B2368" w:rsidRPr="00CF3673" w:rsidTr="004F7D5E">
        <w:trPr>
          <w:jc w:val="center"/>
        </w:trPr>
        <w:tc>
          <w:tcPr>
            <w:tcW w:w="2821" w:type="dxa"/>
            <w:tcBorders>
              <w:top w:val="nil"/>
              <w:left w:val="nil"/>
              <w:bottom w:val="nil"/>
              <w:right w:val="nil"/>
            </w:tcBorders>
          </w:tcPr>
          <w:p w:rsidR="001B2368" w:rsidRPr="00CF3673" w:rsidRDefault="00A5219D" w:rsidP="004F7D5E">
            <w:pPr>
              <w:widowControl w:val="0"/>
              <w:autoSpaceDE w:val="0"/>
              <w:autoSpaceDN w:val="0"/>
              <w:adjustRightInd w:val="0"/>
              <w:spacing w:after="0"/>
              <w:rPr>
                <w:sz w:val="20"/>
                <w:szCs w:val="20"/>
              </w:rPr>
            </w:pPr>
            <w:r w:rsidRPr="00CF3673">
              <w:rPr>
                <w:sz w:val="20"/>
                <w:szCs w:val="20"/>
              </w:rPr>
              <w:t>Filiação nas associações</w:t>
            </w: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0.038</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0.037</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0.038</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0.027</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rPr>
                <w:rFonts w:cs="Times New Roman"/>
                <w:sz w:val="20"/>
                <w:szCs w:val="20"/>
              </w:rPr>
            </w:pP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(0.82)</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(0.43)</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(0.83)</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(0.31)</w:t>
            </w:r>
          </w:p>
        </w:tc>
      </w:tr>
      <w:tr w:rsidR="001B2368" w:rsidRPr="00CF3673" w:rsidTr="004F7D5E">
        <w:trPr>
          <w:jc w:val="center"/>
        </w:trPr>
        <w:tc>
          <w:tcPr>
            <w:tcW w:w="2821" w:type="dxa"/>
            <w:tcBorders>
              <w:top w:val="nil"/>
              <w:left w:val="nil"/>
              <w:bottom w:val="nil"/>
              <w:right w:val="nil"/>
            </w:tcBorders>
          </w:tcPr>
          <w:p w:rsidR="001B2368" w:rsidRPr="00CF3673" w:rsidRDefault="00A5219D" w:rsidP="004F7D5E">
            <w:pPr>
              <w:widowControl w:val="0"/>
              <w:autoSpaceDE w:val="0"/>
              <w:autoSpaceDN w:val="0"/>
              <w:adjustRightInd w:val="0"/>
              <w:spacing w:after="0"/>
              <w:rPr>
                <w:sz w:val="20"/>
                <w:szCs w:val="20"/>
              </w:rPr>
            </w:pPr>
            <w:r w:rsidRPr="00CF3673">
              <w:rPr>
                <w:sz w:val="20"/>
                <w:szCs w:val="20"/>
              </w:rPr>
              <w:t xml:space="preserve">Contactos no </w:t>
            </w:r>
            <w:r w:rsidR="006A4724" w:rsidRPr="00CF3673">
              <w:rPr>
                <w:sz w:val="20"/>
                <w:szCs w:val="20"/>
              </w:rPr>
              <w:t>mesmo</w:t>
            </w:r>
            <w:r w:rsidRPr="00CF3673">
              <w:rPr>
                <w:sz w:val="20"/>
                <w:szCs w:val="20"/>
              </w:rPr>
              <w:t xml:space="preserve"> sector</w:t>
            </w:r>
            <w:r w:rsidR="001B2368" w:rsidRPr="00CF3673">
              <w:rPr>
                <w:sz w:val="20"/>
                <w:szCs w:val="20"/>
              </w:rPr>
              <w:t xml:space="preserve"> (log)</w:t>
            </w:r>
          </w:p>
        </w:tc>
        <w:tc>
          <w:tcPr>
            <w:tcW w:w="1313"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0.001</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-0.010</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rPr>
                <w:sz w:val="20"/>
                <w:szCs w:val="20"/>
              </w:rPr>
            </w:pPr>
          </w:p>
        </w:tc>
        <w:tc>
          <w:tcPr>
            <w:tcW w:w="1313"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(0.03)</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(0.28)</w:t>
            </w:r>
          </w:p>
        </w:tc>
      </w:tr>
      <w:tr w:rsidR="001B2368" w:rsidRPr="00CF3673" w:rsidTr="004F7D5E">
        <w:trPr>
          <w:jc w:val="center"/>
        </w:trPr>
        <w:tc>
          <w:tcPr>
            <w:tcW w:w="2821" w:type="dxa"/>
            <w:tcBorders>
              <w:top w:val="nil"/>
              <w:left w:val="nil"/>
              <w:bottom w:val="nil"/>
              <w:right w:val="nil"/>
            </w:tcBorders>
          </w:tcPr>
          <w:p w:rsidR="001B2368" w:rsidRPr="00CF3673" w:rsidRDefault="00A5219D" w:rsidP="00A5219D">
            <w:pPr>
              <w:widowControl w:val="0"/>
              <w:autoSpaceDE w:val="0"/>
              <w:autoSpaceDN w:val="0"/>
              <w:adjustRightInd w:val="0"/>
              <w:spacing w:after="0"/>
              <w:rPr>
                <w:sz w:val="20"/>
                <w:szCs w:val="20"/>
              </w:rPr>
            </w:pPr>
            <w:r w:rsidRPr="00CF3673">
              <w:rPr>
                <w:sz w:val="20"/>
                <w:szCs w:val="20"/>
              </w:rPr>
              <w:t xml:space="preserve">Contactos </w:t>
            </w:r>
            <w:proofErr w:type="spellStart"/>
            <w:r w:rsidRPr="00CF3673">
              <w:rPr>
                <w:sz w:val="20"/>
                <w:szCs w:val="20"/>
              </w:rPr>
              <w:t>sect</w:t>
            </w:r>
            <w:proofErr w:type="spellEnd"/>
            <w:r w:rsidRPr="00CF3673">
              <w:rPr>
                <w:sz w:val="20"/>
                <w:szCs w:val="20"/>
              </w:rPr>
              <w:t xml:space="preserve"> </w:t>
            </w:r>
            <w:proofErr w:type="spellStart"/>
            <w:r w:rsidRPr="00CF3673">
              <w:rPr>
                <w:sz w:val="20"/>
                <w:szCs w:val="20"/>
              </w:rPr>
              <w:t>dif</w:t>
            </w:r>
            <w:proofErr w:type="spellEnd"/>
            <w:r w:rsidRPr="00CF3673">
              <w:rPr>
                <w:sz w:val="20"/>
                <w:szCs w:val="20"/>
              </w:rPr>
              <w:t xml:space="preserve"> </w:t>
            </w:r>
            <w:r w:rsidR="001B2368" w:rsidRPr="00CF3673">
              <w:rPr>
                <w:sz w:val="20"/>
                <w:szCs w:val="20"/>
              </w:rPr>
              <w:t>(log)</w:t>
            </w:r>
          </w:p>
        </w:tc>
        <w:tc>
          <w:tcPr>
            <w:tcW w:w="1313"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0.002</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-0.018</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rPr>
                <w:sz w:val="20"/>
                <w:szCs w:val="20"/>
              </w:rPr>
            </w:pPr>
          </w:p>
        </w:tc>
        <w:tc>
          <w:tcPr>
            <w:tcW w:w="1313"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(0.12)</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(0.47)</w:t>
            </w:r>
          </w:p>
        </w:tc>
      </w:tr>
      <w:tr w:rsidR="001B2368" w:rsidRPr="00CF3673" w:rsidTr="004F7D5E">
        <w:trPr>
          <w:jc w:val="center"/>
        </w:trPr>
        <w:tc>
          <w:tcPr>
            <w:tcW w:w="2821" w:type="dxa"/>
            <w:tcBorders>
              <w:top w:val="nil"/>
              <w:left w:val="nil"/>
              <w:bottom w:val="nil"/>
              <w:right w:val="nil"/>
            </w:tcBorders>
          </w:tcPr>
          <w:p w:rsidR="001B2368" w:rsidRPr="00CF3673" w:rsidRDefault="001B2368" w:rsidP="00305351">
            <w:pPr>
              <w:widowControl w:val="0"/>
              <w:autoSpaceDE w:val="0"/>
              <w:autoSpaceDN w:val="0"/>
              <w:adjustRightInd w:val="0"/>
              <w:spacing w:after="0"/>
              <w:rPr>
                <w:sz w:val="20"/>
                <w:szCs w:val="20"/>
              </w:rPr>
            </w:pPr>
            <w:r w:rsidRPr="00CF3673">
              <w:rPr>
                <w:sz w:val="20"/>
                <w:szCs w:val="20"/>
              </w:rPr>
              <w:lastRenderedPageBreak/>
              <w:t>Contact</w:t>
            </w:r>
            <w:r w:rsidR="00A5219D" w:rsidRPr="00CF3673">
              <w:rPr>
                <w:sz w:val="20"/>
                <w:szCs w:val="20"/>
              </w:rPr>
              <w:t>os empre</w:t>
            </w:r>
            <w:r w:rsidRPr="00CF3673">
              <w:rPr>
                <w:sz w:val="20"/>
                <w:szCs w:val="20"/>
              </w:rPr>
              <w:t>s</w:t>
            </w:r>
            <w:r w:rsidR="00305351" w:rsidRPr="00CF3673">
              <w:rPr>
                <w:sz w:val="20"/>
                <w:szCs w:val="20"/>
              </w:rPr>
              <w:t xml:space="preserve">as </w:t>
            </w:r>
            <w:proofErr w:type="spellStart"/>
            <w:r w:rsidR="00305351" w:rsidRPr="00CF3673">
              <w:rPr>
                <w:sz w:val="20"/>
                <w:szCs w:val="20"/>
              </w:rPr>
              <w:t>estrang</w:t>
            </w:r>
            <w:proofErr w:type="spellEnd"/>
            <w:r w:rsidR="00305351" w:rsidRPr="00CF3673">
              <w:rPr>
                <w:sz w:val="20"/>
                <w:szCs w:val="20"/>
              </w:rPr>
              <w:t>(</w:t>
            </w:r>
            <w:r w:rsidRPr="00CF3673">
              <w:rPr>
                <w:sz w:val="20"/>
                <w:szCs w:val="20"/>
              </w:rPr>
              <w:t>log)</w:t>
            </w:r>
          </w:p>
        </w:tc>
        <w:tc>
          <w:tcPr>
            <w:tcW w:w="1313"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0.025</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-0.021</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rPr>
                <w:sz w:val="20"/>
                <w:szCs w:val="20"/>
              </w:rPr>
            </w:pPr>
          </w:p>
        </w:tc>
        <w:tc>
          <w:tcPr>
            <w:tcW w:w="1313"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(1.14)</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(0.57)</w:t>
            </w:r>
          </w:p>
        </w:tc>
      </w:tr>
      <w:tr w:rsidR="001B2368" w:rsidRPr="00CF3673" w:rsidTr="004F7D5E">
        <w:trPr>
          <w:jc w:val="center"/>
        </w:trPr>
        <w:tc>
          <w:tcPr>
            <w:tcW w:w="2821" w:type="dxa"/>
            <w:tcBorders>
              <w:top w:val="nil"/>
              <w:left w:val="nil"/>
              <w:bottom w:val="nil"/>
              <w:right w:val="nil"/>
            </w:tcBorders>
          </w:tcPr>
          <w:p w:rsidR="001B2368" w:rsidRPr="00CF3673" w:rsidRDefault="00305351" w:rsidP="004F7D5E">
            <w:pPr>
              <w:widowControl w:val="0"/>
              <w:autoSpaceDE w:val="0"/>
              <w:autoSpaceDN w:val="0"/>
              <w:adjustRightInd w:val="0"/>
              <w:spacing w:after="0"/>
              <w:rPr>
                <w:sz w:val="20"/>
                <w:szCs w:val="20"/>
              </w:rPr>
            </w:pPr>
            <w:r w:rsidRPr="00CF3673">
              <w:rPr>
                <w:sz w:val="20"/>
                <w:szCs w:val="20"/>
              </w:rPr>
              <w:t>Oficiais bancários</w:t>
            </w:r>
            <w:r w:rsidR="001B2368" w:rsidRPr="00CF3673">
              <w:rPr>
                <w:sz w:val="20"/>
                <w:szCs w:val="20"/>
              </w:rPr>
              <w:t xml:space="preserve"> (log)</w:t>
            </w:r>
          </w:p>
        </w:tc>
        <w:tc>
          <w:tcPr>
            <w:tcW w:w="1313"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-0.013</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-0.027</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rPr>
                <w:sz w:val="20"/>
                <w:szCs w:val="20"/>
              </w:rPr>
            </w:pPr>
          </w:p>
        </w:tc>
        <w:tc>
          <w:tcPr>
            <w:tcW w:w="1313"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(0.56)</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(0.62)</w:t>
            </w:r>
          </w:p>
        </w:tc>
      </w:tr>
      <w:tr w:rsidR="001B2368" w:rsidRPr="00CF3673" w:rsidTr="004F7D5E">
        <w:trPr>
          <w:jc w:val="center"/>
        </w:trPr>
        <w:tc>
          <w:tcPr>
            <w:tcW w:w="2821" w:type="dxa"/>
            <w:tcBorders>
              <w:top w:val="nil"/>
              <w:left w:val="nil"/>
              <w:bottom w:val="nil"/>
              <w:right w:val="nil"/>
            </w:tcBorders>
          </w:tcPr>
          <w:p w:rsidR="001B2368" w:rsidRPr="00CF3673" w:rsidRDefault="00305351" w:rsidP="004F7D5E">
            <w:pPr>
              <w:widowControl w:val="0"/>
              <w:autoSpaceDE w:val="0"/>
              <w:autoSpaceDN w:val="0"/>
              <w:adjustRightInd w:val="0"/>
              <w:spacing w:after="0"/>
              <w:rPr>
                <w:sz w:val="20"/>
                <w:szCs w:val="20"/>
              </w:rPr>
            </w:pPr>
            <w:r w:rsidRPr="00CF3673">
              <w:rPr>
                <w:sz w:val="20"/>
                <w:szCs w:val="20"/>
              </w:rPr>
              <w:t xml:space="preserve">Oficiais </w:t>
            </w:r>
            <w:r w:rsidR="006A4724" w:rsidRPr="00CF3673">
              <w:rPr>
                <w:sz w:val="20"/>
                <w:szCs w:val="20"/>
              </w:rPr>
              <w:t>públicos</w:t>
            </w:r>
            <w:r w:rsidR="001B2368" w:rsidRPr="00CF3673">
              <w:rPr>
                <w:sz w:val="20"/>
                <w:szCs w:val="20"/>
              </w:rPr>
              <w:t xml:space="preserve"> (log)</w:t>
            </w:r>
          </w:p>
        </w:tc>
        <w:tc>
          <w:tcPr>
            <w:tcW w:w="1313"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0.030</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-0.041</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rPr>
                <w:sz w:val="20"/>
                <w:szCs w:val="20"/>
              </w:rPr>
            </w:pPr>
          </w:p>
        </w:tc>
        <w:tc>
          <w:tcPr>
            <w:tcW w:w="1313"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(1.20)</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(0.91)</w:t>
            </w:r>
          </w:p>
        </w:tc>
      </w:tr>
      <w:tr w:rsidR="001B2368" w:rsidRPr="00CF3673" w:rsidTr="004F7D5E">
        <w:trPr>
          <w:jc w:val="center"/>
        </w:trPr>
        <w:tc>
          <w:tcPr>
            <w:tcW w:w="2821" w:type="dxa"/>
            <w:tcBorders>
              <w:top w:val="nil"/>
              <w:left w:val="nil"/>
              <w:bottom w:val="nil"/>
              <w:right w:val="nil"/>
            </w:tcBorders>
          </w:tcPr>
          <w:p w:rsidR="001B2368" w:rsidRPr="00CF3673" w:rsidRDefault="001B2368" w:rsidP="00305351">
            <w:pPr>
              <w:widowControl w:val="0"/>
              <w:autoSpaceDE w:val="0"/>
              <w:autoSpaceDN w:val="0"/>
              <w:adjustRightInd w:val="0"/>
              <w:spacing w:after="0"/>
              <w:rPr>
                <w:sz w:val="20"/>
                <w:szCs w:val="20"/>
              </w:rPr>
            </w:pPr>
            <w:proofErr w:type="spellStart"/>
            <w:r w:rsidRPr="00CF3673">
              <w:rPr>
                <w:sz w:val="20"/>
                <w:szCs w:val="20"/>
              </w:rPr>
              <w:t>Politi</w:t>
            </w:r>
            <w:r w:rsidR="00305351" w:rsidRPr="00CF3673">
              <w:rPr>
                <w:sz w:val="20"/>
                <w:szCs w:val="20"/>
              </w:rPr>
              <w:t>cos</w:t>
            </w:r>
            <w:proofErr w:type="spellEnd"/>
            <w:r w:rsidRPr="00CF3673">
              <w:rPr>
                <w:sz w:val="20"/>
                <w:szCs w:val="20"/>
              </w:rPr>
              <w:t xml:space="preserve"> (log)</w:t>
            </w:r>
          </w:p>
        </w:tc>
        <w:tc>
          <w:tcPr>
            <w:tcW w:w="1313"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0.023</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-0.074*</w:t>
            </w:r>
          </w:p>
        </w:tc>
      </w:tr>
      <w:tr w:rsidR="001B2368" w:rsidRPr="00CF3673" w:rsidTr="004F7D5E">
        <w:trPr>
          <w:jc w:val="center"/>
        </w:trPr>
        <w:tc>
          <w:tcPr>
            <w:tcW w:w="2821" w:type="dxa"/>
            <w:tcBorders>
              <w:top w:val="nil"/>
              <w:left w:val="nil"/>
              <w:right w:val="nil"/>
            </w:tcBorders>
          </w:tcPr>
          <w:p w:rsidR="001B2368" w:rsidRPr="00CF3673" w:rsidRDefault="001B2368" w:rsidP="004F7D5E">
            <w:pPr>
              <w:widowControl w:val="0"/>
              <w:autoSpaceDE w:val="0"/>
              <w:autoSpaceDN w:val="0"/>
              <w:adjustRightInd w:val="0"/>
              <w:spacing w:after="0"/>
              <w:rPr>
                <w:sz w:val="20"/>
                <w:szCs w:val="20"/>
              </w:rPr>
            </w:pPr>
          </w:p>
        </w:tc>
        <w:tc>
          <w:tcPr>
            <w:tcW w:w="1313" w:type="dxa"/>
            <w:tcBorders>
              <w:top w:val="nil"/>
              <w:left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382" w:type="dxa"/>
            <w:tcBorders>
              <w:top w:val="nil"/>
              <w:left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p>
        </w:tc>
        <w:tc>
          <w:tcPr>
            <w:tcW w:w="1453" w:type="dxa"/>
            <w:tcBorders>
              <w:top w:val="nil"/>
              <w:left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(0.84)</w:t>
            </w:r>
          </w:p>
        </w:tc>
        <w:tc>
          <w:tcPr>
            <w:tcW w:w="1276" w:type="dxa"/>
            <w:tcBorders>
              <w:top w:val="nil"/>
              <w:left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(1.66)</w:t>
            </w:r>
          </w:p>
        </w:tc>
      </w:tr>
      <w:tr w:rsidR="001B2368" w:rsidRPr="00CF3673" w:rsidTr="004F7D5E">
        <w:trPr>
          <w:jc w:val="center"/>
        </w:trPr>
        <w:tc>
          <w:tcPr>
            <w:tcW w:w="2821" w:type="dxa"/>
            <w:tcBorders>
              <w:top w:val="single" w:sz="4" w:space="0" w:color="auto"/>
              <w:left w:val="nil"/>
              <w:bottom w:val="nil"/>
              <w:right w:val="nil"/>
            </w:tcBorders>
          </w:tcPr>
          <w:p w:rsidR="001B2368" w:rsidRPr="00CF3673" w:rsidRDefault="001B2368" w:rsidP="00305351">
            <w:pPr>
              <w:widowControl w:val="0"/>
              <w:autoSpaceDE w:val="0"/>
              <w:autoSpaceDN w:val="0"/>
              <w:adjustRightInd w:val="0"/>
              <w:spacing w:after="0" w:line="240" w:lineRule="auto"/>
              <w:rPr>
                <w:rFonts w:cs="Times New Roman"/>
                <w:sz w:val="20"/>
                <w:szCs w:val="20"/>
              </w:rPr>
            </w:pPr>
            <w:r w:rsidRPr="00CF3673">
              <w:rPr>
                <w:rFonts w:cs="Times New Roman"/>
                <w:sz w:val="20"/>
                <w:szCs w:val="20"/>
              </w:rPr>
              <w:t>Log</w:t>
            </w:r>
            <w:r w:rsidR="00305351" w:rsidRPr="00CF3673">
              <w:rPr>
                <w:rFonts w:cs="Times New Roman"/>
                <w:sz w:val="20"/>
                <w:szCs w:val="20"/>
              </w:rPr>
              <w:t xml:space="preserve"> </w:t>
            </w:r>
            <w:r w:rsidRPr="00CF3673">
              <w:rPr>
                <w:rFonts w:cs="Times New Roman"/>
                <w:sz w:val="20"/>
                <w:szCs w:val="20"/>
              </w:rPr>
              <w:t>(</w:t>
            </w:r>
            <w:r w:rsidR="00305351" w:rsidRPr="00CF3673">
              <w:rPr>
                <w:rFonts w:cs="Times New Roman"/>
                <w:sz w:val="20"/>
                <w:szCs w:val="20"/>
              </w:rPr>
              <w:t>tamanho empresa</w:t>
            </w:r>
            <w:r w:rsidRPr="00CF3673">
              <w:rPr>
                <w:rFonts w:cs="Times New Roman"/>
                <w:sz w:val="20"/>
                <w:szCs w:val="20"/>
              </w:rPr>
              <w:t>)</w:t>
            </w:r>
          </w:p>
        </w:tc>
        <w:tc>
          <w:tcPr>
            <w:tcW w:w="1313" w:type="dxa"/>
            <w:tcBorders>
              <w:top w:val="single" w:sz="4" w:space="0" w:color="auto"/>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-0.053***</w:t>
            </w:r>
          </w:p>
        </w:tc>
        <w:tc>
          <w:tcPr>
            <w:tcW w:w="1382" w:type="dxa"/>
            <w:tcBorders>
              <w:top w:val="single" w:sz="4" w:space="0" w:color="auto"/>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0.100*</w:t>
            </w:r>
          </w:p>
        </w:tc>
        <w:tc>
          <w:tcPr>
            <w:tcW w:w="1453" w:type="dxa"/>
            <w:tcBorders>
              <w:top w:val="single" w:sz="4" w:space="0" w:color="auto"/>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-0.054***</w:t>
            </w:r>
          </w:p>
        </w:tc>
        <w:tc>
          <w:tcPr>
            <w:tcW w:w="1276" w:type="dxa"/>
            <w:tcBorders>
              <w:top w:val="single" w:sz="4" w:space="0" w:color="auto"/>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0.104*</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rPr>
                <w:rFonts w:cs="Times New Roman"/>
                <w:sz w:val="20"/>
                <w:szCs w:val="20"/>
              </w:rPr>
            </w:pP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(2.86)</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(1.94)</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(2.86)</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(1.94)</w:t>
            </w:r>
          </w:p>
        </w:tc>
      </w:tr>
      <w:tr w:rsidR="001B2368" w:rsidRPr="00CF3673" w:rsidTr="004F7D5E">
        <w:trPr>
          <w:jc w:val="center"/>
        </w:trPr>
        <w:tc>
          <w:tcPr>
            <w:tcW w:w="2821" w:type="dxa"/>
            <w:tcBorders>
              <w:top w:val="nil"/>
              <w:left w:val="nil"/>
              <w:bottom w:val="nil"/>
              <w:right w:val="nil"/>
            </w:tcBorders>
          </w:tcPr>
          <w:p w:rsidR="001B2368" w:rsidRPr="00CF3673" w:rsidRDefault="001B2368" w:rsidP="00305351">
            <w:pPr>
              <w:widowControl w:val="0"/>
              <w:autoSpaceDE w:val="0"/>
              <w:autoSpaceDN w:val="0"/>
              <w:adjustRightInd w:val="0"/>
              <w:spacing w:after="0" w:line="240" w:lineRule="auto"/>
              <w:rPr>
                <w:rFonts w:cs="Times New Roman"/>
                <w:sz w:val="20"/>
                <w:szCs w:val="20"/>
              </w:rPr>
            </w:pPr>
            <w:r w:rsidRPr="00CF3673">
              <w:rPr>
                <w:rFonts w:cs="Times New Roman"/>
                <w:sz w:val="20"/>
                <w:szCs w:val="20"/>
              </w:rPr>
              <w:t>Log</w:t>
            </w:r>
            <w:r w:rsidR="00305351" w:rsidRPr="00CF3673">
              <w:rPr>
                <w:rFonts w:cs="Times New Roman"/>
                <w:sz w:val="20"/>
                <w:szCs w:val="20"/>
              </w:rPr>
              <w:t xml:space="preserve"> </w:t>
            </w:r>
            <w:r w:rsidRPr="00CF3673">
              <w:rPr>
                <w:rFonts w:cs="Times New Roman"/>
                <w:sz w:val="20"/>
                <w:szCs w:val="20"/>
              </w:rPr>
              <w:t>(</w:t>
            </w:r>
            <w:r w:rsidR="00305351" w:rsidRPr="00CF3673">
              <w:rPr>
                <w:rFonts w:cs="Times New Roman"/>
                <w:sz w:val="20"/>
                <w:szCs w:val="20"/>
              </w:rPr>
              <w:t>idade empresa</w:t>
            </w:r>
            <w:r w:rsidRPr="00CF3673">
              <w:rPr>
                <w:rFonts w:cs="Times New Roman"/>
                <w:sz w:val="20"/>
                <w:szCs w:val="20"/>
              </w:rPr>
              <w:t>)</w:t>
            </w: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-0.054***</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-0.005</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-0.054***</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-0.004</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rPr>
                <w:rFonts w:cs="Times New Roman"/>
                <w:sz w:val="20"/>
                <w:szCs w:val="20"/>
              </w:rPr>
            </w:pP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(3.49)</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(0.17)</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(3.50)</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(0.15)</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rPr>
                <w:rFonts w:cs="Times New Roman"/>
                <w:sz w:val="20"/>
                <w:szCs w:val="20"/>
              </w:rPr>
            </w:pPr>
            <w:r w:rsidRPr="00CF3673">
              <w:rPr>
                <w:rFonts w:cs="Times New Roman"/>
                <w:sz w:val="20"/>
                <w:szCs w:val="20"/>
              </w:rPr>
              <w:t>Formal</w:t>
            </w: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0.005</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0.045</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0.003</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0.051</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rPr>
                <w:rFonts w:cs="Times New Roman"/>
                <w:sz w:val="20"/>
                <w:szCs w:val="20"/>
              </w:rPr>
            </w:pP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(0.14)</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(0.59)</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(0.10)</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(0.66)</w:t>
            </w:r>
          </w:p>
        </w:tc>
      </w:tr>
      <w:tr w:rsidR="001B2368" w:rsidRPr="00CF3673" w:rsidTr="004F7D5E">
        <w:trPr>
          <w:jc w:val="center"/>
        </w:trPr>
        <w:tc>
          <w:tcPr>
            <w:tcW w:w="2821" w:type="dxa"/>
            <w:tcBorders>
              <w:top w:val="nil"/>
              <w:left w:val="nil"/>
              <w:bottom w:val="nil"/>
              <w:right w:val="nil"/>
            </w:tcBorders>
          </w:tcPr>
          <w:p w:rsidR="001B2368" w:rsidRPr="00CF3673" w:rsidRDefault="00305351" w:rsidP="00305351">
            <w:pPr>
              <w:widowControl w:val="0"/>
              <w:autoSpaceDE w:val="0"/>
              <w:autoSpaceDN w:val="0"/>
              <w:adjustRightInd w:val="0"/>
              <w:spacing w:after="0" w:line="240" w:lineRule="auto"/>
              <w:rPr>
                <w:rFonts w:cs="Times New Roman"/>
                <w:sz w:val="20"/>
                <w:szCs w:val="20"/>
              </w:rPr>
            </w:pPr>
            <w:r w:rsidRPr="00CF3673">
              <w:rPr>
                <w:rFonts w:cs="Times New Roman"/>
                <w:sz w:val="20"/>
                <w:szCs w:val="20"/>
              </w:rPr>
              <w:t xml:space="preserve">Educação </w:t>
            </w:r>
            <w:r w:rsidR="001B2368" w:rsidRPr="00CF3673">
              <w:rPr>
                <w:rFonts w:cs="Times New Roman"/>
                <w:sz w:val="20"/>
                <w:szCs w:val="20"/>
              </w:rPr>
              <w:t>Universit</w:t>
            </w:r>
            <w:r w:rsidRPr="00CF3673">
              <w:rPr>
                <w:rFonts w:cs="Times New Roman"/>
                <w:sz w:val="20"/>
                <w:szCs w:val="20"/>
              </w:rPr>
              <w:t>ária</w:t>
            </w: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-0.039</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-0.069</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-0.043</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-0.054</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rPr>
                <w:rFonts w:cs="Times New Roman"/>
                <w:sz w:val="20"/>
                <w:szCs w:val="20"/>
              </w:rPr>
            </w:pP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(1.05)</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(0.90)</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(1.13)</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(0.67)</w:t>
            </w:r>
          </w:p>
        </w:tc>
      </w:tr>
      <w:tr w:rsidR="001B2368" w:rsidRPr="00CF3673" w:rsidTr="004F7D5E">
        <w:trPr>
          <w:jc w:val="center"/>
        </w:trPr>
        <w:tc>
          <w:tcPr>
            <w:tcW w:w="2821" w:type="dxa"/>
            <w:tcBorders>
              <w:top w:val="nil"/>
              <w:left w:val="nil"/>
              <w:right w:val="nil"/>
            </w:tcBorders>
          </w:tcPr>
          <w:p w:rsidR="001B2368" w:rsidRPr="00CF3673" w:rsidRDefault="00305351" w:rsidP="00305351">
            <w:pPr>
              <w:widowControl w:val="0"/>
              <w:autoSpaceDE w:val="0"/>
              <w:autoSpaceDN w:val="0"/>
              <w:adjustRightInd w:val="0"/>
              <w:spacing w:after="0" w:line="240" w:lineRule="auto"/>
              <w:rPr>
                <w:rFonts w:cs="Times New Roman"/>
                <w:sz w:val="20"/>
                <w:szCs w:val="20"/>
              </w:rPr>
            </w:pPr>
            <w:r w:rsidRPr="00CF3673">
              <w:rPr>
                <w:rFonts w:cs="Times New Roman"/>
                <w:sz w:val="20"/>
                <w:szCs w:val="20"/>
              </w:rPr>
              <w:t>Empresa detida por estrangeiro</w:t>
            </w:r>
          </w:p>
        </w:tc>
        <w:tc>
          <w:tcPr>
            <w:tcW w:w="1313" w:type="dxa"/>
            <w:tcBorders>
              <w:top w:val="nil"/>
              <w:left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0.075</w:t>
            </w:r>
          </w:p>
        </w:tc>
        <w:tc>
          <w:tcPr>
            <w:tcW w:w="1382" w:type="dxa"/>
            <w:tcBorders>
              <w:top w:val="nil"/>
              <w:left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-0.108</w:t>
            </w:r>
          </w:p>
        </w:tc>
        <w:tc>
          <w:tcPr>
            <w:tcW w:w="1453" w:type="dxa"/>
            <w:tcBorders>
              <w:top w:val="nil"/>
              <w:left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0.072</w:t>
            </w:r>
          </w:p>
        </w:tc>
        <w:tc>
          <w:tcPr>
            <w:tcW w:w="1276" w:type="dxa"/>
            <w:tcBorders>
              <w:top w:val="nil"/>
              <w:left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-0.120</w:t>
            </w:r>
          </w:p>
        </w:tc>
      </w:tr>
      <w:tr w:rsidR="001B2368" w:rsidRPr="00CF3673" w:rsidTr="004F7D5E">
        <w:trPr>
          <w:jc w:val="center"/>
        </w:trPr>
        <w:tc>
          <w:tcPr>
            <w:tcW w:w="2821" w:type="dxa"/>
            <w:tcBorders>
              <w:top w:val="nil"/>
              <w:left w:val="nil"/>
              <w:bottom w:val="single" w:sz="4" w:space="0" w:color="auto"/>
              <w:right w:val="nil"/>
            </w:tcBorders>
          </w:tcPr>
          <w:p w:rsidR="001B2368" w:rsidRPr="00CF3673" w:rsidRDefault="001B2368" w:rsidP="004F7D5E">
            <w:pPr>
              <w:widowControl w:val="0"/>
              <w:autoSpaceDE w:val="0"/>
              <w:autoSpaceDN w:val="0"/>
              <w:adjustRightInd w:val="0"/>
              <w:spacing w:after="0" w:line="240" w:lineRule="auto"/>
              <w:rPr>
                <w:rFonts w:cs="Times New Roman"/>
                <w:sz w:val="20"/>
                <w:szCs w:val="20"/>
              </w:rPr>
            </w:pPr>
          </w:p>
        </w:tc>
        <w:tc>
          <w:tcPr>
            <w:tcW w:w="1313" w:type="dxa"/>
            <w:tcBorders>
              <w:top w:val="nil"/>
              <w:left w:val="nil"/>
              <w:bottom w:val="single" w:sz="4" w:space="0" w:color="auto"/>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(1.53)</w:t>
            </w:r>
          </w:p>
        </w:tc>
        <w:tc>
          <w:tcPr>
            <w:tcW w:w="1382" w:type="dxa"/>
            <w:tcBorders>
              <w:top w:val="nil"/>
              <w:left w:val="nil"/>
              <w:bottom w:val="single" w:sz="4" w:space="0" w:color="auto"/>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(0.84)</w:t>
            </w:r>
          </w:p>
        </w:tc>
        <w:tc>
          <w:tcPr>
            <w:tcW w:w="1453" w:type="dxa"/>
            <w:tcBorders>
              <w:top w:val="nil"/>
              <w:left w:val="nil"/>
              <w:bottom w:val="single" w:sz="4" w:space="0" w:color="auto"/>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(1.38)</w:t>
            </w:r>
          </w:p>
        </w:tc>
        <w:tc>
          <w:tcPr>
            <w:tcW w:w="1276" w:type="dxa"/>
            <w:tcBorders>
              <w:top w:val="nil"/>
              <w:left w:val="nil"/>
              <w:bottom w:val="single" w:sz="4" w:space="0" w:color="auto"/>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(0.87)</w:t>
            </w:r>
          </w:p>
        </w:tc>
      </w:tr>
      <w:tr w:rsidR="001B2368" w:rsidRPr="00CF3673" w:rsidTr="004F7D5E">
        <w:trPr>
          <w:jc w:val="center"/>
        </w:trPr>
        <w:tc>
          <w:tcPr>
            <w:tcW w:w="2821" w:type="dxa"/>
            <w:tcBorders>
              <w:top w:val="single" w:sz="4" w:space="0" w:color="auto"/>
              <w:left w:val="nil"/>
              <w:bottom w:val="nil"/>
              <w:right w:val="nil"/>
            </w:tcBorders>
          </w:tcPr>
          <w:p w:rsidR="001B2368" w:rsidRPr="00CF3673" w:rsidRDefault="001B2368" w:rsidP="00305351">
            <w:pPr>
              <w:widowControl w:val="0"/>
              <w:autoSpaceDE w:val="0"/>
              <w:autoSpaceDN w:val="0"/>
              <w:adjustRightInd w:val="0"/>
              <w:spacing w:after="0"/>
              <w:rPr>
                <w:sz w:val="20"/>
                <w:szCs w:val="20"/>
              </w:rPr>
            </w:pPr>
            <w:r w:rsidRPr="00CF3673">
              <w:rPr>
                <w:sz w:val="20"/>
                <w:szCs w:val="20"/>
              </w:rPr>
              <w:t>P</w:t>
            </w:r>
            <w:r w:rsidR="00305351" w:rsidRPr="00CF3673">
              <w:rPr>
                <w:sz w:val="20"/>
                <w:szCs w:val="20"/>
              </w:rPr>
              <w:t>arceria</w:t>
            </w:r>
          </w:p>
        </w:tc>
        <w:tc>
          <w:tcPr>
            <w:tcW w:w="1313" w:type="dxa"/>
            <w:tcBorders>
              <w:top w:val="single" w:sz="4" w:space="0" w:color="auto"/>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0.013</w:t>
            </w:r>
          </w:p>
        </w:tc>
        <w:tc>
          <w:tcPr>
            <w:tcW w:w="1382" w:type="dxa"/>
            <w:tcBorders>
              <w:top w:val="single" w:sz="4" w:space="0" w:color="auto"/>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-0.004</w:t>
            </w:r>
          </w:p>
        </w:tc>
        <w:tc>
          <w:tcPr>
            <w:tcW w:w="1453" w:type="dxa"/>
            <w:tcBorders>
              <w:top w:val="single" w:sz="4" w:space="0" w:color="auto"/>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0.001</w:t>
            </w:r>
          </w:p>
        </w:tc>
        <w:tc>
          <w:tcPr>
            <w:tcW w:w="1276" w:type="dxa"/>
            <w:tcBorders>
              <w:top w:val="single" w:sz="4" w:space="0" w:color="auto"/>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0.015</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rPr>
                <w:sz w:val="20"/>
                <w:szCs w:val="20"/>
              </w:rPr>
            </w:pP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(0.36)</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(0.03)</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(0.03)</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(0.13)</w:t>
            </w:r>
          </w:p>
        </w:tc>
      </w:tr>
      <w:tr w:rsidR="001B2368" w:rsidRPr="00CF3673" w:rsidTr="004F7D5E">
        <w:trPr>
          <w:jc w:val="center"/>
        </w:trPr>
        <w:tc>
          <w:tcPr>
            <w:tcW w:w="2821" w:type="dxa"/>
            <w:tcBorders>
              <w:top w:val="nil"/>
              <w:left w:val="nil"/>
              <w:bottom w:val="nil"/>
              <w:right w:val="nil"/>
            </w:tcBorders>
          </w:tcPr>
          <w:p w:rsidR="001B2368" w:rsidRPr="00CF3673" w:rsidRDefault="00305351" w:rsidP="004F7D5E">
            <w:pPr>
              <w:widowControl w:val="0"/>
              <w:autoSpaceDE w:val="0"/>
              <w:autoSpaceDN w:val="0"/>
              <w:adjustRightInd w:val="0"/>
              <w:spacing w:after="0"/>
              <w:rPr>
                <w:sz w:val="20"/>
                <w:szCs w:val="20"/>
              </w:rPr>
            </w:pPr>
            <w:r w:rsidRPr="00CF3673">
              <w:rPr>
                <w:sz w:val="20"/>
                <w:szCs w:val="20"/>
              </w:rPr>
              <w:t>Responsabilidade limitada</w:t>
            </w: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0.110</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-0.400***</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0.100</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-0.401***</w:t>
            </w:r>
          </w:p>
        </w:tc>
      </w:tr>
      <w:tr w:rsidR="001B2368" w:rsidRPr="00CF3673" w:rsidTr="004F7D5E">
        <w:trPr>
          <w:jc w:val="center"/>
        </w:trPr>
        <w:tc>
          <w:tcPr>
            <w:tcW w:w="2821" w:type="dxa"/>
            <w:tcBorders>
              <w:top w:val="nil"/>
              <w:left w:val="nil"/>
              <w:bottom w:val="nil"/>
              <w:right w:val="nil"/>
            </w:tcBorders>
          </w:tcPr>
          <w:p w:rsidR="001B2368" w:rsidRPr="00CF3673" w:rsidRDefault="001B2368" w:rsidP="004F7D5E">
            <w:pPr>
              <w:widowControl w:val="0"/>
              <w:autoSpaceDE w:val="0"/>
              <w:autoSpaceDN w:val="0"/>
              <w:adjustRightInd w:val="0"/>
              <w:spacing w:after="0" w:line="240" w:lineRule="auto"/>
              <w:rPr>
                <w:rFonts w:cs="Times New Roman"/>
                <w:sz w:val="20"/>
                <w:szCs w:val="20"/>
              </w:rPr>
            </w:pPr>
          </w:p>
        </w:tc>
        <w:tc>
          <w:tcPr>
            <w:tcW w:w="131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(1.04)</w:t>
            </w:r>
          </w:p>
        </w:tc>
        <w:tc>
          <w:tcPr>
            <w:tcW w:w="1382"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(3.03)</w:t>
            </w:r>
          </w:p>
        </w:tc>
        <w:tc>
          <w:tcPr>
            <w:tcW w:w="1453"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(0.92)</w:t>
            </w:r>
          </w:p>
        </w:tc>
        <w:tc>
          <w:tcPr>
            <w:tcW w:w="1276" w:type="dxa"/>
            <w:tcBorders>
              <w:top w:val="nil"/>
              <w:left w:val="nil"/>
              <w:bottom w:val="nil"/>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(2.96)</w:t>
            </w:r>
          </w:p>
        </w:tc>
      </w:tr>
      <w:tr w:rsidR="001B2368" w:rsidRPr="00CF3673" w:rsidTr="004F7D5E">
        <w:trPr>
          <w:jc w:val="center"/>
        </w:trPr>
        <w:tc>
          <w:tcPr>
            <w:tcW w:w="2821" w:type="dxa"/>
            <w:tcBorders>
              <w:top w:val="single" w:sz="4" w:space="0" w:color="auto"/>
              <w:left w:val="nil"/>
              <w:right w:val="nil"/>
            </w:tcBorders>
          </w:tcPr>
          <w:p w:rsidR="001B2368" w:rsidRPr="00CF3673" w:rsidRDefault="0071433C" w:rsidP="0071433C">
            <w:pPr>
              <w:widowControl w:val="0"/>
              <w:autoSpaceDE w:val="0"/>
              <w:autoSpaceDN w:val="0"/>
              <w:adjustRightInd w:val="0"/>
              <w:spacing w:after="0" w:line="240" w:lineRule="auto"/>
              <w:rPr>
                <w:rFonts w:cs="Times New Roman"/>
                <w:sz w:val="20"/>
                <w:szCs w:val="20"/>
              </w:rPr>
            </w:pPr>
            <w:proofErr w:type="spellStart"/>
            <w:r w:rsidRPr="00CF3673">
              <w:rPr>
                <w:rFonts w:cs="Times New Roman"/>
                <w:sz w:val="20"/>
                <w:szCs w:val="20"/>
              </w:rPr>
              <w:t>Dummies</w:t>
            </w:r>
            <w:proofErr w:type="spellEnd"/>
            <w:r w:rsidRPr="00CF3673">
              <w:rPr>
                <w:rFonts w:cs="Times New Roman"/>
                <w:sz w:val="20"/>
                <w:szCs w:val="20"/>
              </w:rPr>
              <w:t xml:space="preserve"> do </w:t>
            </w:r>
            <w:r w:rsidR="001B2368" w:rsidRPr="00CF3673">
              <w:rPr>
                <w:rFonts w:cs="Times New Roman"/>
                <w:sz w:val="20"/>
                <w:szCs w:val="20"/>
              </w:rPr>
              <w:t>Sector</w:t>
            </w:r>
          </w:p>
        </w:tc>
        <w:tc>
          <w:tcPr>
            <w:tcW w:w="1313" w:type="dxa"/>
            <w:tcBorders>
              <w:top w:val="single" w:sz="4" w:space="0" w:color="auto"/>
              <w:left w:val="nil"/>
              <w:right w:val="nil"/>
            </w:tcBorders>
          </w:tcPr>
          <w:p w:rsidR="001B2368" w:rsidRPr="00CF3673" w:rsidRDefault="006A4724"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Sim</w:t>
            </w:r>
          </w:p>
        </w:tc>
        <w:tc>
          <w:tcPr>
            <w:tcW w:w="1382" w:type="dxa"/>
            <w:tcBorders>
              <w:top w:val="single" w:sz="4" w:space="0" w:color="auto"/>
              <w:left w:val="nil"/>
              <w:right w:val="nil"/>
            </w:tcBorders>
          </w:tcPr>
          <w:p w:rsidR="001B2368" w:rsidRPr="00CF3673" w:rsidRDefault="006A4724"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Sim</w:t>
            </w:r>
          </w:p>
        </w:tc>
        <w:tc>
          <w:tcPr>
            <w:tcW w:w="1453" w:type="dxa"/>
            <w:tcBorders>
              <w:top w:val="single" w:sz="4" w:space="0" w:color="auto"/>
              <w:left w:val="nil"/>
              <w:right w:val="nil"/>
            </w:tcBorders>
          </w:tcPr>
          <w:p w:rsidR="001B2368" w:rsidRPr="00CF3673" w:rsidRDefault="006A4724"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Sim</w:t>
            </w:r>
          </w:p>
        </w:tc>
        <w:tc>
          <w:tcPr>
            <w:tcW w:w="1276" w:type="dxa"/>
            <w:tcBorders>
              <w:top w:val="single" w:sz="4" w:space="0" w:color="auto"/>
              <w:left w:val="nil"/>
              <w:right w:val="nil"/>
            </w:tcBorders>
          </w:tcPr>
          <w:p w:rsidR="001B2368" w:rsidRPr="00CF3673" w:rsidRDefault="006A4724"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Sim</w:t>
            </w:r>
          </w:p>
        </w:tc>
      </w:tr>
      <w:tr w:rsidR="001B2368" w:rsidRPr="00CF3673" w:rsidTr="004F7D5E">
        <w:trPr>
          <w:jc w:val="center"/>
        </w:trPr>
        <w:tc>
          <w:tcPr>
            <w:tcW w:w="2821" w:type="dxa"/>
            <w:tcBorders>
              <w:top w:val="nil"/>
              <w:left w:val="nil"/>
              <w:bottom w:val="single" w:sz="4" w:space="0" w:color="auto"/>
              <w:right w:val="nil"/>
            </w:tcBorders>
          </w:tcPr>
          <w:p w:rsidR="001B2368" w:rsidRPr="00CF3673" w:rsidRDefault="001B2368" w:rsidP="0071433C">
            <w:pPr>
              <w:widowControl w:val="0"/>
              <w:autoSpaceDE w:val="0"/>
              <w:autoSpaceDN w:val="0"/>
              <w:adjustRightInd w:val="0"/>
              <w:spacing w:after="0" w:line="240" w:lineRule="auto"/>
              <w:rPr>
                <w:rFonts w:cs="Times New Roman"/>
                <w:sz w:val="20"/>
                <w:szCs w:val="20"/>
              </w:rPr>
            </w:pPr>
            <w:r w:rsidRPr="00CF3673">
              <w:rPr>
                <w:rFonts w:cs="Times New Roman"/>
                <w:sz w:val="20"/>
                <w:szCs w:val="20"/>
              </w:rPr>
              <w:t>Loca</w:t>
            </w:r>
            <w:r w:rsidR="0071433C" w:rsidRPr="00CF3673">
              <w:rPr>
                <w:rFonts w:cs="Times New Roman"/>
                <w:sz w:val="20"/>
                <w:szCs w:val="20"/>
              </w:rPr>
              <w:t xml:space="preserve">lização do </w:t>
            </w:r>
            <w:proofErr w:type="spellStart"/>
            <w:r w:rsidRPr="00CF3673">
              <w:rPr>
                <w:rFonts w:cs="Times New Roman"/>
                <w:sz w:val="20"/>
                <w:szCs w:val="20"/>
              </w:rPr>
              <w:t>dummies</w:t>
            </w:r>
            <w:proofErr w:type="spellEnd"/>
          </w:p>
        </w:tc>
        <w:tc>
          <w:tcPr>
            <w:tcW w:w="1313" w:type="dxa"/>
            <w:tcBorders>
              <w:top w:val="nil"/>
              <w:left w:val="nil"/>
              <w:bottom w:val="single" w:sz="4" w:space="0" w:color="auto"/>
              <w:right w:val="nil"/>
            </w:tcBorders>
          </w:tcPr>
          <w:p w:rsidR="001B2368" w:rsidRPr="00CF3673" w:rsidRDefault="006A4724"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Sim</w:t>
            </w:r>
          </w:p>
        </w:tc>
        <w:tc>
          <w:tcPr>
            <w:tcW w:w="1382" w:type="dxa"/>
            <w:tcBorders>
              <w:top w:val="nil"/>
              <w:left w:val="nil"/>
              <w:bottom w:val="single" w:sz="4" w:space="0" w:color="auto"/>
              <w:right w:val="nil"/>
            </w:tcBorders>
          </w:tcPr>
          <w:p w:rsidR="001B2368" w:rsidRPr="00CF3673" w:rsidRDefault="006A4724"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Sim</w:t>
            </w:r>
          </w:p>
        </w:tc>
        <w:tc>
          <w:tcPr>
            <w:tcW w:w="1453" w:type="dxa"/>
            <w:tcBorders>
              <w:top w:val="nil"/>
              <w:left w:val="nil"/>
              <w:bottom w:val="single" w:sz="4" w:space="0" w:color="auto"/>
              <w:right w:val="nil"/>
            </w:tcBorders>
          </w:tcPr>
          <w:p w:rsidR="001B2368" w:rsidRPr="00CF3673" w:rsidRDefault="006A4724"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Sim</w:t>
            </w:r>
          </w:p>
        </w:tc>
        <w:tc>
          <w:tcPr>
            <w:tcW w:w="1276" w:type="dxa"/>
            <w:tcBorders>
              <w:top w:val="nil"/>
              <w:left w:val="nil"/>
              <w:bottom w:val="single" w:sz="4" w:space="0" w:color="auto"/>
              <w:right w:val="nil"/>
            </w:tcBorders>
          </w:tcPr>
          <w:p w:rsidR="001B2368" w:rsidRPr="00CF3673" w:rsidRDefault="006A4724"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Sim</w:t>
            </w:r>
          </w:p>
        </w:tc>
      </w:tr>
      <w:tr w:rsidR="001B2368" w:rsidRPr="00CF3673" w:rsidTr="001B2368">
        <w:trPr>
          <w:jc w:val="center"/>
        </w:trPr>
        <w:tc>
          <w:tcPr>
            <w:tcW w:w="2821" w:type="dxa"/>
            <w:tcBorders>
              <w:top w:val="single" w:sz="4" w:space="0" w:color="auto"/>
              <w:left w:val="nil"/>
              <w:right w:val="nil"/>
            </w:tcBorders>
          </w:tcPr>
          <w:p w:rsidR="001B2368" w:rsidRPr="00CF3673" w:rsidRDefault="001B2368" w:rsidP="004F7D5E">
            <w:pPr>
              <w:widowControl w:val="0"/>
              <w:autoSpaceDE w:val="0"/>
              <w:autoSpaceDN w:val="0"/>
              <w:adjustRightInd w:val="0"/>
              <w:spacing w:after="0" w:line="240" w:lineRule="auto"/>
              <w:rPr>
                <w:rFonts w:cs="Times New Roman"/>
                <w:sz w:val="20"/>
                <w:szCs w:val="20"/>
              </w:rPr>
            </w:pPr>
            <w:r w:rsidRPr="00CF3673">
              <w:rPr>
                <w:rFonts w:cs="Times New Roman"/>
                <w:sz w:val="20"/>
                <w:szCs w:val="20"/>
              </w:rPr>
              <w:t>R-</w:t>
            </w:r>
            <w:proofErr w:type="spellStart"/>
            <w:r w:rsidRPr="00CF3673">
              <w:rPr>
                <w:rFonts w:cs="Times New Roman"/>
                <w:sz w:val="20"/>
                <w:szCs w:val="20"/>
              </w:rPr>
              <w:t>squared</w:t>
            </w:r>
            <w:proofErr w:type="spellEnd"/>
          </w:p>
        </w:tc>
        <w:tc>
          <w:tcPr>
            <w:tcW w:w="1313" w:type="dxa"/>
            <w:tcBorders>
              <w:top w:val="single" w:sz="4" w:space="0" w:color="auto"/>
              <w:left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0.07</w:t>
            </w:r>
          </w:p>
        </w:tc>
        <w:tc>
          <w:tcPr>
            <w:tcW w:w="1382" w:type="dxa"/>
            <w:tcBorders>
              <w:top w:val="single" w:sz="4" w:space="0" w:color="auto"/>
              <w:left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0.09</w:t>
            </w:r>
          </w:p>
        </w:tc>
        <w:tc>
          <w:tcPr>
            <w:tcW w:w="1453" w:type="dxa"/>
            <w:tcBorders>
              <w:top w:val="single" w:sz="4" w:space="0" w:color="auto"/>
              <w:left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0.07</w:t>
            </w:r>
          </w:p>
        </w:tc>
        <w:tc>
          <w:tcPr>
            <w:tcW w:w="1276" w:type="dxa"/>
            <w:tcBorders>
              <w:top w:val="single" w:sz="4" w:space="0" w:color="auto"/>
              <w:left w:val="nil"/>
              <w:right w:val="nil"/>
            </w:tcBorders>
          </w:tcPr>
          <w:p w:rsidR="001B2368" w:rsidRPr="00CF3673" w:rsidRDefault="001B2368" w:rsidP="004F7D5E">
            <w:pPr>
              <w:widowControl w:val="0"/>
              <w:autoSpaceDE w:val="0"/>
              <w:autoSpaceDN w:val="0"/>
              <w:adjustRightInd w:val="0"/>
              <w:spacing w:after="0" w:line="240" w:lineRule="auto"/>
              <w:jc w:val="center"/>
              <w:rPr>
                <w:rFonts w:cs="Times New Roman"/>
                <w:sz w:val="20"/>
                <w:szCs w:val="20"/>
              </w:rPr>
            </w:pPr>
            <w:r w:rsidRPr="00CF3673">
              <w:rPr>
                <w:rFonts w:cs="Times New Roman"/>
                <w:sz w:val="20"/>
                <w:szCs w:val="20"/>
              </w:rPr>
              <w:t>0.10</w:t>
            </w:r>
          </w:p>
        </w:tc>
      </w:tr>
      <w:tr w:rsidR="001B2368" w:rsidRPr="00CF3673" w:rsidTr="001B2368">
        <w:trPr>
          <w:jc w:val="center"/>
        </w:trPr>
        <w:tc>
          <w:tcPr>
            <w:tcW w:w="2821" w:type="dxa"/>
            <w:tcBorders>
              <w:top w:val="nil"/>
              <w:left w:val="nil"/>
              <w:bottom w:val="double" w:sz="4" w:space="0" w:color="auto"/>
              <w:right w:val="nil"/>
            </w:tcBorders>
          </w:tcPr>
          <w:p w:rsidR="001B2368" w:rsidRPr="00CF3673" w:rsidRDefault="001B2368" w:rsidP="00305351">
            <w:pPr>
              <w:widowControl w:val="0"/>
              <w:autoSpaceDE w:val="0"/>
              <w:autoSpaceDN w:val="0"/>
              <w:adjustRightInd w:val="0"/>
              <w:spacing w:after="0" w:line="240" w:lineRule="auto"/>
              <w:rPr>
                <w:rFonts w:cs="Times New Roman"/>
                <w:sz w:val="20"/>
                <w:szCs w:val="20"/>
              </w:rPr>
            </w:pPr>
            <w:r w:rsidRPr="00CF3673">
              <w:rPr>
                <w:rFonts w:cs="Times New Roman"/>
                <w:sz w:val="20"/>
                <w:szCs w:val="20"/>
              </w:rPr>
              <w:t>Observa</w:t>
            </w:r>
            <w:r w:rsidR="00305351" w:rsidRPr="00CF3673">
              <w:rPr>
                <w:rFonts w:cs="Times New Roman"/>
                <w:sz w:val="20"/>
                <w:szCs w:val="20"/>
              </w:rPr>
              <w:t xml:space="preserve">ções </w:t>
            </w:r>
          </w:p>
        </w:tc>
        <w:tc>
          <w:tcPr>
            <w:tcW w:w="1313" w:type="dxa"/>
            <w:tcBorders>
              <w:top w:val="nil"/>
              <w:left w:val="nil"/>
              <w:bottom w:val="double" w:sz="4" w:space="0" w:color="auto"/>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674</w:t>
            </w:r>
          </w:p>
        </w:tc>
        <w:tc>
          <w:tcPr>
            <w:tcW w:w="1382" w:type="dxa"/>
            <w:tcBorders>
              <w:top w:val="nil"/>
              <w:left w:val="nil"/>
              <w:bottom w:val="double" w:sz="4" w:space="0" w:color="auto"/>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288</w:t>
            </w:r>
          </w:p>
        </w:tc>
        <w:tc>
          <w:tcPr>
            <w:tcW w:w="1453" w:type="dxa"/>
            <w:tcBorders>
              <w:top w:val="nil"/>
              <w:left w:val="nil"/>
              <w:bottom w:val="double" w:sz="4" w:space="0" w:color="auto"/>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674</w:t>
            </w:r>
          </w:p>
        </w:tc>
        <w:tc>
          <w:tcPr>
            <w:tcW w:w="1276" w:type="dxa"/>
            <w:tcBorders>
              <w:top w:val="nil"/>
              <w:left w:val="nil"/>
              <w:bottom w:val="double" w:sz="4" w:space="0" w:color="auto"/>
              <w:right w:val="nil"/>
            </w:tcBorders>
          </w:tcPr>
          <w:p w:rsidR="001B2368" w:rsidRPr="00CF3673" w:rsidRDefault="001B2368" w:rsidP="004F7D5E">
            <w:pPr>
              <w:widowControl w:val="0"/>
              <w:tabs>
                <w:tab w:val="decimal" w:pos="448"/>
              </w:tabs>
              <w:autoSpaceDE w:val="0"/>
              <w:autoSpaceDN w:val="0"/>
              <w:adjustRightInd w:val="0"/>
              <w:spacing w:after="0" w:line="240" w:lineRule="auto"/>
              <w:jc w:val="center"/>
              <w:rPr>
                <w:rFonts w:ascii="Calibri" w:hAnsi="Calibri" w:cs="Calibri"/>
                <w:sz w:val="20"/>
                <w:szCs w:val="20"/>
              </w:rPr>
            </w:pPr>
            <w:r w:rsidRPr="00CF3673">
              <w:rPr>
                <w:rFonts w:ascii="Calibri" w:hAnsi="Calibri" w:cs="Calibri"/>
                <w:sz w:val="20"/>
                <w:szCs w:val="20"/>
              </w:rPr>
              <w:t>288</w:t>
            </w:r>
          </w:p>
        </w:tc>
      </w:tr>
      <w:tr w:rsidR="001B2368" w:rsidRPr="00CF3673" w:rsidTr="001B2368">
        <w:trPr>
          <w:jc w:val="center"/>
        </w:trPr>
        <w:tc>
          <w:tcPr>
            <w:tcW w:w="8245" w:type="dxa"/>
            <w:gridSpan w:val="5"/>
            <w:tcBorders>
              <w:top w:val="double" w:sz="4" w:space="0" w:color="auto"/>
              <w:left w:val="nil"/>
              <w:right w:val="nil"/>
            </w:tcBorders>
          </w:tcPr>
          <w:p w:rsidR="001B2368" w:rsidRPr="00CF3673" w:rsidRDefault="001B2368" w:rsidP="006A4724">
            <w:pPr>
              <w:pStyle w:val="Tablenote"/>
              <w:rPr>
                <w:rFonts w:cs="Times New Roman"/>
                <w:lang w:val="pt-PT"/>
              </w:rPr>
            </w:pPr>
            <w:r w:rsidRPr="00CF3673">
              <w:rPr>
                <w:b/>
                <w:lang w:val="pt-PT"/>
              </w:rPr>
              <w:t>Not</w:t>
            </w:r>
            <w:r w:rsidR="00305351" w:rsidRPr="00CF3673">
              <w:rPr>
                <w:b/>
                <w:lang w:val="pt-PT"/>
              </w:rPr>
              <w:t>a</w:t>
            </w:r>
            <w:r w:rsidRPr="00CF3673">
              <w:rPr>
                <w:lang w:val="pt-PT"/>
              </w:rPr>
              <w:t xml:space="preserve">: OLS. </w:t>
            </w:r>
            <w:r w:rsidR="006A4724" w:rsidRPr="00CF3673">
              <w:rPr>
                <w:lang w:val="pt-PT"/>
              </w:rPr>
              <w:t>Crescimento</w:t>
            </w:r>
            <w:r w:rsidR="00200EE4" w:rsidRPr="00CF3673">
              <w:rPr>
                <w:lang w:val="pt-PT"/>
              </w:rPr>
              <w:t xml:space="preserve"> de </w:t>
            </w:r>
            <w:r w:rsidRPr="00CF3673">
              <w:rPr>
                <w:lang w:val="pt-PT"/>
              </w:rPr>
              <w:t xml:space="preserve">2010 </w:t>
            </w:r>
            <w:r w:rsidR="00200EE4" w:rsidRPr="00CF3673">
              <w:rPr>
                <w:lang w:val="pt-PT"/>
              </w:rPr>
              <w:t>a</w:t>
            </w:r>
            <w:r w:rsidRPr="00CF3673">
              <w:rPr>
                <w:lang w:val="pt-PT"/>
              </w:rPr>
              <w:t xml:space="preserve"> 2011. </w:t>
            </w:r>
            <w:proofErr w:type="spellStart"/>
            <w:r w:rsidRPr="00CF3673">
              <w:rPr>
                <w:lang w:val="pt-PT"/>
              </w:rPr>
              <w:t>Heteroscedastic</w:t>
            </w:r>
            <w:r w:rsidR="006A4724" w:rsidRPr="00CF3673">
              <w:rPr>
                <w:lang w:val="pt-PT"/>
              </w:rPr>
              <w:t>idade</w:t>
            </w:r>
            <w:proofErr w:type="spellEnd"/>
            <w:r w:rsidRPr="00CF3673">
              <w:rPr>
                <w:lang w:val="pt-PT"/>
              </w:rPr>
              <w:t xml:space="preserve"> consistent</w:t>
            </w:r>
            <w:r w:rsidR="00200EE4" w:rsidRPr="00CF3673">
              <w:rPr>
                <w:lang w:val="pt-PT"/>
              </w:rPr>
              <w:t>e</w:t>
            </w:r>
            <w:r w:rsidRPr="00CF3673">
              <w:rPr>
                <w:lang w:val="pt-PT"/>
              </w:rPr>
              <w:t xml:space="preserve"> t-</w:t>
            </w:r>
            <w:proofErr w:type="spellStart"/>
            <w:r w:rsidR="00200EE4" w:rsidRPr="00CF3673">
              <w:rPr>
                <w:lang w:val="pt-PT"/>
              </w:rPr>
              <w:t>est</w:t>
            </w:r>
            <w:r w:rsidRPr="00CF3673">
              <w:rPr>
                <w:lang w:val="pt-PT"/>
              </w:rPr>
              <w:t>atistic</w:t>
            </w:r>
            <w:r w:rsidR="00200EE4" w:rsidRPr="00CF3673">
              <w:rPr>
                <w:lang w:val="pt-PT"/>
              </w:rPr>
              <w:t>a</w:t>
            </w:r>
            <w:r w:rsidRPr="00CF3673">
              <w:rPr>
                <w:lang w:val="pt-PT"/>
              </w:rPr>
              <w:t>s</w:t>
            </w:r>
            <w:proofErr w:type="spellEnd"/>
            <w:r w:rsidRPr="00CF3673">
              <w:rPr>
                <w:lang w:val="pt-PT"/>
              </w:rPr>
              <w:t xml:space="preserve"> </w:t>
            </w:r>
            <w:r w:rsidR="00200EE4" w:rsidRPr="00CF3673">
              <w:rPr>
                <w:lang w:val="pt-PT"/>
              </w:rPr>
              <w:t xml:space="preserve">em </w:t>
            </w:r>
            <w:r w:rsidRPr="00CF3673">
              <w:rPr>
                <w:lang w:val="pt-PT"/>
              </w:rPr>
              <w:t>parent</w:t>
            </w:r>
            <w:r w:rsidR="00200EE4" w:rsidRPr="00CF3673">
              <w:rPr>
                <w:lang w:val="pt-PT"/>
              </w:rPr>
              <w:t>eses</w:t>
            </w:r>
            <w:r w:rsidRPr="00CF3673">
              <w:rPr>
                <w:lang w:val="pt-PT"/>
              </w:rPr>
              <w:t xml:space="preserve"> *, ** </w:t>
            </w:r>
            <w:r w:rsidR="00200EE4" w:rsidRPr="00CF3673">
              <w:rPr>
                <w:lang w:val="pt-PT"/>
              </w:rPr>
              <w:t>e</w:t>
            </w:r>
            <w:r w:rsidRPr="00CF3673">
              <w:rPr>
                <w:lang w:val="pt-PT"/>
              </w:rPr>
              <w:t xml:space="preserve"> *** indica </w:t>
            </w:r>
            <w:r w:rsidR="006A4724" w:rsidRPr="00CF3673">
              <w:rPr>
                <w:lang w:val="pt-PT"/>
              </w:rPr>
              <w:t>significância</w:t>
            </w:r>
            <w:r w:rsidRPr="00CF3673">
              <w:rPr>
                <w:lang w:val="pt-PT"/>
              </w:rPr>
              <w:t xml:space="preserve"> </w:t>
            </w:r>
            <w:r w:rsidR="00200EE4" w:rsidRPr="00CF3673">
              <w:rPr>
                <w:lang w:val="pt-PT"/>
              </w:rPr>
              <w:t>ao nível de</w:t>
            </w:r>
            <w:r w:rsidRPr="00CF3673">
              <w:rPr>
                <w:lang w:val="pt-PT"/>
              </w:rPr>
              <w:t xml:space="preserve"> 10</w:t>
            </w:r>
            <w:r w:rsidR="00200EE4" w:rsidRPr="00CF3673">
              <w:rPr>
                <w:lang w:val="pt-PT"/>
              </w:rPr>
              <w:t>%</w:t>
            </w:r>
            <w:r w:rsidRPr="00CF3673">
              <w:rPr>
                <w:lang w:val="pt-PT"/>
              </w:rPr>
              <w:t>, 5</w:t>
            </w:r>
            <w:r w:rsidR="00200EE4" w:rsidRPr="00CF3673">
              <w:rPr>
                <w:lang w:val="pt-PT"/>
              </w:rPr>
              <w:t>%</w:t>
            </w:r>
            <w:r w:rsidRPr="00CF3673">
              <w:rPr>
                <w:lang w:val="pt-PT"/>
              </w:rPr>
              <w:t>.</w:t>
            </w:r>
            <w:r w:rsidR="00200EE4" w:rsidRPr="00CF3673">
              <w:rPr>
                <w:lang w:val="pt-PT"/>
              </w:rPr>
              <w:t>e</w:t>
            </w:r>
            <w:r w:rsidRPr="00CF3673">
              <w:rPr>
                <w:lang w:val="pt-PT"/>
              </w:rPr>
              <w:t xml:space="preserve"> 1</w:t>
            </w:r>
            <w:r w:rsidR="00200EE4" w:rsidRPr="00CF3673">
              <w:rPr>
                <w:lang w:val="pt-PT"/>
              </w:rPr>
              <w:t>%</w:t>
            </w:r>
            <w:r w:rsidRPr="00CF3673">
              <w:rPr>
                <w:lang w:val="pt-PT"/>
              </w:rPr>
              <w:t>, respecti</w:t>
            </w:r>
            <w:r w:rsidR="00200EE4" w:rsidRPr="00CF3673">
              <w:rPr>
                <w:lang w:val="pt-PT"/>
              </w:rPr>
              <w:t>vamente</w:t>
            </w:r>
            <w:r w:rsidRPr="00CF3673">
              <w:rPr>
                <w:lang w:val="pt-PT"/>
              </w:rPr>
              <w:t xml:space="preserve">. Base: Informal, </w:t>
            </w:r>
            <w:r w:rsidR="00200EE4" w:rsidRPr="00CF3673">
              <w:rPr>
                <w:lang w:val="pt-PT"/>
              </w:rPr>
              <w:t xml:space="preserve">Detida por </w:t>
            </w:r>
            <w:r w:rsidR="00761AD0" w:rsidRPr="00CF3673">
              <w:rPr>
                <w:lang w:val="pt-PT"/>
              </w:rPr>
              <w:t>moçambicano</w:t>
            </w:r>
            <w:r w:rsidRPr="00CF3673">
              <w:rPr>
                <w:lang w:val="pt-PT"/>
              </w:rPr>
              <w:t xml:space="preserve">, </w:t>
            </w:r>
            <w:r w:rsidR="00200EE4" w:rsidRPr="00CF3673">
              <w:rPr>
                <w:lang w:val="pt-PT"/>
              </w:rPr>
              <w:t>menos do que educação universitária</w:t>
            </w:r>
            <w:r w:rsidRPr="00CF3673">
              <w:rPr>
                <w:lang w:val="pt-PT"/>
              </w:rPr>
              <w:t xml:space="preserve">, </w:t>
            </w:r>
            <w:r w:rsidR="00200EE4" w:rsidRPr="00CF3673">
              <w:rPr>
                <w:lang w:val="pt-PT"/>
              </w:rPr>
              <w:t>Propriedade individual</w:t>
            </w:r>
            <w:r w:rsidRPr="00CF3673">
              <w:rPr>
                <w:lang w:val="pt-PT"/>
              </w:rPr>
              <w:t xml:space="preserve">, Maputo, </w:t>
            </w:r>
            <w:r w:rsidR="00200EE4" w:rsidRPr="00CF3673">
              <w:rPr>
                <w:lang w:val="pt-PT"/>
              </w:rPr>
              <w:t>Sector de Alimentação e Tabaco</w:t>
            </w:r>
            <w:r w:rsidRPr="00CF3673">
              <w:rPr>
                <w:lang w:val="pt-PT"/>
              </w:rPr>
              <w:t xml:space="preserve"> (ISIC 15 </w:t>
            </w:r>
            <w:proofErr w:type="spellStart"/>
            <w:r w:rsidRPr="00CF3673">
              <w:rPr>
                <w:lang w:val="pt-PT"/>
              </w:rPr>
              <w:t>and</w:t>
            </w:r>
            <w:proofErr w:type="spellEnd"/>
            <w:r w:rsidRPr="00CF3673">
              <w:rPr>
                <w:lang w:val="pt-PT"/>
              </w:rPr>
              <w:t xml:space="preserve"> 16)</w:t>
            </w:r>
          </w:p>
        </w:tc>
      </w:tr>
      <w:tr w:rsidR="001B2368" w:rsidRPr="00CF3673" w:rsidTr="004F7D5E">
        <w:trPr>
          <w:jc w:val="center"/>
        </w:trPr>
        <w:tc>
          <w:tcPr>
            <w:tcW w:w="8245" w:type="dxa"/>
            <w:gridSpan w:val="5"/>
            <w:tcBorders>
              <w:left w:val="nil"/>
              <w:right w:val="nil"/>
            </w:tcBorders>
          </w:tcPr>
          <w:p w:rsidR="001B2368" w:rsidRPr="00CF3673" w:rsidRDefault="006A4724" w:rsidP="00200EE4">
            <w:pPr>
              <w:pStyle w:val="Tablenote"/>
              <w:rPr>
                <w:b/>
                <w:lang w:val="pt-PT"/>
              </w:rPr>
            </w:pPr>
            <w:r w:rsidRPr="00CF3673">
              <w:rPr>
                <w:b/>
                <w:lang w:val="pt-PT" w:eastAsia="en-GB"/>
              </w:rPr>
              <w:t>Fonte:</w:t>
            </w:r>
            <w:r w:rsidR="001B2368" w:rsidRPr="00CF3673">
              <w:rPr>
                <w:lang w:val="pt-PT" w:eastAsia="en-GB"/>
              </w:rPr>
              <w:t xml:space="preserve">: </w:t>
            </w:r>
            <w:r w:rsidRPr="00CF3673">
              <w:rPr>
                <w:lang w:val="pt-PT" w:eastAsia="en-GB"/>
              </w:rPr>
              <w:t>Cálculos</w:t>
            </w:r>
            <w:r w:rsidR="00200EE4" w:rsidRPr="00CF3673">
              <w:rPr>
                <w:lang w:val="pt-PT" w:eastAsia="en-GB"/>
              </w:rPr>
              <w:t xml:space="preserve"> dos autores com base no </w:t>
            </w:r>
            <w:r w:rsidR="001B2368" w:rsidRPr="00CF3673">
              <w:rPr>
                <w:lang w:val="pt-PT" w:eastAsia="en-GB"/>
              </w:rPr>
              <w:t>IIM 2012.</w:t>
            </w:r>
          </w:p>
        </w:tc>
      </w:tr>
    </w:tbl>
    <w:p w:rsidR="00376503" w:rsidRPr="00CF3673" w:rsidRDefault="00376503" w:rsidP="00376503">
      <w:pPr>
        <w:pStyle w:val="TableTitle"/>
        <w:rPr>
          <w:rStyle w:val="Strong"/>
          <w:b/>
          <w:bCs w:val="0"/>
          <w:lang w:val="pt-PT"/>
        </w:rPr>
      </w:pPr>
    </w:p>
    <w:p w:rsidR="00376503" w:rsidRPr="00CF3673" w:rsidRDefault="00761AD0" w:rsidP="00376503">
      <w:pPr>
        <w:pStyle w:val="TableTitle"/>
        <w:rPr>
          <w:lang w:val="pt-PT"/>
        </w:rPr>
      </w:pPr>
      <w:bookmarkStart w:id="74" w:name="_Toc360720495"/>
      <w:r w:rsidRPr="00CF3673">
        <w:rPr>
          <w:lang w:val="pt-PT"/>
        </w:rPr>
        <w:t>Tabela</w:t>
      </w:r>
      <w:r w:rsidR="00376503" w:rsidRPr="00CF3673">
        <w:rPr>
          <w:lang w:val="pt-PT"/>
        </w:rPr>
        <w:t xml:space="preserve"> 8.</w:t>
      </w:r>
      <w:r w:rsidR="00B2651F" w:rsidRPr="00CF3673">
        <w:rPr>
          <w:lang w:val="pt-PT"/>
        </w:rPr>
        <w:t>9</w:t>
      </w:r>
      <w:r w:rsidR="00A062E0" w:rsidRPr="00CF3673">
        <w:rPr>
          <w:lang w:val="pt-PT"/>
        </w:rPr>
        <w:t xml:space="preserve">: </w:t>
      </w:r>
      <w:r w:rsidR="003A53BD" w:rsidRPr="00CF3673">
        <w:rPr>
          <w:lang w:val="pt-PT"/>
        </w:rPr>
        <w:t>Determinantes da inovação das empresas</w:t>
      </w:r>
      <w:r w:rsidR="00A062E0" w:rsidRPr="00CF3673">
        <w:rPr>
          <w:lang w:val="pt-PT"/>
        </w:rPr>
        <w:t xml:space="preserve">, </w:t>
      </w:r>
      <w:proofErr w:type="spellStart"/>
      <w:r w:rsidR="00A062E0" w:rsidRPr="00CF3673">
        <w:rPr>
          <w:i/>
          <w:lang w:val="pt-PT"/>
        </w:rPr>
        <w:t>probit</w:t>
      </w:r>
      <w:bookmarkEnd w:id="74"/>
      <w:proofErr w:type="spellEnd"/>
    </w:p>
    <w:tbl>
      <w:tblPr>
        <w:tblW w:w="0" w:type="auto"/>
        <w:jc w:val="center"/>
        <w:tblInd w:w="-1046" w:type="dxa"/>
        <w:tblCellMar>
          <w:left w:w="144" w:type="dxa"/>
          <w:right w:w="144" w:type="dxa"/>
        </w:tblCellMar>
        <w:tblLook w:val="0000" w:firstRow="0" w:lastRow="0" w:firstColumn="0" w:lastColumn="0" w:noHBand="0" w:noVBand="0"/>
      </w:tblPr>
      <w:tblGrid>
        <w:gridCol w:w="3286"/>
        <w:gridCol w:w="1390"/>
        <w:gridCol w:w="1390"/>
      </w:tblGrid>
      <w:tr w:rsidR="00376503" w:rsidRPr="00CF3673" w:rsidTr="001B2368">
        <w:trPr>
          <w:jc w:val="center"/>
        </w:trPr>
        <w:tc>
          <w:tcPr>
            <w:tcW w:w="3286" w:type="dxa"/>
            <w:tcBorders>
              <w:top w:val="double" w:sz="4" w:space="0" w:color="auto"/>
              <w:left w:val="nil"/>
              <w:bottom w:val="single" w:sz="6" w:space="0" w:color="auto"/>
              <w:right w:val="nil"/>
            </w:tcBorders>
          </w:tcPr>
          <w:p w:rsidR="00376503" w:rsidRPr="00CF3673" w:rsidRDefault="00376503" w:rsidP="00063143">
            <w:pPr>
              <w:widowControl w:val="0"/>
              <w:autoSpaceDE w:val="0"/>
              <w:autoSpaceDN w:val="0"/>
              <w:adjustRightInd w:val="0"/>
              <w:spacing w:before="66" w:after="66" w:line="240" w:lineRule="auto"/>
              <w:rPr>
                <w:rFonts w:ascii="Calibri" w:hAnsi="Calibri" w:cs="Calibri"/>
                <w:sz w:val="20"/>
                <w:szCs w:val="20"/>
              </w:rPr>
            </w:pPr>
          </w:p>
        </w:tc>
        <w:tc>
          <w:tcPr>
            <w:tcW w:w="1260" w:type="dxa"/>
            <w:tcBorders>
              <w:top w:val="double" w:sz="4" w:space="0" w:color="auto"/>
              <w:left w:val="nil"/>
              <w:bottom w:val="single" w:sz="6" w:space="0" w:color="auto"/>
              <w:right w:val="nil"/>
            </w:tcBorders>
          </w:tcPr>
          <w:p w:rsidR="00376503" w:rsidRPr="00CF3673" w:rsidRDefault="00376503" w:rsidP="00063143">
            <w:pPr>
              <w:widowControl w:val="0"/>
              <w:autoSpaceDE w:val="0"/>
              <w:autoSpaceDN w:val="0"/>
              <w:adjustRightInd w:val="0"/>
              <w:spacing w:before="66" w:after="66" w:line="240" w:lineRule="auto"/>
              <w:jc w:val="center"/>
              <w:rPr>
                <w:rFonts w:ascii="Calibri" w:hAnsi="Calibri" w:cs="Calibri"/>
                <w:sz w:val="20"/>
                <w:szCs w:val="20"/>
              </w:rPr>
            </w:pPr>
            <w:r w:rsidRPr="00CF3673">
              <w:rPr>
                <w:rFonts w:ascii="Calibri" w:hAnsi="Calibri" w:cs="Calibri"/>
                <w:sz w:val="20"/>
                <w:szCs w:val="20"/>
              </w:rPr>
              <w:t>(1)</w:t>
            </w:r>
          </w:p>
        </w:tc>
        <w:tc>
          <w:tcPr>
            <w:tcW w:w="1260" w:type="dxa"/>
            <w:tcBorders>
              <w:top w:val="double" w:sz="4" w:space="0" w:color="auto"/>
              <w:left w:val="nil"/>
              <w:bottom w:val="single" w:sz="6" w:space="0" w:color="auto"/>
              <w:right w:val="nil"/>
            </w:tcBorders>
          </w:tcPr>
          <w:p w:rsidR="00376503" w:rsidRPr="00CF3673" w:rsidRDefault="00376503" w:rsidP="00063143">
            <w:pPr>
              <w:widowControl w:val="0"/>
              <w:autoSpaceDE w:val="0"/>
              <w:autoSpaceDN w:val="0"/>
              <w:adjustRightInd w:val="0"/>
              <w:spacing w:before="66" w:after="66" w:line="240" w:lineRule="auto"/>
              <w:jc w:val="center"/>
              <w:rPr>
                <w:rFonts w:ascii="Calibri" w:hAnsi="Calibri" w:cs="Calibri"/>
                <w:sz w:val="20"/>
                <w:szCs w:val="20"/>
              </w:rPr>
            </w:pPr>
            <w:r w:rsidRPr="00CF3673">
              <w:rPr>
                <w:rFonts w:ascii="Calibri" w:hAnsi="Calibri" w:cs="Calibri"/>
                <w:sz w:val="20"/>
                <w:szCs w:val="20"/>
              </w:rPr>
              <w:t>(2)</w:t>
            </w:r>
          </w:p>
        </w:tc>
      </w:tr>
      <w:tr w:rsidR="00376503" w:rsidRPr="00CF3673" w:rsidTr="001B2368">
        <w:trPr>
          <w:jc w:val="center"/>
        </w:trPr>
        <w:tc>
          <w:tcPr>
            <w:tcW w:w="3286" w:type="dxa"/>
            <w:tcBorders>
              <w:top w:val="single" w:sz="6" w:space="0" w:color="auto"/>
              <w:left w:val="nil"/>
              <w:bottom w:val="nil"/>
              <w:right w:val="nil"/>
            </w:tcBorders>
          </w:tcPr>
          <w:p w:rsidR="00376503" w:rsidRPr="00CF3673" w:rsidRDefault="00376503" w:rsidP="003A53BD">
            <w:pPr>
              <w:widowControl w:val="0"/>
              <w:autoSpaceDE w:val="0"/>
              <w:autoSpaceDN w:val="0"/>
              <w:adjustRightInd w:val="0"/>
              <w:spacing w:after="0"/>
              <w:rPr>
                <w:sz w:val="20"/>
                <w:szCs w:val="20"/>
              </w:rPr>
            </w:pPr>
            <w:r w:rsidRPr="00CF3673">
              <w:rPr>
                <w:sz w:val="20"/>
                <w:szCs w:val="20"/>
              </w:rPr>
              <w:t xml:space="preserve">Total </w:t>
            </w:r>
            <w:r w:rsidR="003A53BD" w:rsidRPr="00CF3673">
              <w:rPr>
                <w:sz w:val="20"/>
                <w:szCs w:val="20"/>
              </w:rPr>
              <w:t>número de contactos</w:t>
            </w:r>
            <w:r w:rsidRPr="00CF3673">
              <w:rPr>
                <w:sz w:val="20"/>
                <w:szCs w:val="20"/>
              </w:rPr>
              <w:t xml:space="preserve"> (log)</w:t>
            </w:r>
          </w:p>
        </w:tc>
        <w:tc>
          <w:tcPr>
            <w:tcW w:w="1260" w:type="dxa"/>
            <w:tcBorders>
              <w:top w:val="single" w:sz="6" w:space="0" w:color="auto"/>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0.009</w:t>
            </w:r>
          </w:p>
        </w:tc>
        <w:tc>
          <w:tcPr>
            <w:tcW w:w="1260" w:type="dxa"/>
            <w:tcBorders>
              <w:top w:val="single" w:sz="6" w:space="0" w:color="auto"/>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rPr>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(0.26)</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r>
      <w:tr w:rsidR="00376503" w:rsidRPr="00CF3673" w:rsidTr="00063143">
        <w:trPr>
          <w:jc w:val="center"/>
        </w:trPr>
        <w:tc>
          <w:tcPr>
            <w:tcW w:w="3286" w:type="dxa"/>
            <w:tcBorders>
              <w:top w:val="nil"/>
              <w:left w:val="nil"/>
              <w:bottom w:val="nil"/>
              <w:right w:val="nil"/>
            </w:tcBorders>
          </w:tcPr>
          <w:p w:rsidR="00376503" w:rsidRPr="00CF3673" w:rsidRDefault="003A53BD" w:rsidP="003A53BD">
            <w:pPr>
              <w:widowControl w:val="0"/>
              <w:autoSpaceDE w:val="0"/>
              <w:autoSpaceDN w:val="0"/>
              <w:adjustRightInd w:val="0"/>
              <w:spacing w:after="0"/>
              <w:rPr>
                <w:sz w:val="20"/>
                <w:szCs w:val="20"/>
              </w:rPr>
            </w:pPr>
            <w:r w:rsidRPr="00CF3673">
              <w:rPr>
                <w:sz w:val="20"/>
                <w:szCs w:val="20"/>
              </w:rPr>
              <w:t>D</w:t>
            </w:r>
            <w:r w:rsidR="00376503" w:rsidRPr="00CF3673">
              <w:rPr>
                <w:sz w:val="20"/>
                <w:szCs w:val="20"/>
              </w:rPr>
              <w:t>iversi</w:t>
            </w:r>
            <w:r w:rsidRPr="00CF3673">
              <w:rPr>
                <w:sz w:val="20"/>
                <w:szCs w:val="20"/>
              </w:rPr>
              <w:t xml:space="preserve">dade </w:t>
            </w:r>
            <w:r w:rsidR="00761AD0" w:rsidRPr="00CF3673">
              <w:rPr>
                <w:sz w:val="20"/>
                <w:szCs w:val="20"/>
              </w:rPr>
              <w:t>contactos</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0.065***</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0.115***</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rPr>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(3.05)</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(4.48)</w:t>
            </w:r>
          </w:p>
        </w:tc>
      </w:tr>
      <w:tr w:rsidR="00376503" w:rsidRPr="00CF3673" w:rsidTr="00063143">
        <w:trPr>
          <w:jc w:val="center"/>
        </w:trPr>
        <w:tc>
          <w:tcPr>
            <w:tcW w:w="3286" w:type="dxa"/>
            <w:tcBorders>
              <w:top w:val="nil"/>
              <w:left w:val="nil"/>
              <w:bottom w:val="nil"/>
              <w:right w:val="nil"/>
            </w:tcBorders>
          </w:tcPr>
          <w:p w:rsidR="00376503" w:rsidRPr="00CF3673" w:rsidRDefault="003A53BD" w:rsidP="003A53BD">
            <w:pPr>
              <w:widowControl w:val="0"/>
              <w:autoSpaceDE w:val="0"/>
              <w:autoSpaceDN w:val="0"/>
              <w:adjustRightInd w:val="0"/>
              <w:spacing w:after="0"/>
              <w:rPr>
                <w:sz w:val="20"/>
                <w:szCs w:val="20"/>
              </w:rPr>
            </w:pPr>
            <w:r w:rsidRPr="00CF3673">
              <w:rPr>
                <w:sz w:val="20"/>
                <w:szCs w:val="20"/>
              </w:rPr>
              <w:t>Membros de associações empresariais</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0.088</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0.075</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rPr>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(1.15)</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(0.97)</w:t>
            </w:r>
          </w:p>
        </w:tc>
      </w:tr>
      <w:tr w:rsidR="00376503" w:rsidRPr="00CF3673" w:rsidTr="00063143">
        <w:trPr>
          <w:jc w:val="center"/>
        </w:trPr>
        <w:tc>
          <w:tcPr>
            <w:tcW w:w="3286" w:type="dxa"/>
            <w:tcBorders>
              <w:top w:val="nil"/>
              <w:left w:val="nil"/>
              <w:bottom w:val="nil"/>
              <w:right w:val="nil"/>
            </w:tcBorders>
          </w:tcPr>
          <w:p w:rsidR="00376503" w:rsidRPr="00CF3673" w:rsidRDefault="00376503" w:rsidP="003A53BD">
            <w:pPr>
              <w:widowControl w:val="0"/>
              <w:autoSpaceDE w:val="0"/>
              <w:autoSpaceDN w:val="0"/>
              <w:adjustRightInd w:val="0"/>
              <w:spacing w:after="0"/>
              <w:rPr>
                <w:sz w:val="20"/>
                <w:szCs w:val="20"/>
              </w:rPr>
            </w:pPr>
            <w:r w:rsidRPr="00CF3673">
              <w:rPr>
                <w:sz w:val="20"/>
                <w:szCs w:val="20"/>
              </w:rPr>
              <w:t>Contact</w:t>
            </w:r>
            <w:r w:rsidR="003A53BD" w:rsidRPr="00CF3673">
              <w:rPr>
                <w:sz w:val="20"/>
                <w:szCs w:val="20"/>
              </w:rPr>
              <w:t>os no mesmo sector</w:t>
            </w:r>
            <w:r w:rsidRPr="00CF3673">
              <w:rPr>
                <w:sz w:val="20"/>
                <w:szCs w:val="20"/>
              </w:rPr>
              <w:t xml:space="preserve"> (log)</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-0.041</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rPr>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(1.27)</w:t>
            </w:r>
          </w:p>
        </w:tc>
      </w:tr>
      <w:tr w:rsidR="00376503" w:rsidRPr="00CF3673" w:rsidTr="00063143">
        <w:trPr>
          <w:jc w:val="center"/>
        </w:trPr>
        <w:tc>
          <w:tcPr>
            <w:tcW w:w="3286" w:type="dxa"/>
            <w:tcBorders>
              <w:top w:val="nil"/>
              <w:left w:val="nil"/>
              <w:bottom w:val="nil"/>
              <w:right w:val="nil"/>
            </w:tcBorders>
          </w:tcPr>
          <w:p w:rsidR="00376503" w:rsidRPr="00CF3673" w:rsidRDefault="00376503" w:rsidP="003A53BD">
            <w:pPr>
              <w:widowControl w:val="0"/>
              <w:autoSpaceDE w:val="0"/>
              <w:autoSpaceDN w:val="0"/>
              <w:adjustRightInd w:val="0"/>
              <w:spacing w:after="0"/>
              <w:rPr>
                <w:sz w:val="20"/>
                <w:szCs w:val="20"/>
              </w:rPr>
            </w:pPr>
            <w:r w:rsidRPr="00CF3673">
              <w:rPr>
                <w:sz w:val="20"/>
                <w:szCs w:val="20"/>
              </w:rPr>
              <w:t>Contact</w:t>
            </w:r>
            <w:r w:rsidR="003A53BD" w:rsidRPr="00CF3673">
              <w:rPr>
                <w:sz w:val="20"/>
                <w:szCs w:val="20"/>
              </w:rPr>
              <w:t>os no sector diferente</w:t>
            </w:r>
            <w:r w:rsidRPr="00CF3673">
              <w:rPr>
                <w:sz w:val="20"/>
                <w:szCs w:val="20"/>
              </w:rPr>
              <w:t xml:space="preserve"> (log)</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0.006</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rPr>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(0.19)</w:t>
            </w:r>
          </w:p>
        </w:tc>
      </w:tr>
      <w:tr w:rsidR="00376503" w:rsidRPr="00CF3673" w:rsidTr="00063143">
        <w:trPr>
          <w:jc w:val="center"/>
        </w:trPr>
        <w:tc>
          <w:tcPr>
            <w:tcW w:w="3286" w:type="dxa"/>
            <w:tcBorders>
              <w:top w:val="nil"/>
              <w:left w:val="nil"/>
              <w:bottom w:val="nil"/>
              <w:right w:val="nil"/>
            </w:tcBorders>
          </w:tcPr>
          <w:p w:rsidR="00376503" w:rsidRPr="00CF3673" w:rsidRDefault="00376503" w:rsidP="003A53BD">
            <w:pPr>
              <w:widowControl w:val="0"/>
              <w:autoSpaceDE w:val="0"/>
              <w:autoSpaceDN w:val="0"/>
              <w:adjustRightInd w:val="0"/>
              <w:spacing w:after="0"/>
              <w:rPr>
                <w:sz w:val="20"/>
                <w:szCs w:val="20"/>
              </w:rPr>
            </w:pPr>
            <w:r w:rsidRPr="00CF3673">
              <w:rPr>
                <w:sz w:val="20"/>
                <w:szCs w:val="20"/>
              </w:rPr>
              <w:t>Contact</w:t>
            </w:r>
            <w:r w:rsidR="003A53BD" w:rsidRPr="00CF3673">
              <w:rPr>
                <w:sz w:val="20"/>
                <w:szCs w:val="20"/>
              </w:rPr>
              <w:t>o</w:t>
            </w:r>
            <w:r w:rsidRPr="00CF3673">
              <w:rPr>
                <w:sz w:val="20"/>
                <w:szCs w:val="20"/>
              </w:rPr>
              <w:t xml:space="preserve">s </w:t>
            </w:r>
            <w:r w:rsidR="003A53BD" w:rsidRPr="00CF3673">
              <w:rPr>
                <w:sz w:val="20"/>
                <w:szCs w:val="20"/>
              </w:rPr>
              <w:t>com empresas no estrangeiro (log)</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-0.006</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rPr>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(0.14)</w:t>
            </w:r>
          </w:p>
        </w:tc>
      </w:tr>
      <w:tr w:rsidR="00376503" w:rsidRPr="00CF3673" w:rsidTr="00063143">
        <w:trPr>
          <w:jc w:val="center"/>
        </w:trPr>
        <w:tc>
          <w:tcPr>
            <w:tcW w:w="3286" w:type="dxa"/>
            <w:tcBorders>
              <w:top w:val="nil"/>
              <w:left w:val="nil"/>
              <w:right w:val="nil"/>
            </w:tcBorders>
          </w:tcPr>
          <w:p w:rsidR="00376503" w:rsidRPr="00CF3673" w:rsidRDefault="003A53BD" w:rsidP="00063143">
            <w:pPr>
              <w:widowControl w:val="0"/>
              <w:autoSpaceDE w:val="0"/>
              <w:autoSpaceDN w:val="0"/>
              <w:adjustRightInd w:val="0"/>
              <w:spacing w:after="0"/>
              <w:rPr>
                <w:sz w:val="20"/>
                <w:szCs w:val="20"/>
              </w:rPr>
            </w:pPr>
            <w:r w:rsidRPr="00CF3673">
              <w:rPr>
                <w:sz w:val="20"/>
                <w:szCs w:val="20"/>
              </w:rPr>
              <w:t>Oficiais bancários</w:t>
            </w:r>
            <w:r w:rsidR="00376503" w:rsidRPr="00CF3673">
              <w:rPr>
                <w:sz w:val="20"/>
                <w:szCs w:val="20"/>
              </w:rPr>
              <w:t xml:space="preserve"> (log)</w:t>
            </w: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-0.084*</w:t>
            </w:r>
          </w:p>
        </w:tc>
      </w:tr>
      <w:tr w:rsidR="00376503" w:rsidRPr="00CF3673" w:rsidTr="00063143">
        <w:trPr>
          <w:jc w:val="center"/>
        </w:trPr>
        <w:tc>
          <w:tcPr>
            <w:tcW w:w="3286" w:type="dxa"/>
            <w:tcBorders>
              <w:left w:val="nil"/>
              <w:bottom w:val="nil"/>
              <w:right w:val="nil"/>
            </w:tcBorders>
          </w:tcPr>
          <w:p w:rsidR="00376503" w:rsidRPr="00CF3673" w:rsidRDefault="00376503" w:rsidP="00063143">
            <w:pPr>
              <w:widowControl w:val="0"/>
              <w:autoSpaceDE w:val="0"/>
              <w:autoSpaceDN w:val="0"/>
              <w:adjustRightInd w:val="0"/>
              <w:spacing w:after="0"/>
              <w:rPr>
                <w:sz w:val="20"/>
                <w:szCs w:val="20"/>
              </w:rPr>
            </w:pPr>
          </w:p>
        </w:tc>
        <w:tc>
          <w:tcPr>
            <w:tcW w:w="1260" w:type="dxa"/>
            <w:tcBorders>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(1.73)</w:t>
            </w:r>
          </w:p>
        </w:tc>
      </w:tr>
      <w:tr w:rsidR="00376503" w:rsidRPr="00CF3673" w:rsidTr="00063143">
        <w:trPr>
          <w:jc w:val="center"/>
        </w:trPr>
        <w:tc>
          <w:tcPr>
            <w:tcW w:w="3286" w:type="dxa"/>
            <w:tcBorders>
              <w:top w:val="nil"/>
              <w:left w:val="nil"/>
              <w:right w:val="nil"/>
            </w:tcBorders>
          </w:tcPr>
          <w:p w:rsidR="00376503" w:rsidRPr="00CF3673" w:rsidRDefault="003A53BD" w:rsidP="00063143">
            <w:pPr>
              <w:widowControl w:val="0"/>
              <w:autoSpaceDE w:val="0"/>
              <w:autoSpaceDN w:val="0"/>
              <w:adjustRightInd w:val="0"/>
              <w:spacing w:after="0"/>
              <w:rPr>
                <w:sz w:val="20"/>
                <w:szCs w:val="20"/>
              </w:rPr>
            </w:pPr>
            <w:r w:rsidRPr="00CF3673">
              <w:rPr>
                <w:sz w:val="20"/>
                <w:szCs w:val="20"/>
              </w:rPr>
              <w:t xml:space="preserve">Oficiais </w:t>
            </w:r>
            <w:r w:rsidR="00761AD0" w:rsidRPr="00CF3673">
              <w:rPr>
                <w:sz w:val="20"/>
                <w:szCs w:val="20"/>
              </w:rPr>
              <w:t>públicos</w:t>
            </w:r>
            <w:r w:rsidR="00376503" w:rsidRPr="00CF3673">
              <w:rPr>
                <w:sz w:val="20"/>
                <w:szCs w:val="20"/>
              </w:rPr>
              <w:t xml:space="preserve"> (log)</w:t>
            </w: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0.009</w:t>
            </w:r>
          </w:p>
        </w:tc>
      </w:tr>
      <w:tr w:rsidR="00376503" w:rsidRPr="00CF3673" w:rsidTr="00063143">
        <w:trPr>
          <w:jc w:val="center"/>
        </w:trPr>
        <w:tc>
          <w:tcPr>
            <w:tcW w:w="3286" w:type="dxa"/>
            <w:tcBorders>
              <w:top w:val="nil"/>
              <w:left w:val="nil"/>
              <w:right w:val="nil"/>
            </w:tcBorders>
          </w:tcPr>
          <w:p w:rsidR="00376503" w:rsidRPr="00CF3673" w:rsidRDefault="00376503" w:rsidP="00063143">
            <w:pPr>
              <w:widowControl w:val="0"/>
              <w:autoSpaceDE w:val="0"/>
              <w:autoSpaceDN w:val="0"/>
              <w:adjustRightInd w:val="0"/>
              <w:spacing w:after="0"/>
              <w:rPr>
                <w:sz w:val="20"/>
                <w:szCs w:val="20"/>
              </w:rPr>
            </w:pP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(0.21)</w:t>
            </w:r>
          </w:p>
        </w:tc>
      </w:tr>
      <w:tr w:rsidR="00376503" w:rsidRPr="00CF3673" w:rsidTr="00063143">
        <w:trPr>
          <w:jc w:val="center"/>
        </w:trPr>
        <w:tc>
          <w:tcPr>
            <w:tcW w:w="3286" w:type="dxa"/>
            <w:tcBorders>
              <w:top w:val="nil"/>
              <w:left w:val="nil"/>
              <w:right w:val="nil"/>
            </w:tcBorders>
          </w:tcPr>
          <w:p w:rsidR="00376503" w:rsidRPr="00CF3673" w:rsidRDefault="00376503" w:rsidP="003A53BD">
            <w:pPr>
              <w:widowControl w:val="0"/>
              <w:autoSpaceDE w:val="0"/>
              <w:autoSpaceDN w:val="0"/>
              <w:adjustRightInd w:val="0"/>
              <w:spacing w:after="0"/>
              <w:rPr>
                <w:sz w:val="20"/>
                <w:szCs w:val="20"/>
              </w:rPr>
            </w:pPr>
            <w:proofErr w:type="spellStart"/>
            <w:r w:rsidRPr="00CF3673">
              <w:rPr>
                <w:sz w:val="20"/>
                <w:szCs w:val="20"/>
              </w:rPr>
              <w:t>Politi</w:t>
            </w:r>
            <w:r w:rsidR="003A53BD" w:rsidRPr="00CF3673">
              <w:rPr>
                <w:sz w:val="20"/>
                <w:szCs w:val="20"/>
              </w:rPr>
              <w:t>cos</w:t>
            </w:r>
            <w:proofErr w:type="spellEnd"/>
            <w:r w:rsidRPr="00CF3673">
              <w:rPr>
                <w:sz w:val="20"/>
                <w:szCs w:val="20"/>
              </w:rPr>
              <w:t xml:space="preserve"> (log)</w:t>
            </w: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-0.117**</w:t>
            </w:r>
          </w:p>
        </w:tc>
      </w:tr>
      <w:tr w:rsidR="00376503" w:rsidRPr="00CF3673" w:rsidTr="00063143">
        <w:trPr>
          <w:jc w:val="center"/>
        </w:trPr>
        <w:tc>
          <w:tcPr>
            <w:tcW w:w="3286" w:type="dxa"/>
            <w:tcBorders>
              <w:top w:val="nil"/>
              <w:left w:val="nil"/>
              <w:bottom w:val="single" w:sz="4" w:space="0" w:color="auto"/>
              <w:right w:val="nil"/>
            </w:tcBorders>
          </w:tcPr>
          <w:p w:rsidR="00376503" w:rsidRPr="00CF3673" w:rsidRDefault="00376503" w:rsidP="00063143">
            <w:pPr>
              <w:widowControl w:val="0"/>
              <w:autoSpaceDE w:val="0"/>
              <w:autoSpaceDN w:val="0"/>
              <w:adjustRightInd w:val="0"/>
              <w:spacing w:after="0" w:line="240" w:lineRule="auto"/>
              <w:rPr>
                <w:rFonts w:ascii="Calibri" w:hAnsi="Calibri" w:cs="Calibri"/>
                <w:sz w:val="20"/>
                <w:szCs w:val="20"/>
              </w:rPr>
            </w:pPr>
          </w:p>
        </w:tc>
        <w:tc>
          <w:tcPr>
            <w:tcW w:w="1260" w:type="dxa"/>
            <w:tcBorders>
              <w:top w:val="nil"/>
              <w:left w:val="nil"/>
              <w:bottom w:val="single" w:sz="4" w:space="0" w:color="auto"/>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p>
        </w:tc>
        <w:tc>
          <w:tcPr>
            <w:tcW w:w="1260" w:type="dxa"/>
            <w:tcBorders>
              <w:top w:val="nil"/>
              <w:left w:val="nil"/>
              <w:bottom w:val="single" w:sz="4" w:space="0" w:color="auto"/>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(2.42)</w:t>
            </w:r>
          </w:p>
        </w:tc>
      </w:tr>
      <w:tr w:rsidR="00376503" w:rsidRPr="00CF3673" w:rsidTr="00063143">
        <w:trPr>
          <w:jc w:val="center"/>
        </w:trPr>
        <w:tc>
          <w:tcPr>
            <w:tcW w:w="3286" w:type="dxa"/>
            <w:tcBorders>
              <w:top w:val="single" w:sz="4" w:space="0" w:color="auto"/>
              <w:left w:val="nil"/>
              <w:bottom w:val="nil"/>
              <w:right w:val="nil"/>
            </w:tcBorders>
          </w:tcPr>
          <w:p w:rsidR="00376503" w:rsidRPr="00CF3673" w:rsidRDefault="00376503" w:rsidP="00B34223">
            <w:pPr>
              <w:widowControl w:val="0"/>
              <w:autoSpaceDE w:val="0"/>
              <w:autoSpaceDN w:val="0"/>
              <w:adjustRightInd w:val="0"/>
              <w:spacing w:after="0"/>
              <w:rPr>
                <w:sz w:val="20"/>
                <w:szCs w:val="20"/>
              </w:rPr>
            </w:pPr>
            <w:r w:rsidRPr="00CF3673">
              <w:rPr>
                <w:sz w:val="20"/>
                <w:szCs w:val="20"/>
              </w:rPr>
              <w:t>Log</w:t>
            </w:r>
            <w:r w:rsidR="00B34223" w:rsidRPr="00CF3673">
              <w:rPr>
                <w:sz w:val="20"/>
                <w:szCs w:val="20"/>
              </w:rPr>
              <w:t xml:space="preserve"> </w:t>
            </w:r>
            <w:r w:rsidRPr="00CF3673">
              <w:rPr>
                <w:sz w:val="20"/>
                <w:szCs w:val="20"/>
              </w:rPr>
              <w:t>(</w:t>
            </w:r>
            <w:r w:rsidR="00B34223" w:rsidRPr="00CF3673">
              <w:rPr>
                <w:sz w:val="20"/>
                <w:szCs w:val="20"/>
              </w:rPr>
              <w:t>tamanho da empresa</w:t>
            </w:r>
            <w:r w:rsidRPr="00CF3673">
              <w:rPr>
                <w:sz w:val="20"/>
                <w:szCs w:val="20"/>
              </w:rPr>
              <w:t>)</w:t>
            </w:r>
          </w:p>
        </w:tc>
        <w:tc>
          <w:tcPr>
            <w:tcW w:w="1260" w:type="dxa"/>
            <w:tcBorders>
              <w:top w:val="single" w:sz="4" w:space="0" w:color="auto"/>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0.092***</w:t>
            </w:r>
          </w:p>
        </w:tc>
        <w:tc>
          <w:tcPr>
            <w:tcW w:w="1260" w:type="dxa"/>
            <w:tcBorders>
              <w:top w:val="single" w:sz="4" w:space="0" w:color="auto"/>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0.096***</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rPr>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(3.04)</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(3.15)</w:t>
            </w:r>
          </w:p>
        </w:tc>
      </w:tr>
      <w:tr w:rsidR="00376503" w:rsidRPr="00CF3673" w:rsidTr="00063143">
        <w:trPr>
          <w:jc w:val="center"/>
        </w:trPr>
        <w:tc>
          <w:tcPr>
            <w:tcW w:w="3286" w:type="dxa"/>
            <w:tcBorders>
              <w:top w:val="nil"/>
              <w:left w:val="nil"/>
              <w:right w:val="nil"/>
            </w:tcBorders>
          </w:tcPr>
          <w:p w:rsidR="00376503" w:rsidRPr="00CF3673" w:rsidRDefault="00376503" w:rsidP="00B34223">
            <w:pPr>
              <w:widowControl w:val="0"/>
              <w:autoSpaceDE w:val="0"/>
              <w:autoSpaceDN w:val="0"/>
              <w:adjustRightInd w:val="0"/>
              <w:spacing w:after="0"/>
              <w:rPr>
                <w:sz w:val="20"/>
                <w:szCs w:val="20"/>
              </w:rPr>
            </w:pPr>
            <w:r w:rsidRPr="00CF3673">
              <w:rPr>
                <w:sz w:val="20"/>
                <w:szCs w:val="20"/>
              </w:rPr>
              <w:t>Log</w:t>
            </w:r>
            <w:r w:rsidR="00B34223" w:rsidRPr="00CF3673">
              <w:rPr>
                <w:sz w:val="20"/>
                <w:szCs w:val="20"/>
              </w:rPr>
              <w:t xml:space="preserve"> </w:t>
            </w:r>
            <w:r w:rsidRPr="00CF3673">
              <w:rPr>
                <w:sz w:val="20"/>
                <w:szCs w:val="20"/>
              </w:rPr>
              <w:t>(</w:t>
            </w:r>
            <w:r w:rsidR="00B34223" w:rsidRPr="00CF3673">
              <w:rPr>
                <w:sz w:val="20"/>
                <w:szCs w:val="20"/>
              </w:rPr>
              <w:t>idade da empresa)</w:t>
            </w: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0.028</w:t>
            </w: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0.033</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line="240" w:lineRule="auto"/>
              <w:rPr>
                <w:rFonts w:ascii="Calibri" w:hAnsi="Calibri" w:cs="Calibri"/>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(1.18)</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(1.37)</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Formal</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0.020</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0.023</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line="240" w:lineRule="auto"/>
              <w:rPr>
                <w:rFonts w:ascii="Calibri" w:hAnsi="Calibri" w:cs="Calibri"/>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(0.38)</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(0.42)</w:t>
            </w:r>
          </w:p>
        </w:tc>
      </w:tr>
      <w:tr w:rsidR="00376503" w:rsidRPr="00CF3673" w:rsidTr="00063143">
        <w:trPr>
          <w:jc w:val="center"/>
        </w:trPr>
        <w:tc>
          <w:tcPr>
            <w:tcW w:w="3286" w:type="dxa"/>
            <w:tcBorders>
              <w:left w:val="nil"/>
              <w:bottom w:val="nil"/>
              <w:right w:val="nil"/>
            </w:tcBorders>
          </w:tcPr>
          <w:p w:rsidR="00376503" w:rsidRPr="00CF3673" w:rsidRDefault="00B34223" w:rsidP="00063143">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Educação universitária</w:t>
            </w:r>
          </w:p>
        </w:tc>
        <w:tc>
          <w:tcPr>
            <w:tcW w:w="1260" w:type="dxa"/>
            <w:tcBorders>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0.053</w:t>
            </w:r>
          </w:p>
        </w:tc>
        <w:tc>
          <w:tcPr>
            <w:tcW w:w="1260" w:type="dxa"/>
            <w:tcBorders>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0.059</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line="240" w:lineRule="auto"/>
              <w:rPr>
                <w:rFonts w:ascii="Calibri" w:hAnsi="Calibri" w:cs="Calibri"/>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(0.76)</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(0.84)</w:t>
            </w:r>
          </w:p>
        </w:tc>
      </w:tr>
      <w:tr w:rsidR="00376503" w:rsidRPr="00CF3673" w:rsidTr="00063143">
        <w:trPr>
          <w:jc w:val="center"/>
        </w:trPr>
        <w:tc>
          <w:tcPr>
            <w:tcW w:w="3286" w:type="dxa"/>
            <w:tcBorders>
              <w:top w:val="nil"/>
              <w:left w:val="nil"/>
              <w:bottom w:val="nil"/>
              <w:right w:val="nil"/>
            </w:tcBorders>
          </w:tcPr>
          <w:p w:rsidR="00376503" w:rsidRPr="00CF3673" w:rsidRDefault="00B34223" w:rsidP="00063143">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Propriedade estrangeira</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-0.111</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-0.096</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line="240" w:lineRule="auto"/>
              <w:rPr>
                <w:rFonts w:ascii="Calibri" w:hAnsi="Calibri" w:cs="Calibri"/>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(1.39)</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(1.13)</w:t>
            </w:r>
          </w:p>
        </w:tc>
      </w:tr>
      <w:tr w:rsidR="00376503" w:rsidRPr="00CF3673" w:rsidTr="00063143">
        <w:trPr>
          <w:jc w:val="center"/>
        </w:trPr>
        <w:tc>
          <w:tcPr>
            <w:tcW w:w="3286" w:type="dxa"/>
            <w:tcBorders>
              <w:top w:val="single" w:sz="6" w:space="0" w:color="auto"/>
              <w:left w:val="nil"/>
              <w:bottom w:val="nil"/>
              <w:right w:val="nil"/>
            </w:tcBorders>
          </w:tcPr>
          <w:p w:rsidR="00376503" w:rsidRPr="00CF3673" w:rsidRDefault="00B34223" w:rsidP="00063143">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Parceria</w:t>
            </w:r>
          </w:p>
        </w:tc>
        <w:tc>
          <w:tcPr>
            <w:tcW w:w="1260" w:type="dxa"/>
            <w:tcBorders>
              <w:top w:val="single" w:sz="6" w:space="0" w:color="auto"/>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-0.205***</w:t>
            </w:r>
          </w:p>
        </w:tc>
        <w:tc>
          <w:tcPr>
            <w:tcW w:w="1260" w:type="dxa"/>
            <w:tcBorders>
              <w:top w:val="single" w:sz="6" w:space="0" w:color="auto"/>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-0.211***</w:t>
            </w:r>
          </w:p>
        </w:tc>
      </w:tr>
      <w:tr w:rsidR="00376503" w:rsidRPr="00CF3673" w:rsidTr="00063143">
        <w:trPr>
          <w:jc w:val="center"/>
        </w:trPr>
        <w:tc>
          <w:tcPr>
            <w:tcW w:w="3286" w:type="dxa"/>
            <w:tcBorders>
              <w:top w:val="nil"/>
              <w:left w:val="nil"/>
              <w:bottom w:val="nil"/>
              <w:right w:val="nil"/>
            </w:tcBorders>
          </w:tcPr>
          <w:p w:rsidR="00376503" w:rsidRPr="00CF3673" w:rsidRDefault="00376503" w:rsidP="00063143">
            <w:pPr>
              <w:widowControl w:val="0"/>
              <w:autoSpaceDE w:val="0"/>
              <w:autoSpaceDN w:val="0"/>
              <w:adjustRightInd w:val="0"/>
              <w:spacing w:after="0" w:line="240" w:lineRule="auto"/>
              <w:rPr>
                <w:rFonts w:ascii="Calibri" w:hAnsi="Calibri" w:cs="Calibri"/>
                <w:sz w:val="20"/>
                <w:szCs w:val="20"/>
              </w:rPr>
            </w:pP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(3.00)</w:t>
            </w:r>
          </w:p>
        </w:tc>
        <w:tc>
          <w:tcPr>
            <w:tcW w:w="1260" w:type="dxa"/>
            <w:tcBorders>
              <w:top w:val="nil"/>
              <w:left w:val="nil"/>
              <w:bottom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(3.11)</w:t>
            </w:r>
          </w:p>
        </w:tc>
      </w:tr>
      <w:tr w:rsidR="00376503" w:rsidRPr="00CF3673" w:rsidTr="00063143">
        <w:trPr>
          <w:jc w:val="center"/>
        </w:trPr>
        <w:tc>
          <w:tcPr>
            <w:tcW w:w="3286" w:type="dxa"/>
            <w:tcBorders>
              <w:top w:val="nil"/>
              <w:left w:val="nil"/>
              <w:right w:val="nil"/>
            </w:tcBorders>
          </w:tcPr>
          <w:p w:rsidR="00376503" w:rsidRPr="00CF3673" w:rsidRDefault="00B34223" w:rsidP="00063143">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Responsabilidade limitada</w:t>
            </w: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-0.298***</w:t>
            </w:r>
          </w:p>
        </w:tc>
        <w:tc>
          <w:tcPr>
            <w:tcW w:w="1260" w:type="dxa"/>
            <w:tcBorders>
              <w:top w:val="nil"/>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-0.292**</w:t>
            </w:r>
          </w:p>
        </w:tc>
      </w:tr>
      <w:tr w:rsidR="00376503" w:rsidRPr="00CF3673" w:rsidTr="00063143">
        <w:trPr>
          <w:jc w:val="center"/>
        </w:trPr>
        <w:tc>
          <w:tcPr>
            <w:tcW w:w="3286" w:type="dxa"/>
            <w:tcBorders>
              <w:top w:val="nil"/>
              <w:left w:val="nil"/>
              <w:bottom w:val="single" w:sz="4" w:space="0" w:color="auto"/>
              <w:right w:val="nil"/>
            </w:tcBorders>
          </w:tcPr>
          <w:p w:rsidR="00376503" w:rsidRPr="00CF3673" w:rsidRDefault="00376503" w:rsidP="00063143">
            <w:pPr>
              <w:widowControl w:val="0"/>
              <w:autoSpaceDE w:val="0"/>
              <w:autoSpaceDN w:val="0"/>
              <w:adjustRightInd w:val="0"/>
              <w:spacing w:after="0" w:line="240" w:lineRule="auto"/>
              <w:rPr>
                <w:rFonts w:ascii="Calibri" w:hAnsi="Calibri" w:cs="Calibri"/>
                <w:sz w:val="20"/>
                <w:szCs w:val="20"/>
              </w:rPr>
            </w:pPr>
          </w:p>
        </w:tc>
        <w:tc>
          <w:tcPr>
            <w:tcW w:w="1260" w:type="dxa"/>
            <w:tcBorders>
              <w:top w:val="nil"/>
              <w:left w:val="nil"/>
              <w:bottom w:val="single" w:sz="4" w:space="0" w:color="auto"/>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(2.73)</w:t>
            </w:r>
          </w:p>
        </w:tc>
        <w:tc>
          <w:tcPr>
            <w:tcW w:w="1260" w:type="dxa"/>
            <w:tcBorders>
              <w:top w:val="nil"/>
              <w:left w:val="nil"/>
              <w:bottom w:val="single" w:sz="4" w:space="0" w:color="auto"/>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(2.37)</w:t>
            </w:r>
          </w:p>
        </w:tc>
      </w:tr>
      <w:tr w:rsidR="00376503" w:rsidRPr="00CF3673" w:rsidTr="00063143">
        <w:trPr>
          <w:jc w:val="center"/>
        </w:trPr>
        <w:tc>
          <w:tcPr>
            <w:tcW w:w="3286" w:type="dxa"/>
            <w:tcBorders>
              <w:top w:val="single" w:sz="4" w:space="0" w:color="auto"/>
              <w:left w:val="nil"/>
              <w:bottom w:val="nil"/>
              <w:right w:val="nil"/>
            </w:tcBorders>
          </w:tcPr>
          <w:p w:rsidR="00376503" w:rsidRPr="00CF3673" w:rsidRDefault="00376503" w:rsidP="00063143">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Sector</w:t>
            </w:r>
            <w:r w:rsidR="00761AD0" w:rsidRPr="00CF3673">
              <w:rPr>
                <w:rFonts w:ascii="Calibri" w:hAnsi="Calibri" w:cs="Calibri"/>
                <w:sz w:val="20"/>
                <w:szCs w:val="20"/>
              </w:rPr>
              <w:t xml:space="preserve"> do</w:t>
            </w:r>
            <w:r w:rsidRPr="00CF3673">
              <w:rPr>
                <w:rFonts w:ascii="Calibri" w:hAnsi="Calibri" w:cs="Calibri"/>
                <w:sz w:val="20"/>
                <w:szCs w:val="20"/>
              </w:rPr>
              <w:t xml:space="preserve"> </w:t>
            </w:r>
            <w:proofErr w:type="spellStart"/>
            <w:r w:rsidRPr="00CF3673">
              <w:rPr>
                <w:rFonts w:ascii="Calibri" w:hAnsi="Calibri" w:cs="Calibri"/>
                <w:sz w:val="20"/>
                <w:szCs w:val="20"/>
              </w:rPr>
              <w:t>dummies</w:t>
            </w:r>
            <w:proofErr w:type="spellEnd"/>
          </w:p>
        </w:tc>
        <w:tc>
          <w:tcPr>
            <w:tcW w:w="1260" w:type="dxa"/>
            <w:tcBorders>
              <w:top w:val="single" w:sz="4" w:space="0" w:color="auto"/>
              <w:left w:val="nil"/>
              <w:bottom w:val="nil"/>
              <w:right w:val="nil"/>
            </w:tcBorders>
          </w:tcPr>
          <w:p w:rsidR="00376503" w:rsidRPr="00CF3673" w:rsidRDefault="00761AD0"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c>
          <w:tcPr>
            <w:tcW w:w="1260" w:type="dxa"/>
            <w:tcBorders>
              <w:top w:val="single" w:sz="4" w:space="0" w:color="auto"/>
              <w:left w:val="nil"/>
              <w:bottom w:val="nil"/>
              <w:right w:val="nil"/>
            </w:tcBorders>
          </w:tcPr>
          <w:p w:rsidR="00376503" w:rsidRPr="00CF3673" w:rsidRDefault="00761AD0"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r>
      <w:tr w:rsidR="00376503" w:rsidRPr="00CF3673" w:rsidTr="00063143">
        <w:trPr>
          <w:jc w:val="center"/>
        </w:trPr>
        <w:tc>
          <w:tcPr>
            <w:tcW w:w="3286" w:type="dxa"/>
            <w:tcBorders>
              <w:top w:val="nil"/>
              <w:left w:val="nil"/>
              <w:bottom w:val="single" w:sz="4" w:space="0" w:color="auto"/>
              <w:right w:val="nil"/>
            </w:tcBorders>
          </w:tcPr>
          <w:p w:rsidR="00376503" w:rsidRPr="00CF3673" w:rsidRDefault="00761AD0" w:rsidP="00063143">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Localização do</w:t>
            </w:r>
            <w:r w:rsidR="00376503" w:rsidRPr="00CF3673">
              <w:rPr>
                <w:rFonts w:ascii="Calibri" w:hAnsi="Calibri" w:cs="Calibri"/>
                <w:sz w:val="20"/>
                <w:szCs w:val="20"/>
              </w:rPr>
              <w:t xml:space="preserve"> </w:t>
            </w:r>
            <w:proofErr w:type="spellStart"/>
            <w:r w:rsidR="00376503" w:rsidRPr="00CF3673">
              <w:rPr>
                <w:rFonts w:ascii="Calibri" w:hAnsi="Calibri" w:cs="Calibri"/>
                <w:sz w:val="20"/>
                <w:szCs w:val="20"/>
              </w:rPr>
              <w:t>dummies</w:t>
            </w:r>
            <w:proofErr w:type="spellEnd"/>
          </w:p>
        </w:tc>
        <w:tc>
          <w:tcPr>
            <w:tcW w:w="1260" w:type="dxa"/>
            <w:tcBorders>
              <w:top w:val="nil"/>
              <w:left w:val="nil"/>
              <w:bottom w:val="single" w:sz="4" w:space="0" w:color="auto"/>
              <w:right w:val="nil"/>
            </w:tcBorders>
          </w:tcPr>
          <w:p w:rsidR="00376503" w:rsidRPr="00CF3673" w:rsidRDefault="00761AD0"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c>
          <w:tcPr>
            <w:tcW w:w="1260" w:type="dxa"/>
            <w:tcBorders>
              <w:top w:val="nil"/>
              <w:left w:val="nil"/>
              <w:bottom w:val="single" w:sz="4" w:space="0" w:color="auto"/>
              <w:right w:val="nil"/>
            </w:tcBorders>
          </w:tcPr>
          <w:p w:rsidR="00376503" w:rsidRPr="00CF3673" w:rsidRDefault="00761AD0"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Sim</w:t>
            </w:r>
          </w:p>
        </w:tc>
      </w:tr>
      <w:tr w:rsidR="00376503" w:rsidRPr="00CF3673" w:rsidTr="001B2368">
        <w:trPr>
          <w:jc w:val="center"/>
        </w:trPr>
        <w:tc>
          <w:tcPr>
            <w:tcW w:w="3286" w:type="dxa"/>
            <w:tcBorders>
              <w:top w:val="single" w:sz="4" w:space="0" w:color="auto"/>
              <w:left w:val="nil"/>
              <w:right w:val="nil"/>
            </w:tcBorders>
          </w:tcPr>
          <w:p w:rsidR="00376503" w:rsidRPr="00CF3673" w:rsidRDefault="00376503" w:rsidP="00063143">
            <w:pPr>
              <w:widowControl w:val="0"/>
              <w:autoSpaceDE w:val="0"/>
              <w:autoSpaceDN w:val="0"/>
              <w:adjustRightInd w:val="0"/>
              <w:spacing w:after="0" w:line="240" w:lineRule="auto"/>
              <w:rPr>
                <w:rFonts w:ascii="Calibri" w:hAnsi="Calibri" w:cs="Calibri"/>
                <w:sz w:val="20"/>
                <w:szCs w:val="20"/>
              </w:rPr>
            </w:pPr>
            <w:proofErr w:type="spellStart"/>
            <w:r w:rsidRPr="00CF3673">
              <w:rPr>
                <w:rFonts w:ascii="Calibri" w:hAnsi="Calibri" w:cs="Calibri"/>
                <w:sz w:val="20"/>
                <w:szCs w:val="20"/>
              </w:rPr>
              <w:t>Pseudo</w:t>
            </w:r>
            <w:proofErr w:type="spellEnd"/>
            <w:r w:rsidRPr="00CF3673">
              <w:rPr>
                <w:rFonts w:ascii="Calibri" w:hAnsi="Calibri" w:cs="Calibri"/>
                <w:sz w:val="20"/>
                <w:szCs w:val="20"/>
              </w:rPr>
              <w:t xml:space="preserve"> R^2</w:t>
            </w:r>
          </w:p>
        </w:tc>
        <w:tc>
          <w:tcPr>
            <w:tcW w:w="1260" w:type="dxa"/>
            <w:tcBorders>
              <w:top w:val="single" w:sz="4" w:space="0" w:color="auto"/>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0.13</w:t>
            </w:r>
          </w:p>
        </w:tc>
        <w:tc>
          <w:tcPr>
            <w:tcW w:w="1260" w:type="dxa"/>
            <w:tcBorders>
              <w:top w:val="single" w:sz="4" w:space="0" w:color="auto"/>
              <w:left w:val="nil"/>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0.14</w:t>
            </w:r>
          </w:p>
        </w:tc>
      </w:tr>
      <w:tr w:rsidR="00376503" w:rsidRPr="00CF3673" w:rsidTr="001B2368">
        <w:trPr>
          <w:jc w:val="center"/>
        </w:trPr>
        <w:tc>
          <w:tcPr>
            <w:tcW w:w="3286" w:type="dxa"/>
            <w:tcBorders>
              <w:left w:val="nil"/>
              <w:bottom w:val="double" w:sz="4" w:space="0" w:color="auto"/>
              <w:right w:val="nil"/>
            </w:tcBorders>
          </w:tcPr>
          <w:p w:rsidR="00376503" w:rsidRPr="00CF3673" w:rsidRDefault="00B34223" w:rsidP="00B34223">
            <w:pPr>
              <w:widowControl w:val="0"/>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Número de observações</w:t>
            </w:r>
          </w:p>
        </w:tc>
        <w:tc>
          <w:tcPr>
            <w:tcW w:w="1260" w:type="dxa"/>
            <w:tcBorders>
              <w:left w:val="nil"/>
              <w:bottom w:val="double" w:sz="4" w:space="0" w:color="auto"/>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683</w:t>
            </w:r>
          </w:p>
        </w:tc>
        <w:tc>
          <w:tcPr>
            <w:tcW w:w="1260" w:type="dxa"/>
            <w:tcBorders>
              <w:left w:val="nil"/>
              <w:bottom w:val="double" w:sz="4" w:space="0" w:color="auto"/>
              <w:right w:val="nil"/>
            </w:tcBorders>
          </w:tcPr>
          <w:p w:rsidR="00376503" w:rsidRPr="00CF3673" w:rsidRDefault="00376503" w:rsidP="00063143">
            <w:pPr>
              <w:widowControl w:val="0"/>
              <w:tabs>
                <w:tab w:val="decimal" w:pos="448"/>
              </w:tabs>
              <w:autoSpaceDE w:val="0"/>
              <w:autoSpaceDN w:val="0"/>
              <w:adjustRightInd w:val="0"/>
              <w:spacing w:after="0" w:line="240" w:lineRule="auto"/>
              <w:rPr>
                <w:rFonts w:ascii="Calibri" w:hAnsi="Calibri" w:cs="Calibri"/>
                <w:sz w:val="20"/>
                <w:szCs w:val="20"/>
              </w:rPr>
            </w:pPr>
            <w:r w:rsidRPr="00CF3673">
              <w:rPr>
                <w:rFonts w:ascii="Calibri" w:hAnsi="Calibri" w:cs="Calibri"/>
                <w:sz w:val="20"/>
                <w:szCs w:val="20"/>
              </w:rPr>
              <w:t>683</w:t>
            </w:r>
          </w:p>
        </w:tc>
      </w:tr>
      <w:tr w:rsidR="00376503" w:rsidRPr="00CF3673" w:rsidTr="001B2368">
        <w:trPr>
          <w:jc w:val="center"/>
        </w:trPr>
        <w:tc>
          <w:tcPr>
            <w:tcW w:w="5806" w:type="dxa"/>
            <w:gridSpan w:val="3"/>
            <w:tcBorders>
              <w:top w:val="double" w:sz="4" w:space="0" w:color="auto"/>
              <w:left w:val="nil"/>
              <w:right w:val="nil"/>
            </w:tcBorders>
          </w:tcPr>
          <w:p w:rsidR="00376503" w:rsidRPr="00CF3673" w:rsidRDefault="00376503" w:rsidP="0094427C">
            <w:pPr>
              <w:pStyle w:val="Tablenote"/>
              <w:rPr>
                <w:szCs w:val="20"/>
                <w:lang w:val="pt-PT"/>
              </w:rPr>
            </w:pPr>
            <w:r w:rsidRPr="00CF3673">
              <w:rPr>
                <w:b/>
                <w:lang w:val="pt-PT"/>
              </w:rPr>
              <w:t>Note</w:t>
            </w:r>
            <w:r w:rsidRPr="00CF3673">
              <w:rPr>
                <w:lang w:val="pt-PT"/>
              </w:rPr>
              <w:t xml:space="preserve">: </w:t>
            </w:r>
            <w:proofErr w:type="spellStart"/>
            <w:r w:rsidR="0059744A" w:rsidRPr="00CF3673">
              <w:rPr>
                <w:lang w:val="pt-PT"/>
              </w:rPr>
              <w:t>Probit</w:t>
            </w:r>
            <w:proofErr w:type="spellEnd"/>
            <w:r w:rsidRPr="00CF3673">
              <w:rPr>
                <w:lang w:val="pt-PT"/>
              </w:rPr>
              <w:t xml:space="preserve"> </w:t>
            </w:r>
            <w:r w:rsidR="0094427C" w:rsidRPr="00CF3673">
              <w:rPr>
                <w:lang w:val="pt-PT"/>
              </w:rPr>
              <w:t>–</w:t>
            </w:r>
            <w:r w:rsidRPr="00CF3673">
              <w:rPr>
                <w:lang w:val="pt-PT"/>
              </w:rPr>
              <w:t xml:space="preserve"> </w:t>
            </w:r>
            <w:r w:rsidR="00761AD0" w:rsidRPr="00CF3673">
              <w:rPr>
                <w:lang w:val="pt-PT"/>
              </w:rPr>
              <w:t>Variável</w:t>
            </w:r>
            <w:r w:rsidR="0094427C" w:rsidRPr="00CF3673">
              <w:rPr>
                <w:lang w:val="pt-PT"/>
              </w:rPr>
              <w:t xml:space="preserve"> dependente igual a 1 se a empresa introduziu novo produto ou melhorou o produtos existente, o contrario zero</w:t>
            </w:r>
            <w:r w:rsidRPr="00CF3673">
              <w:rPr>
                <w:szCs w:val="20"/>
                <w:lang w:val="pt-PT"/>
              </w:rPr>
              <w:t>.</w:t>
            </w:r>
            <w:r w:rsidRPr="00CF3673">
              <w:rPr>
                <w:lang w:val="pt-PT"/>
              </w:rPr>
              <w:t xml:space="preserve"> </w:t>
            </w:r>
            <w:proofErr w:type="spellStart"/>
            <w:r w:rsidRPr="00CF3673">
              <w:rPr>
                <w:lang w:val="pt-PT"/>
              </w:rPr>
              <w:t>Heteroscedastic</w:t>
            </w:r>
            <w:r w:rsidR="0094427C" w:rsidRPr="00CF3673">
              <w:rPr>
                <w:lang w:val="pt-PT"/>
              </w:rPr>
              <w:t>dade</w:t>
            </w:r>
            <w:proofErr w:type="spellEnd"/>
            <w:r w:rsidRPr="00CF3673">
              <w:rPr>
                <w:lang w:val="pt-PT"/>
              </w:rPr>
              <w:t xml:space="preserve"> consistent</w:t>
            </w:r>
            <w:r w:rsidR="0094427C" w:rsidRPr="00CF3673">
              <w:rPr>
                <w:lang w:val="pt-PT"/>
              </w:rPr>
              <w:t>e</w:t>
            </w:r>
            <w:r w:rsidRPr="00CF3673">
              <w:rPr>
                <w:lang w:val="pt-PT"/>
              </w:rPr>
              <w:t xml:space="preserve"> t-</w:t>
            </w:r>
            <w:proofErr w:type="spellStart"/>
            <w:r w:rsidR="0094427C" w:rsidRPr="00CF3673">
              <w:rPr>
                <w:lang w:val="pt-PT"/>
              </w:rPr>
              <w:t>es</w:t>
            </w:r>
            <w:r w:rsidRPr="00CF3673">
              <w:rPr>
                <w:lang w:val="pt-PT"/>
              </w:rPr>
              <w:t>tatistic</w:t>
            </w:r>
            <w:r w:rsidR="0094427C" w:rsidRPr="00CF3673">
              <w:rPr>
                <w:lang w:val="pt-PT"/>
              </w:rPr>
              <w:t>a</w:t>
            </w:r>
            <w:r w:rsidRPr="00CF3673">
              <w:rPr>
                <w:lang w:val="pt-PT"/>
              </w:rPr>
              <w:t>s</w:t>
            </w:r>
            <w:proofErr w:type="spellEnd"/>
            <w:r w:rsidRPr="00CF3673">
              <w:rPr>
                <w:lang w:val="pt-PT"/>
              </w:rPr>
              <w:t xml:space="preserve"> </w:t>
            </w:r>
            <w:r w:rsidR="0094427C" w:rsidRPr="00CF3673">
              <w:rPr>
                <w:lang w:val="pt-PT"/>
              </w:rPr>
              <w:t>em</w:t>
            </w:r>
            <w:r w:rsidRPr="00CF3673">
              <w:rPr>
                <w:lang w:val="pt-PT"/>
              </w:rPr>
              <w:t xml:space="preserve"> parent</w:t>
            </w:r>
            <w:r w:rsidR="0094427C" w:rsidRPr="00CF3673">
              <w:rPr>
                <w:lang w:val="pt-PT"/>
              </w:rPr>
              <w:t>ese</w:t>
            </w:r>
            <w:r w:rsidRPr="00CF3673">
              <w:rPr>
                <w:lang w:val="pt-PT"/>
              </w:rPr>
              <w:t xml:space="preserve">. *, ** </w:t>
            </w:r>
            <w:r w:rsidR="0094427C" w:rsidRPr="00CF3673">
              <w:rPr>
                <w:lang w:val="pt-PT"/>
              </w:rPr>
              <w:t>e *** indica</w:t>
            </w:r>
            <w:r w:rsidRPr="00CF3673">
              <w:rPr>
                <w:lang w:val="pt-PT"/>
              </w:rPr>
              <w:t xml:space="preserve"> </w:t>
            </w:r>
            <w:r w:rsidR="00761AD0" w:rsidRPr="00CF3673">
              <w:rPr>
                <w:lang w:val="pt-PT"/>
              </w:rPr>
              <w:t>significância</w:t>
            </w:r>
            <w:r w:rsidRPr="00CF3673">
              <w:rPr>
                <w:lang w:val="pt-PT"/>
              </w:rPr>
              <w:t xml:space="preserve"> </w:t>
            </w:r>
            <w:r w:rsidR="0094427C" w:rsidRPr="00CF3673">
              <w:rPr>
                <w:lang w:val="pt-PT"/>
              </w:rPr>
              <w:t xml:space="preserve">ao nível </w:t>
            </w:r>
            <w:r w:rsidRPr="00CF3673">
              <w:rPr>
                <w:lang w:val="pt-PT"/>
              </w:rPr>
              <w:t>10</w:t>
            </w:r>
            <w:r w:rsidR="0094427C" w:rsidRPr="00CF3673">
              <w:rPr>
                <w:lang w:val="pt-PT"/>
              </w:rPr>
              <w:t>%</w:t>
            </w:r>
            <w:r w:rsidRPr="00CF3673">
              <w:rPr>
                <w:lang w:val="pt-PT"/>
              </w:rPr>
              <w:t>., 5</w:t>
            </w:r>
            <w:r w:rsidR="0094427C" w:rsidRPr="00CF3673">
              <w:rPr>
                <w:lang w:val="pt-PT"/>
              </w:rPr>
              <w:t>%</w:t>
            </w:r>
            <w:r w:rsidRPr="00CF3673">
              <w:rPr>
                <w:lang w:val="pt-PT"/>
              </w:rPr>
              <w:t xml:space="preserve">. </w:t>
            </w:r>
            <w:r w:rsidR="0094427C" w:rsidRPr="00CF3673">
              <w:rPr>
                <w:lang w:val="pt-PT"/>
              </w:rPr>
              <w:t>e</w:t>
            </w:r>
            <w:r w:rsidRPr="00CF3673">
              <w:rPr>
                <w:lang w:val="pt-PT"/>
              </w:rPr>
              <w:t xml:space="preserve"> 1</w:t>
            </w:r>
            <w:r w:rsidR="0094427C" w:rsidRPr="00CF3673">
              <w:rPr>
                <w:lang w:val="pt-PT"/>
              </w:rPr>
              <w:t>%</w:t>
            </w:r>
            <w:r w:rsidRPr="00CF3673">
              <w:rPr>
                <w:lang w:val="pt-PT"/>
              </w:rPr>
              <w:t>, respectiv</w:t>
            </w:r>
            <w:r w:rsidR="0094427C" w:rsidRPr="00CF3673">
              <w:rPr>
                <w:lang w:val="pt-PT"/>
              </w:rPr>
              <w:t>amente</w:t>
            </w:r>
            <w:r w:rsidRPr="00CF3673">
              <w:rPr>
                <w:lang w:val="pt-PT"/>
              </w:rPr>
              <w:t xml:space="preserve">. Base: Informal, </w:t>
            </w:r>
            <w:r w:rsidR="0094427C" w:rsidRPr="00CF3673">
              <w:rPr>
                <w:lang w:val="pt-PT"/>
              </w:rPr>
              <w:t xml:space="preserve">detida por </w:t>
            </w:r>
            <w:r w:rsidR="00761AD0" w:rsidRPr="00CF3673">
              <w:rPr>
                <w:lang w:val="pt-PT"/>
              </w:rPr>
              <w:t>moçambicano</w:t>
            </w:r>
            <w:r w:rsidRPr="00CF3673">
              <w:rPr>
                <w:lang w:val="pt-PT"/>
              </w:rPr>
              <w:t xml:space="preserve">, </w:t>
            </w:r>
            <w:r w:rsidR="0094427C" w:rsidRPr="00CF3673">
              <w:rPr>
                <w:lang w:val="pt-PT"/>
              </w:rPr>
              <w:t>menos do que educação universitária</w:t>
            </w:r>
            <w:r w:rsidRPr="00CF3673">
              <w:rPr>
                <w:lang w:val="pt-PT"/>
              </w:rPr>
              <w:t xml:space="preserve">, </w:t>
            </w:r>
            <w:r w:rsidR="0094427C" w:rsidRPr="00CF3673">
              <w:rPr>
                <w:lang w:val="pt-PT"/>
              </w:rPr>
              <w:t xml:space="preserve">propriedade </w:t>
            </w:r>
            <w:r w:rsidR="00761AD0" w:rsidRPr="00CF3673">
              <w:rPr>
                <w:lang w:val="pt-PT"/>
              </w:rPr>
              <w:t>individual</w:t>
            </w:r>
            <w:r w:rsidRPr="00CF3673">
              <w:rPr>
                <w:lang w:val="pt-PT"/>
              </w:rPr>
              <w:t xml:space="preserve">, Maputo, </w:t>
            </w:r>
            <w:r w:rsidR="0094427C" w:rsidRPr="00CF3673">
              <w:rPr>
                <w:lang w:val="pt-PT"/>
              </w:rPr>
              <w:t>Sectores da Alimentação e Tabaco</w:t>
            </w:r>
            <w:r w:rsidRPr="00CF3673">
              <w:rPr>
                <w:lang w:val="pt-PT"/>
              </w:rPr>
              <w:t xml:space="preserve"> (ISIC 15 </w:t>
            </w:r>
            <w:r w:rsidR="0094427C" w:rsidRPr="00CF3673">
              <w:rPr>
                <w:lang w:val="pt-PT"/>
              </w:rPr>
              <w:t>e</w:t>
            </w:r>
            <w:r w:rsidRPr="00CF3673">
              <w:rPr>
                <w:lang w:val="pt-PT"/>
              </w:rPr>
              <w:t xml:space="preserve"> 16).</w:t>
            </w:r>
          </w:p>
        </w:tc>
      </w:tr>
      <w:tr w:rsidR="00376503" w:rsidRPr="00CF3673" w:rsidTr="00063143">
        <w:trPr>
          <w:jc w:val="center"/>
        </w:trPr>
        <w:tc>
          <w:tcPr>
            <w:tcW w:w="5806" w:type="dxa"/>
            <w:gridSpan w:val="3"/>
            <w:tcBorders>
              <w:left w:val="nil"/>
              <w:right w:val="nil"/>
            </w:tcBorders>
          </w:tcPr>
          <w:p w:rsidR="00376503" w:rsidRPr="00CF3673" w:rsidRDefault="00761AD0" w:rsidP="0094427C">
            <w:pPr>
              <w:pStyle w:val="Tablenote"/>
              <w:rPr>
                <w:lang w:val="pt-PT"/>
              </w:rPr>
            </w:pPr>
            <w:r w:rsidRPr="00CF3673">
              <w:rPr>
                <w:b/>
                <w:lang w:val="pt-PT" w:eastAsia="en-GB"/>
              </w:rPr>
              <w:t>Fonte:</w:t>
            </w:r>
            <w:r w:rsidR="00376503" w:rsidRPr="00CF3673">
              <w:rPr>
                <w:lang w:val="pt-PT" w:eastAsia="en-GB"/>
              </w:rPr>
              <w:t xml:space="preserve">: </w:t>
            </w:r>
            <w:r w:rsidRPr="00CF3673">
              <w:rPr>
                <w:lang w:val="pt-PT" w:eastAsia="en-GB"/>
              </w:rPr>
              <w:t>Cálculos</w:t>
            </w:r>
            <w:r w:rsidR="0094427C" w:rsidRPr="00CF3673">
              <w:rPr>
                <w:lang w:val="pt-PT" w:eastAsia="en-GB"/>
              </w:rPr>
              <w:t xml:space="preserve"> dos autores usando </w:t>
            </w:r>
            <w:r w:rsidR="00376503" w:rsidRPr="00CF3673">
              <w:rPr>
                <w:lang w:val="pt-PT" w:eastAsia="en-GB"/>
              </w:rPr>
              <w:t>IIM 2012.</w:t>
            </w:r>
          </w:p>
        </w:tc>
      </w:tr>
    </w:tbl>
    <w:p w:rsidR="0094427C" w:rsidRPr="00CF3673" w:rsidRDefault="0094427C" w:rsidP="001057B8">
      <w:pPr>
        <w:pStyle w:val="MainText"/>
        <w:rPr>
          <w:rStyle w:val="Strong"/>
          <w:b w:val="0"/>
          <w:bCs w:val="0"/>
          <w:lang w:val="pt-PT"/>
        </w:rPr>
      </w:pPr>
    </w:p>
    <w:p w:rsidR="00BB20C2" w:rsidRPr="00CF3673" w:rsidRDefault="00BB20C2" w:rsidP="001057B8">
      <w:pPr>
        <w:pStyle w:val="MainText"/>
        <w:rPr>
          <w:rStyle w:val="Strong"/>
          <w:b w:val="0"/>
          <w:bCs w:val="0"/>
          <w:lang w:val="pt-PT"/>
        </w:rPr>
      </w:pPr>
      <w:r w:rsidRPr="00CF3673">
        <w:rPr>
          <w:rStyle w:val="Strong"/>
          <w:b w:val="0"/>
          <w:bCs w:val="0"/>
          <w:lang w:val="pt-PT"/>
        </w:rPr>
        <w:t xml:space="preserve">A tabela 8.9 apresenta </w:t>
      </w:r>
      <w:r w:rsidR="00761AD0" w:rsidRPr="00CF3673">
        <w:rPr>
          <w:rStyle w:val="Strong"/>
          <w:b w:val="0"/>
          <w:bCs w:val="0"/>
          <w:lang w:val="pt-PT"/>
        </w:rPr>
        <w:t>resultados</w:t>
      </w:r>
      <w:r w:rsidRPr="00CF3673">
        <w:rPr>
          <w:rStyle w:val="Strong"/>
          <w:b w:val="0"/>
          <w:bCs w:val="0"/>
          <w:lang w:val="pt-PT"/>
        </w:rPr>
        <w:t xml:space="preserve"> da regressão </w:t>
      </w:r>
      <w:proofErr w:type="spellStart"/>
      <w:r w:rsidRPr="00CF3673">
        <w:rPr>
          <w:rStyle w:val="Strong"/>
          <w:b w:val="0"/>
          <w:bCs w:val="0"/>
          <w:i/>
          <w:lang w:val="pt-PT"/>
        </w:rPr>
        <w:t>probit</w:t>
      </w:r>
      <w:proofErr w:type="spellEnd"/>
      <w:r w:rsidRPr="00CF3673">
        <w:rPr>
          <w:rStyle w:val="Strong"/>
          <w:b w:val="0"/>
          <w:bCs w:val="0"/>
          <w:i/>
          <w:lang w:val="pt-PT"/>
        </w:rPr>
        <w:t xml:space="preserve"> </w:t>
      </w:r>
      <w:r w:rsidRPr="00CF3673">
        <w:rPr>
          <w:rStyle w:val="Strong"/>
          <w:b w:val="0"/>
          <w:bCs w:val="0"/>
          <w:lang w:val="pt-PT"/>
        </w:rPr>
        <w:t>do capital social sobre a inovação</w:t>
      </w:r>
      <w:r w:rsidR="008E55D8" w:rsidRPr="00CF3673">
        <w:rPr>
          <w:rStyle w:val="Strong"/>
          <w:b w:val="0"/>
          <w:bCs w:val="0"/>
          <w:lang w:val="pt-PT"/>
        </w:rPr>
        <w:t xml:space="preserve"> corrigida a empresa normal e as características do proprietário, incluindo localização, estrutura legal e o sector. A </w:t>
      </w:r>
      <w:r w:rsidR="00761AD0" w:rsidRPr="00CF3673">
        <w:rPr>
          <w:rStyle w:val="Strong"/>
          <w:b w:val="0"/>
          <w:bCs w:val="0"/>
          <w:lang w:val="pt-PT"/>
        </w:rPr>
        <w:t>variável</w:t>
      </w:r>
      <w:r w:rsidR="008E55D8" w:rsidRPr="00CF3673">
        <w:rPr>
          <w:rStyle w:val="Strong"/>
          <w:b w:val="0"/>
          <w:bCs w:val="0"/>
          <w:lang w:val="pt-PT"/>
        </w:rPr>
        <w:t xml:space="preserve"> dependente para o nível de inovação tem o valor de 1 se a empresa tiver introduzido novo produto/ ou melhorados os actuais produtos, e 0 se for diferente. Coluna 1</w:t>
      </w:r>
      <w:r w:rsidR="008073C7" w:rsidRPr="00CF3673">
        <w:rPr>
          <w:rStyle w:val="Strong"/>
          <w:b w:val="0"/>
          <w:bCs w:val="0"/>
          <w:lang w:val="pt-PT"/>
        </w:rPr>
        <w:t xml:space="preserve"> inclui o número total de contactos, </w:t>
      </w:r>
      <w:r w:rsidR="002F6200" w:rsidRPr="00CF3673">
        <w:rPr>
          <w:rStyle w:val="Strong"/>
          <w:b w:val="0"/>
          <w:bCs w:val="0"/>
          <w:lang w:val="pt-PT"/>
        </w:rPr>
        <w:t xml:space="preserve">o </w:t>
      </w:r>
      <w:r w:rsidR="00761AD0" w:rsidRPr="00CF3673">
        <w:rPr>
          <w:rStyle w:val="Strong"/>
          <w:b w:val="0"/>
          <w:bCs w:val="0"/>
          <w:lang w:val="pt-PT"/>
        </w:rPr>
        <w:t>valor</w:t>
      </w:r>
      <w:r w:rsidR="002F6200" w:rsidRPr="00CF3673">
        <w:rPr>
          <w:rStyle w:val="Strong"/>
          <w:b w:val="0"/>
          <w:bCs w:val="0"/>
          <w:lang w:val="pt-PT"/>
        </w:rPr>
        <w:t xml:space="preserve"> (proxy) para a diversidade de contactos, </w:t>
      </w:r>
      <w:r w:rsidR="00E01DCF" w:rsidRPr="00CF3673">
        <w:rPr>
          <w:rStyle w:val="Strong"/>
          <w:b w:val="0"/>
          <w:bCs w:val="0"/>
          <w:lang w:val="pt-PT"/>
        </w:rPr>
        <w:t xml:space="preserve">e filiação </w:t>
      </w:r>
      <w:proofErr w:type="spellStart"/>
      <w:r w:rsidR="00E01DCF" w:rsidRPr="00CF3673">
        <w:rPr>
          <w:rStyle w:val="Strong"/>
          <w:b w:val="0"/>
          <w:bCs w:val="0"/>
          <w:i/>
          <w:lang w:val="pt-PT"/>
        </w:rPr>
        <w:t>dumm</w:t>
      </w:r>
      <w:r w:rsidR="00761AD0" w:rsidRPr="00CF3673">
        <w:rPr>
          <w:rStyle w:val="Strong"/>
          <w:b w:val="0"/>
          <w:bCs w:val="0"/>
          <w:i/>
          <w:lang w:val="pt-PT"/>
        </w:rPr>
        <w:t>y</w:t>
      </w:r>
      <w:proofErr w:type="spellEnd"/>
      <w:r w:rsidR="008E55D8" w:rsidRPr="00CF3673">
        <w:rPr>
          <w:rStyle w:val="Strong"/>
          <w:b w:val="0"/>
          <w:bCs w:val="0"/>
          <w:lang w:val="pt-PT"/>
        </w:rPr>
        <w:t xml:space="preserve"> </w:t>
      </w:r>
      <w:r w:rsidR="00E01DCF" w:rsidRPr="00CF3673">
        <w:rPr>
          <w:rStyle w:val="Strong"/>
          <w:b w:val="0"/>
          <w:bCs w:val="0"/>
          <w:lang w:val="pt-PT"/>
        </w:rPr>
        <w:t xml:space="preserve">, enquanto a coluna (2) faz a decomposição o </w:t>
      </w:r>
      <w:r w:rsidR="00761AD0" w:rsidRPr="00CF3673">
        <w:rPr>
          <w:rStyle w:val="Strong"/>
          <w:b w:val="0"/>
          <w:bCs w:val="0"/>
          <w:lang w:val="pt-PT"/>
        </w:rPr>
        <w:t>número</w:t>
      </w:r>
      <w:r w:rsidR="00E01DCF" w:rsidRPr="00CF3673">
        <w:rPr>
          <w:rStyle w:val="Strong"/>
          <w:b w:val="0"/>
          <w:bCs w:val="0"/>
          <w:lang w:val="pt-PT"/>
        </w:rPr>
        <w:t xml:space="preserve"> total de contactos nos grupos mencionados.</w:t>
      </w:r>
      <w:r w:rsidRPr="00CF3673">
        <w:rPr>
          <w:rStyle w:val="Strong"/>
          <w:b w:val="0"/>
          <w:bCs w:val="0"/>
          <w:lang w:val="pt-PT"/>
        </w:rPr>
        <w:t xml:space="preserve"> </w:t>
      </w:r>
    </w:p>
    <w:p w:rsidR="0089777C" w:rsidRPr="00CF3673" w:rsidRDefault="00E01DCF" w:rsidP="001057B8">
      <w:pPr>
        <w:pStyle w:val="MainText"/>
        <w:rPr>
          <w:lang w:val="pt-PT"/>
        </w:rPr>
      </w:pPr>
      <w:r w:rsidRPr="00CF3673">
        <w:rPr>
          <w:lang w:val="pt-PT"/>
        </w:rPr>
        <w:t xml:space="preserve">Sumarizando os resultados temos o seguinte. Primeiro, como esperado, a diversidade de contactos tem efeito positivo e significativo na probabilidade de inovação das empresas. Olhando para a coluna (2) </w:t>
      </w:r>
      <w:r w:rsidR="003D2328" w:rsidRPr="00CF3673">
        <w:rPr>
          <w:lang w:val="pt-PT"/>
        </w:rPr>
        <w:t xml:space="preserve">as empresas com mais contactos com oficiais da banca e políticos tem menos propensão a introduzir novos produtos ou melhorar os produtos existentes. Segundo, o tamanho da empresas esta positivamente </w:t>
      </w:r>
      <w:r w:rsidR="003D2328" w:rsidRPr="00CF3673">
        <w:rPr>
          <w:lang w:val="pt-PT"/>
        </w:rPr>
        <w:lastRenderedPageBreak/>
        <w:t xml:space="preserve">associada à inovação, sugerindo que grandes empresas tem maior </w:t>
      </w:r>
      <w:r w:rsidR="00761AD0" w:rsidRPr="00CF3673">
        <w:rPr>
          <w:lang w:val="pt-PT"/>
        </w:rPr>
        <w:t>propensão</w:t>
      </w:r>
      <w:r w:rsidR="003D2328" w:rsidRPr="00CF3673">
        <w:rPr>
          <w:lang w:val="pt-PT"/>
        </w:rPr>
        <w:t xml:space="preserve"> a inovar do que a pequenas empresas. Terceiro, as parcerias e a empresas de responsabilidade limitada são significativamente menos propensas a inovar do que </w:t>
      </w:r>
      <w:r w:rsidR="0089777C" w:rsidRPr="00CF3673">
        <w:rPr>
          <w:lang w:val="pt-PT"/>
        </w:rPr>
        <w:t>as empresas individuais.</w:t>
      </w:r>
    </w:p>
    <w:p w:rsidR="00281985" w:rsidRPr="00CF3673" w:rsidRDefault="006102AC" w:rsidP="001E664B">
      <w:pPr>
        <w:pStyle w:val="ChapterTitle"/>
        <w:rPr>
          <w:lang w:val="pt-PT"/>
        </w:rPr>
      </w:pPr>
      <w:bookmarkStart w:id="75" w:name="_Toc360720405"/>
      <w:r w:rsidRPr="00CF3673">
        <w:rPr>
          <w:lang w:val="pt-PT"/>
        </w:rPr>
        <w:t>9</w:t>
      </w:r>
      <w:r w:rsidR="00D31F36" w:rsidRPr="00CF3673">
        <w:rPr>
          <w:lang w:val="pt-PT"/>
        </w:rPr>
        <w:t xml:space="preserve">. </w:t>
      </w:r>
      <w:r w:rsidR="00DD3347" w:rsidRPr="00CF3673">
        <w:rPr>
          <w:lang w:val="pt-PT"/>
        </w:rPr>
        <w:t>Cr</w:t>
      </w:r>
      <w:r w:rsidR="00812A46" w:rsidRPr="00CF3673">
        <w:rPr>
          <w:lang w:val="pt-PT"/>
        </w:rPr>
        <w:t>é</w:t>
      </w:r>
      <w:r w:rsidR="00DD3347" w:rsidRPr="00CF3673">
        <w:rPr>
          <w:lang w:val="pt-PT"/>
        </w:rPr>
        <w:t>dit</w:t>
      </w:r>
      <w:r w:rsidR="00812A46" w:rsidRPr="00CF3673">
        <w:rPr>
          <w:lang w:val="pt-PT"/>
        </w:rPr>
        <w:t>o</w:t>
      </w:r>
      <w:r w:rsidR="00DD3347" w:rsidRPr="00CF3673">
        <w:rPr>
          <w:lang w:val="pt-PT"/>
        </w:rPr>
        <w:t xml:space="preserve"> </w:t>
      </w:r>
      <w:r w:rsidR="00281985" w:rsidRPr="00CF3673">
        <w:rPr>
          <w:lang w:val="pt-PT"/>
        </w:rPr>
        <w:t xml:space="preserve">e </w:t>
      </w:r>
      <w:r w:rsidR="00761AD0" w:rsidRPr="00CF3673">
        <w:rPr>
          <w:lang w:val="pt-PT"/>
        </w:rPr>
        <w:t>acesso</w:t>
      </w:r>
      <w:r w:rsidR="00281985" w:rsidRPr="00CF3673">
        <w:rPr>
          <w:lang w:val="pt-PT"/>
        </w:rPr>
        <w:t xml:space="preserve"> ao financiamento</w:t>
      </w:r>
    </w:p>
    <w:bookmarkEnd w:id="75"/>
    <w:p w:rsidR="00281985" w:rsidRPr="00CF3673" w:rsidRDefault="00281985" w:rsidP="001E664B">
      <w:pPr>
        <w:pStyle w:val="MainText"/>
        <w:rPr>
          <w:lang w:val="pt-PT"/>
        </w:rPr>
      </w:pPr>
      <w:r w:rsidRPr="00CF3673">
        <w:rPr>
          <w:lang w:val="pt-PT"/>
        </w:rPr>
        <w:t xml:space="preserve">Em seguimento da secção 5.2 sobre investimentos, este </w:t>
      </w:r>
      <w:r w:rsidR="00761AD0" w:rsidRPr="00CF3673">
        <w:rPr>
          <w:lang w:val="pt-PT"/>
        </w:rPr>
        <w:t>capítulo</w:t>
      </w:r>
      <w:r w:rsidRPr="00CF3673">
        <w:rPr>
          <w:lang w:val="pt-PT"/>
        </w:rPr>
        <w:t xml:space="preserve"> procura descrever e </w:t>
      </w:r>
      <w:r w:rsidR="00761AD0" w:rsidRPr="00CF3673">
        <w:rPr>
          <w:lang w:val="pt-PT"/>
        </w:rPr>
        <w:t>analisar</w:t>
      </w:r>
      <w:r w:rsidRPr="00CF3673">
        <w:rPr>
          <w:lang w:val="pt-PT"/>
        </w:rPr>
        <w:t xml:space="preserve"> a Situação do crédito para as empresas manufactureira </w:t>
      </w:r>
      <w:r w:rsidR="00761AD0" w:rsidRPr="00CF3673">
        <w:rPr>
          <w:lang w:val="pt-PT"/>
        </w:rPr>
        <w:t>moçambicanas</w:t>
      </w:r>
      <w:r w:rsidRPr="00CF3673">
        <w:rPr>
          <w:lang w:val="pt-PT"/>
        </w:rPr>
        <w:t>. Dado que as empresas pretendem fazer investimentos mais do que com os seus próprios recursos e ganhos retidos, o acesso ao financiamento joga um papel importante na estratégia de investimento das empresas.</w:t>
      </w:r>
    </w:p>
    <w:p w:rsidR="00281985" w:rsidRPr="00CF3673" w:rsidRDefault="00281985" w:rsidP="001E664B">
      <w:pPr>
        <w:pStyle w:val="MainText"/>
        <w:rPr>
          <w:lang w:val="pt-PT"/>
        </w:rPr>
      </w:pPr>
      <w:r w:rsidRPr="00CF3673">
        <w:rPr>
          <w:lang w:val="pt-PT"/>
        </w:rPr>
        <w:t xml:space="preserve">Uma outra razão para Estudo do acesso ao financiamento é o facto de este ser um dos primeiros constrangimentos que confrontam as empresas manufactureiras </w:t>
      </w:r>
      <w:r w:rsidR="00761AD0" w:rsidRPr="00CF3673">
        <w:rPr>
          <w:lang w:val="pt-PT"/>
        </w:rPr>
        <w:t>moçambicanas</w:t>
      </w:r>
      <w:r w:rsidRPr="00CF3673">
        <w:rPr>
          <w:lang w:val="pt-PT"/>
        </w:rPr>
        <w:t xml:space="preserve"> (DNEAP, 2006; ICA, 2009), o que foi igualmente constatado no ranking dos constrangimentos no capítulo 3 deste relatório.</w:t>
      </w:r>
    </w:p>
    <w:p w:rsidR="00781795" w:rsidRPr="00CF3673" w:rsidRDefault="00781795" w:rsidP="001E664B">
      <w:pPr>
        <w:pStyle w:val="MainText"/>
        <w:rPr>
          <w:lang w:val="pt-PT"/>
        </w:rPr>
      </w:pPr>
      <w:r w:rsidRPr="00CF3673">
        <w:rPr>
          <w:lang w:val="pt-PT"/>
        </w:rPr>
        <w:t xml:space="preserve">A secção 9.1 apresenta algumas </w:t>
      </w:r>
      <w:proofErr w:type="spellStart"/>
      <w:r w:rsidRPr="00CF3673">
        <w:rPr>
          <w:lang w:val="pt-PT"/>
        </w:rPr>
        <w:t>estatisticas</w:t>
      </w:r>
      <w:proofErr w:type="spellEnd"/>
      <w:r w:rsidRPr="00CF3673">
        <w:rPr>
          <w:lang w:val="pt-PT"/>
        </w:rPr>
        <w:t xml:space="preserve"> descritivas sobre o acesso ao financiamento e ao </w:t>
      </w:r>
      <w:r w:rsidR="00761AD0" w:rsidRPr="00CF3673">
        <w:rPr>
          <w:lang w:val="pt-PT"/>
        </w:rPr>
        <w:t>crédito</w:t>
      </w:r>
      <w:r w:rsidRPr="00CF3673">
        <w:rPr>
          <w:lang w:val="pt-PT"/>
        </w:rPr>
        <w:t xml:space="preserve"> e a secção 9.2 verifica o dito constrangimento no acesso ao </w:t>
      </w:r>
      <w:r w:rsidR="00761AD0" w:rsidRPr="00CF3673">
        <w:rPr>
          <w:lang w:val="pt-PT"/>
        </w:rPr>
        <w:t>crédito</w:t>
      </w:r>
      <w:r w:rsidRPr="00CF3673">
        <w:rPr>
          <w:lang w:val="pt-PT"/>
        </w:rPr>
        <w:t xml:space="preserve"> e do </w:t>
      </w:r>
      <w:r w:rsidR="00761AD0" w:rsidRPr="00CF3673">
        <w:rPr>
          <w:lang w:val="pt-PT"/>
        </w:rPr>
        <w:t>capítulo</w:t>
      </w:r>
      <w:r w:rsidRPr="00CF3673">
        <w:rPr>
          <w:lang w:val="pt-PT"/>
        </w:rPr>
        <w:t xml:space="preserve"> 3 uma analise mais formal da demanda do </w:t>
      </w:r>
      <w:r w:rsidR="00761AD0" w:rsidRPr="00CF3673">
        <w:rPr>
          <w:lang w:val="pt-PT"/>
        </w:rPr>
        <w:t>crédito</w:t>
      </w:r>
      <w:r w:rsidRPr="00CF3673">
        <w:rPr>
          <w:lang w:val="pt-PT"/>
        </w:rPr>
        <w:t xml:space="preserve"> e os constrangimento, seguindo </w:t>
      </w:r>
      <w:proofErr w:type="spellStart"/>
      <w:r w:rsidRPr="00CF3673">
        <w:rPr>
          <w:lang w:val="pt-PT"/>
        </w:rPr>
        <w:t>Byiers</w:t>
      </w:r>
      <w:proofErr w:type="spellEnd"/>
      <w:r w:rsidRPr="00CF3673">
        <w:rPr>
          <w:lang w:val="pt-PT"/>
        </w:rPr>
        <w:t xml:space="preserve"> </w:t>
      </w:r>
      <w:proofErr w:type="spellStart"/>
      <w:r w:rsidRPr="00CF3673">
        <w:rPr>
          <w:lang w:val="pt-PT"/>
        </w:rPr>
        <w:t>et</w:t>
      </w:r>
      <w:proofErr w:type="spellEnd"/>
      <w:r w:rsidRPr="00CF3673">
        <w:rPr>
          <w:lang w:val="pt-PT"/>
        </w:rPr>
        <w:t xml:space="preserve"> al (2010).</w:t>
      </w:r>
    </w:p>
    <w:p w:rsidR="007A63A5" w:rsidRPr="00CF3673" w:rsidRDefault="006102AC" w:rsidP="001E664B">
      <w:pPr>
        <w:pStyle w:val="SectionTitle"/>
        <w:rPr>
          <w:lang w:val="pt-PT"/>
        </w:rPr>
      </w:pPr>
      <w:bookmarkStart w:id="76" w:name="_Toc360720406"/>
      <w:r w:rsidRPr="00CF3673">
        <w:rPr>
          <w:lang w:val="pt-PT"/>
        </w:rPr>
        <w:t>9</w:t>
      </w:r>
      <w:r w:rsidR="007A63A5" w:rsidRPr="00CF3673">
        <w:rPr>
          <w:lang w:val="pt-PT"/>
        </w:rPr>
        <w:t>.</w:t>
      </w:r>
      <w:r w:rsidR="000A2A44" w:rsidRPr="00CF3673">
        <w:rPr>
          <w:lang w:val="pt-PT"/>
        </w:rPr>
        <w:t>1</w:t>
      </w:r>
      <w:r w:rsidR="00993BA0" w:rsidRPr="00CF3673">
        <w:rPr>
          <w:lang w:val="pt-PT"/>
        </w:rPr>
        <w:t>.</w:t>
      </w:r>
      <w:r w:rsidR="007A63A5" w:rsidRPr="00CF3673">
        <w:rPr>
          <w:lang w:val="pt-PT"/>
        </w:rPr>
        <w:t xml:space="preserve"> </w:t>
      </w:r>
      <w:r w:rsidR="00761AD0" w:rsidRPr="00CF3673">
        <w:rPr>
          <w:lang w:val="pt-PT"/>
        </w:rPr>
        <w:t>Acesso</w:t>
      </w:r>
      <w:r w:rsidR="00781795" w:rsidRPr="00CF3673">
        <w:rPr>
          <w:lang w:val="pt-PT"/>
        </w:rPr>
        <w:t xml:space="preserve"> ao </w:t>
      </w:r>
      <w:bookmarkEnd w:id="76"/>
      <w:r w:rsidR="00761AD0" w:rsidRPr="00CF3673">
        <w:rPr>
          <w:lang w:val="pt-PT"/>
        </w:rPr>
        <w:t>financiamento</w:t>
      </w:r>
    </w:p>
    <w:p w:rsidR="00781795" w:rsidRPr="00CF3673" w:rsidRDefault="00781795" w:rsidP="001E664B">
      <w:pPr>
        <w:pStyle w:val="MainText"/>
        <w:rPr>
          <w:lang w:val="pt-PT"/>
        </w:rPr>
      </w:pPr>
      <w:r w:rsidRPr="00CF3673">
        <w:rPr>
          <w:lang w:val="pt-PT"/>
        </w:rPr>
        <w:t xml:space="preserve">Para se obter uma </w:t>
      </w:r>
      <w:r w:rsidR="00761AD0" w:rsidRPr="00CF3673">
        <w:rPr>
          <w:lang w:val="pt-PT"/>
        </w:rPr>
        <w:t>ideia</w:t>
      </w:r>
      <w:r w:rsidRPr="00CF3673">
        <w:rPr>
          <w:lang w:val="pt-PT"/>
        </w:rPr>
        <w:t xml:space="preserve"> sobre o acesso ao financiamento entre as empresas manufactureiras </w:t>
      </w:r>
      <w:r w:rsidR="00761AD0" w:rsidRPr="00CF3673">
        <w:rPr>
          <w:lang w:val="pt-PT"/>
        </w:rPr>
        <w:t>moçambicanas</w:t>
      </w:r>
      <w:r w:rsidRPr="00CF3673">
        <w:rPr>
          <w:lang w:val="pt-PT"/>
        </w:rPr>
        <w:t xml:space="preserve">, considere a tabela 9.1, que mostra os instrumentos financeiros para diferentes grupos de empresas. </w:t>
      </w:r>
      <w:r w:rsidR="00761AD0" w:rsidRPr="00CF3673">
        <w:rPr>
          <w:lang w:val="pt-PT"/>
        </w:rPr>
        <w:t>Três</w:t>
      </w:r>
      <w:r w:rsidRPr="00CF3673">
        <w:rPr>
          <w:lang w:val="pt-PT"/>
        </w:rPr>
        <w:t xml:space="preserve"> destes instrumentos </w:t>
      </w:r>
      <w:r w:rsidR="00D9199F" w:rsidRPr="00CF3673">
        <w:rPr>
          <w:lang w:val="pt-PT"/>
        </w:rPr>
        <w:t>ao acesso ao crédito (ter acesso ao descoberto, obter credito bancário e ter credito não-</w:t>
      </w:r>
      <w:r w:rsidR="00761AD0" w:rsidRPr="00CF3673">
        <w:rPr>
          <w:lang w:val="pt-PT"/>
        </w:rPr>
        <w:t>bancário</w:t>
      </w:r>
      <w:r w:rsidR="00D9199F" w:rsidRPr="00CF3673">
        <w:rPr>
          <w:lang w:val="pt-PT"/>
        </w:rPr>
        <w:t>), dois são relativos a contabilidade (ter contabilidade organizada e auditada externamente) e dois são relativos ao comércio do crédito (venda ou compra a credito).</w:t>
      </w:r>
    </w:p>
    <w:p w:rsidR="00D9199F" w:rsidRPr="00CF3673" w:rsidRDefault="00D9199F" w:rsidP="00EA5BC0">
      <w:pPr>
        <w:pStyle w:val="MainText"/>
        <w:rPr>
          <w:lang w:val="pt-PT"/>
        </w:rPr>
      </w:pPr>
      <w:r w:rsidRPr="00CF3673">
        <w:rPr>
          <w:lang w:val="pt-PT"/>
        </w:rPr>
        <w:t xml:space="preserve">Apenas 14% das empresas na amostra tem </w:t>
      </w:r>
      <w:r w:rsidR="00761AD0" w:rsidRPr="00CF3673">
        <w:rPr>
          <w:lang w:val="pt-PT"/>
        </w:rPr>
        <w:t>crédito</w:t>
      </w:r>
      <w:r w:rsidRPr="00CF3673">
        <w:rPr>
          <w:lang w:val="pt-PT"/>
        </w:rPr>
        <w:t xml:space="preserve"> </w:t>
      </w:r>
      <w:r w:rsidR="00761AD0" w:rsidRPr="00CF3673">
        <w:rPr>
          <w:lang w:val="pt-PT"/>
        </w:rPr>
        <w:t>bancário</w:t>
      </w:r>
      <w:r w:rsidRPr="00CF3673">
        <w:rPr>
          <w:lang w:val="pt-PT"/>
        </w:rPr>
        <w:t>, enquanto 4% tem credito não-</w:t>
      </w:r>
      <w:r w:rsidR="00761AD0" w:rsidRPr="00CF3673">
        <w:rPr>
          <w:lang w:val="pt-PT"/>
        </w:rPr>
        <w:t>bancário</w:t>
      </w:r>
      <w:r w:rsidRPr="00CF3673">
        <w:rPr>
          <w:lang w:val="pt-PT"/>
        </w:rPr>
        <w:t xml:space="preserve"> e 9% tem facilidade para obter um descoberto. Isto é comparável a 13% com credito em 2009 (ICA, 2009). Ao contrário de </w:t>
      </w:r>
      <w:proofErr w:type="spellStart"/>
      <w:r w:rsidRPr="00CF3673">
        <w:rPr>
          <w:lang w:val="pt-PT"/>
        </w:rPr>
        <w:t>Brigsten</w:t>
      </w:r>
      <w:proofErr w:type="spellEnd"/>
      <w:r w:rsidRPr="00CF3673">
        <w:rPr>
          <w:lang w:val="pt-PT"/>
        </w:rPr>
        <w:t xml:space="preserve"> </w:t>
      </w:r>
      <w:proofErr w:type="spellStart"/>
      <w:r w:rsidRPr="00CF3673">
        <w:rPr>
          <w:lang w:val="pt-PT"/>
        </w:rPr>
        <w:t>et</w:t>
      </w:r>
      <w:proofErr w:type="spellEnd"/>
      <w:r w:rsidRPr="00CF3673">
        <w:rPr>
          <w:lang w:val="pt-PT"/>
        </w:rPr>
        <w:t xml:space="preserve"> al (2003) mas em alinhamento com </w:t>
      </w:r>
      <w:proofErr w:type="spellStart"/>
      <w:r w:rsidRPr="00CF3673">
        <w:rPr>
          <w:lang w:val="pt-PT"/>
        </w:rPr>
        <w:t>Byiers</w:t>
      </w:r>
      <w:proofErr w:type="spellEnd"/>
      <w:r w:rsidRPr="00CF3673">
        <w:rPr>
          <w:lang w:val="pt-PT"/>
        </w:rPr>
        <w:t xml:space="preserve"> </w:t>
      </w:r>
      <w:proofErr w:type="spellStart"/>
      <w:r w:rsidRPr="00CF3673">
        <w:rPr>
          <w:lang w:val="pt-PT"/>
        </w:rPr>
        <w:t>et</w:t>
      </w:r>
      <w:proofErr w:type="spellEnd"/>
      <w:r w:rsidRPr="00CF3673">
        <w:rPr>
          <w:lang w:val="pt-PT"/>
        </w:rPr>
        <w:t xml:space="preserve"> al (2010) os dados não sugerem que a facilidade de descoberto seja usada em grande medida.</w:t>
      </w:r>
    </w:p>
    <w:p w:rsidR="004414D1" w:rsidRPr="00CF3673" w:rsidRDefault="00D9199F" w:rsidP="00EA5BC0">
      <w:pPr>
        <w:pStyle w:val="MainText"/>
        <w:rPr>
          <w:lang w:val="pt-PT"/>
        </w:rPr>
      </w:pPr>
      <w:r w:rsidRPr="00CF3673">
        <w:rPr>
          <w:lang w:val="pt-PT"/>
        </w:rPr>
        <w:t xml:space="preserve">Todas </w:t>
      </w:r>
      <w:r w:rsidR="00FE0DB9" w:rsidRPr="00CF3673">
        <w:rPr>
          <w:lang w:val="pt-PT"/>
        </w:rPr>
        <w:t xml:space="preserve">as medidas sobre o acesso ao Mercado financeiro mostram uma marcada </w:t>
      </w:r>
      <w:r w:rsidR="00761AD0" w:rsidRPr="00CF3673">
        <w:rPr>
          <w:lang w:val="pt-PT"/>
        </w:rPr>
        <w:t>tendência</w:t>
      </w:r>
      <w:r w:rsidR="00FE0DB9" w:rsidRPr="00CF3673">
        <w:rPr>
          <w:lang w:val="pt-PT"/>
        </w:rPr>
        <w:t xml:space="preserve"> de variação com o tamanho da empresa e a formalidade, com as grandes e empresas formais a estarem melhor conectadas aos mercados financeiros. A única excepção é sobre os </w:t>
      </w:r>
      <w:r w:rsidR="00761AD0" w:rsidRPr="00CF3673">
        <w:rPr>
          <w:lang w:val="pt-PT"/>
        </w:rPr>
        <w:t>créditos</w:t>
      </w:r>
      <w:r w:rsidR="00FE0DB9" w:rsidRPr="00CF3673">
        <w:rPr>
          <w:lang w:val="pt-PT"/>
        </w:rPr>
        <w:t xml:space="preserve"> não bancários que tendem a ser utilizados mais por micro empresas, mas mesmo entre as </w:t>
      </w:r>
      <w:r w:rsidR="00761AD0" w:rsidRPr="00CF3673">
        <w:rPr>
          <w:lang w:val="pt-PT"/>
        </w:rPr>
        <w:t>microempresas</w:t>
      </w:r>
      <w:r w:rsidR="00FE0DB9" w:rsidRPr="00CF3673">
        <w:rPr>
          <w:lang w:val="pt-PT"/>
        </w:rPr>
        <w:t xml:space="preserve"> não mais de 4% têm </w:t>
      </w:r>
      <w:r w:rsidR="00761AD0" w:rsidRPr="00CF3673">
        <w:rPr>
          <w:lang w:val="pt-PT"/>
        </w:rPr>
        <w:t>créditos</w:t>
      </w:r>
      <w:r w:rsidR="00FE0DB9" w:rsidRPr="00CF3673">
        <w:rPr>
          <w:lang w:val="pt-PT"/>
        </w:rPr>
        <w:t xml:space="preserve"> não bancários. 1/3 das empresas na amostra compram a </w:t>
      </w:r>
      <w:r w:rsidR="00761AD0" w:rsidRPr="00CF3673">
        <w:rPr>
          <w:lang w:val="pt-PT"/>
        </w:rPr>
        <w:t>créditos</w:t>
      </w:r>
      <w:r w:rsidR="00FE0DB9" w:rsidRPr="00CF3673">
        <w:rPr>
          <w:lang w:val="pt-PT"/>
        </w:rPr>
        <w:t xml:space="preserve"> e 18% vende a </w:t>
      </w:r>
      <w:r w:rsidR="00761AD0" w:rsidRPr="00CF3673">
        <w:rPr>
          <w:lang w:val="pt-PT"/>
        </w:rPr>
        <w:t>crédito</w:t>
      </w:r>
      <w:r w:rsidR="00FE0DB9" w:rsidRPr="00CF3673">
        <w:rPr>
          <w:lang w:val="pt-PT"/>
        </w:rPr>
        <w:t xml:space="preserve">- para as medias empresas , ambos </w:t>
      </w:r>
      <w:r w:rsidR="00FE0DB9" w:rsidRPr="00CF3673">
        <w:rPr>
          <w:lang w:val="pt-PT"/>
        </w:rPr>
        <w:lastRenderedPageBreak/>
        <w:t xml:space="preserve">os números estão acima de 50%- </w:t>
      </w:r>
      <w:r w:rsidR="00EA5BC0" w:rsidRPr="00CF3673">
        <w:rPr>
          <w:lang w:val="pt-PT"/>
        </w:rPr>
        <w:t xml:space="preserve"> </w:t>
      </w:r>
      <w:r w:rsidR="00FE0DB9" w:rsidRPr="00CF3673">
        <w:rPr>
          <w:lang w:val="pt-PT"/>
        </w:rPr>
        <w:t xml:space="preserve">o que sugere o comércio de </w:t>
      </w:r>
      <w:r w:rsidR="00761AD0" w:rsidRPr="00CF3673">
        <w:rPr>
          <w:lang w:val="pt-PT"/>
        </w:rPr>
        <w:t>crédito</w:t>
      </w:r>
      <w:r w:rsidR="00FE0DB9" w:rsidRPr="00CF3673">
        <w:rPr>
          <w:lang w:val="pt-PT"/>
        </w:rPr>
        <w:t xml:space="preserve"> joga um</w:t>
      </w:r>
      <w:r w:rsidR="004414D1" w:rsidRPr="00CF3673">
        <w:rPr>
          <w:lang w:val="pt-PT"/>
        </w:rPr>
        <w:t>a parte importante no financiamento das empresas manufactureiras moçambicanas.</w:t>
      </w:r>
    </w:p>
    <w:p w:rsidR="00CB4040" w:rsidRPr="00CF3673" w:rsidRDefault="00CB4040" w:rsidP="00EA5BC0">
      <w:pPr>
        <w:pStyle w:val="MainText"/>
        <w:rPr>
          <w:lang w:val="pt-PT"/>
        </w:rPr>
      </w:pPr>
    </w:p>
    <w:p w:rsidR="00CB4040" w:rsidRPr="00CF3673" w:rsidRDefault="00CB4040" w:rsidP="00EA5BC0">
      <w:pPr>
        <w:pStyle w:val="MainText"/>
        <w:rPr>
          <w:lang w:val="pt-PT"/>
        </w:rPr>
      </w:pPr>
      <w:r w:rsidRPr="00CF3673">
        <w:rPr>
          <w:lang w:val="pt-PT"/>
        </w:rPr>
        <w:t xml:space="preserve">As empresas em Maputo especialmente na Matola usam mais os instrumentos financeiros do que a </w:t>
      </w:r>
      <w:r w:rsidR="00761AD0" w:rsidRPr="00CF3673">
        <w:rPr>
          <w:lang w:val="pt-PT"/>
        </w:rPr>
        <w:t>média</w:t>
      </w:r>
      <w:r w:rsidRPr="00CF3673">
        <w:rPr>
          <w:lang w:val="pt-PT"/>
        </w:rPr>
        <w:t xml:space="preserve"> nacional. Por outro lado, as empresas nas províncias distantes têm menor acesso aos mercados financeiros. Especialmente </w:t>
      </w:r>
      <w:r w:rsidR="00BF59D8" w:rsidRPr="00CF3673">
        <w:rPr>
          <w:lang w:val="pt-PT"/>
        </w:rPr>
        <w:t>a</w:t>
      </w:r>
      <w:r w:rsidRPr="00CF3673">
        <w:rPr>
          <w:lang w:val="pt-PT"/>
        </w:rPr>
        <w:t xml:space="preserve"> </w:t>
      </w:r>
      <w:r w:rsidR="00761AD0" w:rsidRPr="00CF3673">
        <w:rPr>
          <w:lang w:val="pt-PT"/>
        </w:rPr>
        <w:t>província</w:t>
      </w:r>
      <w:r w:rsidRPr="00CF3673">
        <w:rPr>
          <w:lang w:val="pt-PT"/>
        </w:rPr>
        <w:t xml:space="preserve"> de Gaza (</w:t>
      </w:r>
      <w:proofErr w:type="spellStart"/>
      <w:r w:rsidRPr="00CF3673">
        <w:rPr>
          <w:lang w:val="pt-PT"/>
        </w:rPr>
        <w:t>Xai-Xai</w:t>
      </w:r>
      <w:proofErr w:type="spellEnd"/>
      <w:r w:rsidRPr="00CF3673">
        <w:rPr>
          <w:lang w:val="pt-PT"/>
        </w:rPr>
        <w:t xml:space="preserve"> e </w:t>
      </w:r>
      <w:proofErr w:type="spellStart"/>
      <w:r w:rsidR="00761AD0" w:rsidRPr="00CF3673">
        <w:rPr>
          <w:lang w:val="pt-PT"/>
        </w:rPr>
        <w:t>Chókwe</w:t>
      </w:r>
      <w:proofErr w:type="spellEnd"/>
      <w:r w:rsidRPr="00CF3673">
        <w:rPr>
          <w:lang w:val="pt-PT"/>
        </w:rPr>
        <w:t xml:space="preserve">) está desligada- menos de 10% das empresas tem serviços de </w:t>
      </w:r>
      <w:r w:rsidR="00BF59D8" w:rsidRPr="00CF3673">
        <w:rPr>
          <w:lang w:val="pt-PT"/>
        </w:rPr>
        <w:t xml:space="preserve">descoberto, nenhuma tem um </w:t>
      </w:r>
      <w:r w:rsidR="00761AD0" w:rsidRPr="00CF3673">
        <w:rPr>
          <w:lang w:val="pt-PT"/>
        </w:rPr>
        <w:t>crédito</w:t>
      </w:r>
      <w:r w:rsidR="00BF59D8" w:rsidRPr="00CF3673">
        <w:rPr>
          <w:lang w:val="pt-PT"/>
        </w:rPr>
        <w:t xml:space="preserve"> bancário formal e menos de 10% tem contas auditadas. Interessantemente, as empresas em Gaza parecem estar a recompor se ao utilizar o </w:t>
      </w:r>
      <w:r w:rsidR="00761AD0" w:rsidRPr="00CF3673">
        <w:rPr>
          <w:lang w:val="pt-PT"/>
        </w:rPr>
        <w:t>crédito</w:t>
      </w:r>
      <w:r w:rsidR="00BF59D8" w:rsidRPr="00CF3673">
        <w:rPr>
          <w:lang w:val="pt-PT"/>
        </w:rPr>
        <w:t xml:space="preserve"> comercial em grande medida do que a media nacional </w:t>
      </w:r>
    </w:p>
    <w:p w:rsidR="001B3132" w:rsidRPr="00CF3673" w:rsidRDefault="00E333A2" w:rsidP="00461403">
      <w:pPr>
        <w:pStyle w:val="TableTitle"/>
        <w:rPr>
          <w:lang w:val="pt-PT"/>
        </w:rPr>
      </w:pPr>
      <w:bookmarkStart w:id="77" w:name="_Toc360720496"/>
      <w:r w:rsidRPr="00CF3673">
        <w:rPr>
          <w:lang w:val="pt-PT"/>
        </w:rPr>
        <w:t>Tab</w:t>
      </w:r>
      <w:r w:rsidR="00BF59D8" w:rsidRPr="00CF3673">
        <w:rPr>
          <w:lang w:val="pt-PT"/>
        </w:rPr>
        <w:t>ela</w:t>
      </w:r>
      <w:r w:rsidR="007511FA" w:rsidRPr="00CF3673">
        <w:rPr>
          <w:lang w:val="pt-PT"/>
        </w:rPr>
        <w:t xml:space="preserve"> </w:t>
      </w:r>
      <w:r w:rsidR="006102AC" w:rsidRPr="00CF3673">
        <w:rPr>
          <w:lang w:val="pt-PT"/>
        </w:rPr>
        <w:t>9</w:t>
      </w:r>
      <w:r w:rsidR="007511FA" w:rsidRPr="00CF3673">
        <w:rPr>
          <w:lang w:val="pt-PT"/>
        </w:rPr>
        <w:t>.</w:t>
      </w:r>
      <w:r w:rsidR="00D24CAF" w:rsidRPr="00CF3673">
        <w:rPr>
          <w:lang w:val="pt-PT"/>
        </w:rPr>
        <w:t>1</w:t>
      </w:r>
      <w:r w:rsidR="007511FA" w:rsidRPr="00CF3673">
        <w:rPr>
          <w:lang w:val="pt-PT"/>
        </w:rPr>
        <w:t xml:space="preserve">: </w:t>
      </w:r>
      <w:r w:rsidR="00D24CAF" w:rsidRPr="00CF3673">
        <w:rPr>
          <w:lang w:val="pt-PT"/>
        </w:rPr>
        <w:t>Us</w:t>
      </w:r>
      <w:r w:rsidR="00BF59D8" w:rsidRPr="00CF3673">
        <w:rPr>
          <w:lang w:val="pt-PT"/>
        </w:rPr>
        <w:t>o de instrumentos financeiros por tipo de empresa, %</w:t>
      </w:r>
      <w:r w:rsidR="00D24CAF" w:rsidRPr="00CF3673">
        <w:rPr>
          <w:lang w:val="pt-PT"/>
        </w:rPr>
        <w:t>.</w:t>
      </w:r>
      <w:bookmarkEnd w:id="77"/>
    </w:p>
    <w:tbl>
      <w:tblPr>
        <w:tblStyle w:val="StandardTable"/>
        <w:tblW w:w="10421" w:type="dxa"/>
        <w:jc w:val="center"/>
        <w:tblLayout w:type="fixed"/>
        <w:tblLook w:val="04A0" w:firstRow="1" w:lastRow="0" w:firstColumn="1" w:lastColumn="0" w:noHBand="0" w:noVBand="1"/>
      </w:tblPr>
      <w:tblGrid>
        <w:gridCol w:w="953"/>
        <w:gridCol w:w="1007"/>
        <w:gridCol w:w="1015"/>
        <w:gridCol w:w="1412"/>
        <w:gridCol w:w="1498"/>
        <w:gridCol w:w="655"/>
        <w:gridCol w:w="1351"/>
        <w:gridCol w:w="1372"/>
        <w:gridCol w:w="1158"/>
      </w:tblGrid>
      <w:tr w:rsidR="007511FA" w:rsidRPr="00CF3673" w:rsidTr="00356A0A">
        <w:trPr>
          <w:cnfStyle w:val="100000000000" w:firstRow="1" w:lastRow="0" w:firstColumn="0" w:lastColumn="0" w:oddVBand="0" w:evenVBand="0" w:oddHBand="0" w:evenHBand="0" w:firstRowFirstColumn="0" w:firstRowLastColumn="0" w:lastRowFirstColumn="0" w:lastRowLastColumn="0"/>
          <w:trHeight w:val="300"/>
          <w:jc w:val="center"/>
        </w:trPr>
        <w:tc>
          <w:tcPr>
            <w:tcW w:w="953" w:type="dxa"/>
            <w:noWrap/>
            <w:hideMark/>
          </w:tcPr>
          <w:p w:rsidR="007511FA" w:rsidRPr="00CF3673" w:rsidRDefault="007511FA" w:rsidP="007511FA">
            <w:pPr>
              <w:rPr>
                <w:rFonts w:ascii="Calibri" w:eastAsia="Times New Roman" w:hAnsi="Calibri" w:cs="Times New Roman"/>
                <w:sz w:val="19"/>
                <w:szCs w:val="19"/>
                <w:lang w:eastAsia="zh-CN"/>
              </w:rPr>
            </w:pPr>
          </w:p>
        </w:tc>
        <w:tc>
          <w:tcPr>
            <w:tcW w:w="1007" w:type="dxa"/>
            <w:noWrap/>
            <w:hideMark/>
          </w:tcPr>
          <w:p w:rsidR="007511FA" w:rsidRPr="00CF3673" w:rsidRDefault="00BF59D8"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Descoberto</w:t>
            </w:r>
          </w:p>
        </w:tc>
        <w:tc>
          <w:tcPr>
            <w:tcW w:w="1015" w:type="dxa"/>
            <w:noWrap/>
            <w:hideMark/>
          </w:tcPr>
          <w:p w:rsidR="007511FA" w:rsidRPr="00CF3673" w:rsidRDefault="00761AD0" w:rsidP="00BF59D8">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Empréstimo</w:t>
            </w:r>
            <w:r w:rsidR="00BF59D8" w:rsidRPr="00CF3673">
              <w:rPr>
                <w:rFonts w:ascii="Calibri" w:eastAsia="Times New Roman" w:hAnsi="Calibri" w:cs="Times New Roman"/>
                <w:sz w:val="19"/>
                <w:szCs w:val="19"/>
                <w:lang w:eastAsia="zh-CN"/>
              </w:rPr>
              <w:t xml:space="preserve"> </w:t>
            </w:r>
            <w:r w:rsidRPr="00CF3673">
              <w:rPr>
                <w:rFonts w:ascii="Calibri" w:eastAsia="Times New Roman" w:hAnsi="Calibri" w:cs="Times New Roman"/>
                <w:sz w:val="19"/>
                <w:szCs w:val="19"/>
                <w:lang w:eastAsia="zh-CN"/>
              </w:rPr>
              <w:t>bancário</w:t>
            </w:r>
          </w:p>
        </w:tc>
        <w:tc>
          <w:tcPr>
            <w:tcW w:w="1412" w:type="dxa"/>
            <w:noWrap/>
            <w:hideMark/>
          </w:tcPr>
          <w:p w:rsidR="007511FA" w:rsidRPr="00CF3673" w:rsidRDefault="00761AD0" w:rsidP="00BF59D8">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Empréstimo</w:t>
            </w:r>
            <w:r w:rsidR="00BF59D8" w:rsidRPr="00CF3673">
              <w:rPr>
                <w:rFonts w:ascii="Calibri" w:eastAsia="Times New Roman" w:hAnsi="Calibri" w:cs="Times New Roman"/>
                <w:sz w:val="19"/>
                <w:szCs w:val="19"/>
                <w:lang w:eastAsia="zh-CN"/>
              </w:rPr>
              <w:t xml:space="preserve"> não-</w:t>
            </w:r>
            <w:r w:rsidRPr="00CF3673">
              <w:rPr>
                <w:rFonts w:ascii="Calibri" w:eastAsia="Times New Roman" w:hAnsi="Calibri" w:cs="Times New Roman"/>
                <w:sz w:val="19"/>
                <w:szCs w:val="19"/>
                <w:lang w:eastAsia="zh-CN"/>
              </w:rPr>
              <w:t>bancário</w:t>
            </w:r>
          </w:p>
        </w:tc>
        <w:tc>
          <w:tcPr>
            <w:tcW w:w="1498" w:type="dxa"/>
            <w:noWrap/>
            <w:hideMark/>
          </w:tcPr>
          <w:p w:rsidR="007511FA" w:rsidRPr="00CF3673" w:rsidRDefault="00BF59D8"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Conta bancaria</w:t>
            </w:r>
          </w:p>
        </w:tc>
        <w:tc>
          <w:tcPr>
            <w:tcW w:w="655" w:type="dxa"/>
            <w:noWrap/>
            <w:hideMark/>
          </w:tcPr>
          <w:p w:rsidR="007511FA" w:rsidRPr="00CF3673" w:rsidRDefault="00F37C88"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Audit</w:t>
            </w:r>
            <w:r w:rsidR="00BF59D8" w:rsidRPr="00CF3673">
              <w:rPr>
                <w:rFonts w:ascii="Calibri" w:eastAsia="Times New Roman" w:hAnsi="Calibri" w:cs="Times New Roman"/>
                <w:sz w:val="19"/>
                <w:szCs w:val="19"/>
                <w:lang w:eastAsia="zh-CN"/>
              </w:rPr>
              <w:t>oria</w:t>
            </w:r>
          </w:p>
        </w:tc>
        <w:tc>
          <w:tcPr>
            <w:tcW w:w="1351" w:type="dxa"/>
            <w:noWrap/>
            <w:hideMark/>
          </w:tcPr>
          <w:p w:rsidR="007511FA" w:rsidRPr="00CF3673" w:rsidRDefault="00BF59D8"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Vendas a crédito</w:t>
            </w:r>
          </w:p>
        </w:tc>
        <w:tc>
          <w:tcPr>
            <w:tcW w:w="1372" w:type="dxa"/>
            <w:noWrap/>
            <w:hideMark/>
          </w:tcPr>
          <w:p w:rsidR="007511FA" w:rsidRPr="00CF3673" w:rsidRDefault="00BF59D8"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Compras a crédito</w:t>
            </w:r>
          </w:p>
        </w:tc>
        <w:tc>
          <w:tcPr>
            <w:tcW w:w="1158" w:type="dxa"/>
            <w:noWrap/>
            <w:hideMark/>
          </w:tcPr>
          <w:p w:rsidR="007511FA" w:rsidRPr="00CF3673" w:rsidRDefault="00BF59D8" w:rsidP="00BF59D8">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 xml:space="preserve">Número de </w:t>
            </w:r>
            <w:r w:rsidR="00761AD0" w:rsidRPr="00CF3673">
              <w:rPr>
                <w:rFonts w:ascii="Calibri" w:eastAsia="Times New Roman" w:hAnsi="Calibri" w:cs="Times New Roman"/>
                <w:sz w:val="19"/>
                <w:szCs w:val="19"/>
                <w:lang w:eastAsia="zh-CN"/>
              </w:rPr>
              <w:t>observações</w:t>
            </w:r>
          </w:p>
        </w:tc>
      </w:tr>
      <w:tr w:rsidR="00D24CAF" w:rsidRPr="00CF3673" w:rsidTr="00356A0A">
        <w:trPr>
          <w:trHeight w:val="300"/>
          <w:jc w:val="center"/>
        </w:trPr>
        <w:tc>
          <w:tcPr>
            <w:tcW w:w="953" w:type="dxa"/>
            <w:noWrap/>
            <w:hideMark/>
          </w:tcPr>
          <w:p w:rsidR="00D24CAF" w:rsidRPr="00CF3673" w:rsidRDefault="00BF59D8"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Todas</w:t>
            </w:r>
          </w:p>
        </w:tc>
        <w:tc>
          <w:tcPr>
            <w:tcW w:w="1007" w:type="dxa"/>
            <w:noWrap/>
            <w:hideMark/>
          </w:tcPr>
          <w:p w:rsidR="00D24CAF" w:rsidRPr="00CF3673" w:rsidRDefault="00D24CAF" w:rsidP="00D24CAF">
            <w:pPr>
              <w:jc w:val="center"/>
              <w:rPr>
                <w:sz w:val="19"/>
                <w:szCs w:val="19"/>
              </w:rPr>
            </w:pPr>
            <w:r w:rsidRPr="00CF3673">
              <w:rPr>
                <w:sz w:val="19"/>
                <w:szCs w:val="19"/>
              </w:rPr>
              <w:t>9.3</w:t>
            </w:r>
          </w:p>
        </w:tc>
        <w:tc>
          <w:tcPr>
            <w:tcW w:w="1015" w:type="dxa"/>
            <w:noWrap/>
            <w:hideMark/>
          </w:tcPr>
          <w:p w:rsidR="00D24CAF" w:rsidRPr="00CF3673" w:rsidRDefault="00D24CAF" w:rsidP="00D24CAF">
            <w:pPr>
              <w:jc w:val="center"/>
              <w:rPr>
                <w:sz w:val="19"/>
                <w:szCs w:val="19"/>
              </w:rPr>
            </w:pPr>
            <w:r w:rsidRPr="00CF3673">
              <w:rPr>
                <w:sz w:val="19"/>
                <w:szCs w:val="19"/>
              </w:rPr>
              <w:t>14.3</w:t>
            </w:r>
          </w:p>
        </w:tc>
        <w:tc>
          <w:tcPr>
            <w:tcW w:w="1412" w:type="dxa"/>
            <w:noWrap/>
            <w:hideMark/>
          </w:tcPr>
          <w:p w:rsidR="00D24CAF" w:rsidRPr="00CF3673" w:rsidRDefault="00D24CAF" w:rsidP="00D24CAF">
            <w:pPr>
              <w:jc w:val="center"/>
              <w:rPr>
                <w:sz w:val="19"/>
                <w:szCs w:val="19"/>
              </w:rPr>
            </w:pPr>
            <w:r w:rsidRPr="00CF3673">
              <w:rPr>
                <w:sz w:val="19"/>
                <w:szCs w:val="19"/>
              </w:rPr>
              <w:t>3.6</w:t>
            </w:r>
          </w:p>
        </w:tc>
        <w:tc>
          <w:tcPr>
            <w:tcW w:w="1498" w:type="dxa"/>
            <w:noWrap/>
            <w:hideMark/>
          </w:tcPr>
          <w:p w:rsidR="00D24CAF" w:rsidRPr="00CF3673" w:rsidRDefault="00D24CAF" w:rsidP="00D24CAF">
            <w:pPr>
              <w:jc w:val="center"/>
              <w:rPr>
                <w:sz w:val="19"/>
                <w:szCs w:val="19"/>
              </w:rPr>
            </w:pPr>
            <w:r w:rsidRPr="00CF3673">
              <w:rPr>
                <w:sz w:val="19"/>
                <w:szCs w:val="19"/>
              </w:rPr>
              <w:t>35.5</w:t>
            </w:r>
          </w:p>
        </w:tc>
        <w:tc>
          <w:tcPr>
            <w:tcW w:w="655" w:type="dxa"/>
            <w:noWrap/>
            <w:hideMark/>
          </w:tcPr>
          <w:p w:rsidR="00D24CAF" w:rsidRPr="00CF3673" w:rsidRDefault="00D24CAF" w:rsidP="00D24CAF">
            <w:pPr>
              <w:jc w:val="center"/>
              <w:rPr>
                <w:sz w:val="19"/>
                <w:szCs w:val="19"/>
              </w:rPr>
            </w:pPr>
            <w:r w:rsidRPr="00CF3673">
              <w:rPr>
                <w:sz w:val="19"/>
                <w:szCs w:val="19"/>
              </w:rPr>
              <w:t>17.1</w:t>
            </w:r>
          </w:p>
        </w:tc>
        <w:tc>
          <w:tcPr>
            <w:tcW w:w="1351" w:type="dxa"/>
            <w:noWrap/>
            <w:hideMark/>
          </w:tcPr>
          <w:p w:rsidR="00D24CAF" w:rsidRPr="00CF3673" w:rsidRDefault="00D24CAF" w:rsidP="00D24CAF">
            <w:pPr>
              <w:jc w:val="center"/>
              <w:rPr>
                <w:sz w:val="19"/>
                <w:szCs w:val="19"/>
              </w:rPr>
            </w:pPr>
            <w:r w:rsidRPr="00CF3673">
              <w:rPr>
                <w:sz w:val="19"/>
                <w:szCs w:val="19"/>
              </w:rPr>
              <w:t>34.2</w:t>
            </w:r>
          </w:p>
        </w:tc>
        <w:tc>
          <w:tcPr>
            <w:tcW w:w="1372" w:type="dxa"/>
            <w:noWrap/>
            <w:hideMark/>
          </w:tcPr>
          <w:p w:rsidR="00D24CAF" w:rsidRPr="00CF3673" w:rsidRDefault="00D24CAF" w:rsidP="00D24CAF">
            <w:pPr>
              <w:jc w:val="center"/>
              <w:rPr>
                <w:sz w:val="19"/>
                <w:szCs w:val="19"/>
              </w:rPr>
            </w:pPr>
            <w:r w:rsidRPr="00CF3673">
              <w:rPr>
                <w:sz w:val="19"/>
                <w:szCs w:val="19"/>
              </w:rPr>
              <w:t>18.2</w:t>
            </w:r>
          </w:p>
        </w:tc>
        <w:tc>
          <w:tcPr>
            <w:tcW w:w="1158" w:type="dxa"/>
            <w:noWrap/>
            <w:hideMark/>
          </w:tcPr>
          <w:p w:rsidR="00D24CAF" w:rsidRPr="00CF3673" w:rsidRDefault="00D24CAF" w:rsidP="00D24CAF">
            <w:pPr>
              <w:jc w:val="center"/>
              <w:rPr>
                <w:sz w:val="19"/>
                <w:szCs w:val="19"/>
              </w:rPr>
            </w:pPr>
            <w:r w:rsidRPr="00CF3673">
              <w:rPr>
                <w:sz w:val="19"/>
                <w:szCs w:val="19"/>
              </w:rPr>
              <w:t>729</w:t>
            </w:r>
          </w:p>
        </w:tc>
      </w:tr>
      <w:tr w:rsidR="00D24CAF" w:rsidRPr="00CF3673" w:rsidTr="00356A0A">
        <w:trPr>
          <w:trHeight w:val="300"/>
          <w:jc w:val="center"/>
        </w:trPr>
        <w:tc>
          <w:tcPr>
            <w:tcW w:w="953" w:type="dxa"/>
            <w:noWrap/>
            <w:hideMark/>
          </w:tcPr>
          <w:p w:rsidR="00D24CAF" w:rsidRPr="00CF3673" w:rsidRDefault="00D24CAF" w:rsidP="00F44AFD">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Micro</w:t>
            </w:r>
          </w:p>
        </w:tc>
        <w:tc>
          <w:tcPr>
            <w:tcW w:w="1007" w:type="dxa"/>
            <w:noWrap/>
            <w:hideMark/>
          </w:tcPr>
          <w:p w:rsidR="00D24CAF" w:rsidRPr="00CF3673" w:rsidRDefault="00D24CAF" w:rsidP="00D24CAF">
            <w:pPr>
              <w:jc w:val="center"/>
              <w:rPr>
                <w:sz w:val="19"/>
                <w:szCs w:val="19"/>
              </w:rPr>
            </w:pPr>
            <w:r w:rsidRPr="00CF3673">
              <w:rPr>
                <w:sz w:val="19"/>
                <w:szCs w:val="19"/>
              </w:rPr>
              <w:t>4.4</w:t>
            </w:r>
          </w:p>
        </w:tc>
        <w:tc>
          <w:tcPr>
            <w:tcW w:w="1015" w:type="dxa"/>
            <w:noWrap/>
            <w:hideMark/>
          </w:tcPr>
          <w:p w:rsidR="00D24CAF" w:rsidRPr="00CF3673" w:rsidRDefault="00D24CAF" w:rsidP="00D24CAF">
            <w:pPr>
              <w:jc w:val="center"/>
              <w:rPr>
                <w:sz w:val="19"/>
                <w:szCs w:val="19"/>
              </w:rPr>
            </w:pPr>
            <w:r w:rsidRPr="00CF3673">
              <w:rPr>
                <w:sz w:val="19"/>
                <w:szCs w:val="19"/>
              </w:rPr>
              <w:t>11.2</w:t>
            </w:r>
          </w:p>
        </w:tc>
        <w:tc>
          <w:tcPr>
            <w:tcW w:w="1412" w:type="dxa"/>
            <w:noWrap/>
            <w:hideMark/>
          </w:tcPr>
          <w:p w:rsidR="00D24CAF" w:rsidRPr="00CF3673" w:rsidRDefault="00D24CAF" w:rsidP="00D24CAF">
            <w:pPr>
              <w:jc w:val="center"/>
              <w:rPr>
                <w:sz w:val="19"/>
                <w:szCs w:val="19"/>
              </w:rPr>
            </w:pPr>
            <w:r w:rsidRPr="00CF3673">
              <w:rPr>
                <w:sz w:val="19"/>
                <w:szCs w:val="19"/>
              </w:rPr>
              <w:t>4.0</w:t>
            </w:r>
          </w:p>
        </w:tc>
        <w:tc>
          <w:tcPr>
            <w:tcW w:w="1498" w:type="dxa"/>
            <w:noWrap/>
            <w:hideMark/>
          </w:tcPr>
          <w:p w:rsidR="00D24CAF" w:rsidRPr="00CF3673" w:rsidRDefault="00D24CAF" w:rsidP="00D24CAF">
            <w:pPr>
              <w:jc w:val="center"/>
              <w:rPr>
                <w:sz w:val="19"/>
                <w:szCs w:val="19"/>
              </w:rPr>
            </w:pPr>
            <w:r w:rsidRPr="00CF3673">
              <w:rPr>
                <w:sz w:val="19"/>
                <w:szCs w:val="19"/>
              </w:rPr>
              <w:t>16.0</w:t>
            </w:r>
          </w:p>
        </w:tc>
        <w:tc>
          <w:tcPr>
            <w:tcW w:w="655" w:type="dxa"/>
            <w:noWrap/>
            <w:hideMark/>
          </w:tcPr>
          <w:p w:rsidR="00D24CAF" w:rsidRPr="00CF3673" w:rsidRDefault="00D24CAF" w:rsidP="00D24CAF">
            <w:pPr>
              <w:jc w:val="center"/>
              <w:rPr>
                <w:sz w:val="19"/>
                <w:szCs w:val="19"/>
              </w:rPr>
            </w:pPr>
            <w:r w:rsidRPr="00CF3673">
              <w:rPr>
                <w:sz w:val="19"/>
                <w:szCs w:val="19"/>
              </w:rPr>
              <w:t>5.4</w:t>
            </w:r>
          </w:p>
        </w:tc>
        <w:tc>
          <w:tcPr>
            <w:tcW w:w="1351" w:type="dxa"/>
            <w:noWrap/>
            <w:hideMark/>
          </w:tcPr>
          <w:p w:rsidR="00D24CAF" w:rsidRPr="00CF3673" w:rsidRDefault="00D24CAF" w:rsidP="00D24CAF">
            <w:pPr>
              <w:jc w:val="center"/>
              <w:rPr>
                <w:sz w:val="19"/>
                <w:szCs w:val="19"/>
              </w:rPr>
            </w:pPr>
            <w:r w:rsidRPr="00CF3673">
              <w:rPr>
                <w:sz w:val="19"/>
                <w:szCs w:val="19"/>
              </w:rPr>
              <w:t>27.8</w:t>
            </w:r>
          </w:p>
        </w:tc>
        <w:tc>
          <w:tcPr>
            <w:tcW w:w="1372" w:type="dxa"/>
            <w:noWrap/>
            <w:hideMark/>
          </w:tcPr>
          <w:p w:rsidR="00D24CAF" w:rsidRPr="00CF3673" w:rsidRDefault="00D24CAF" w:rsidP="00D24CAF">
            <w:pPr>
              <w:jc w:val="center"/>
              <w:rPr>
                <w:sz w:val="19"/>
                <w:szCs w:val="19"/>
              </w:rPr>
            </w:pPr>
            <w:r w:rsidRPr="00CF3673">
              <w:rPr>
                <w:sz w:val="19"/>
                <w:szCs w:val="19"/>
              </w:rPr>
              <w:t>10.8</w:t>
            </w:r>
          </w:p>
        </w:tc>
        <w:tc>
          <w:tcPr>
            <w:tcW w:w="1158" w:type="dxa"/>
            <w:noWrap/>
            <w:hideMark/>
          </w:tcPr>
          <w:p w:rsidR="00D24CAF" w:rsidRPr="00CF3673" w:rsidRDefault="00D24CAF" w:rsidP="00D24CAF">
            <w:pPr>
              <w:jc w:val="center"/>
              <w:rPr>
                <w:sz w:val="19"/>
                <w:szCs w:val="19"/>
              </w:rPr>
            </w:pPr>
            <w:r w:rsidRPr="00CF3673">
              <w:rPr>
                <w:sz w:val="19"/>
                <w:szCs w:val="19"/>
              </w:rPr>
              <w:t>500</w:t>
            </w:r>
          </w:p>
        </w:tc>
      </w:tr>
      <w:tr w:rsidR="00D24CAF" w:rsidRPr="00CF3673" w:rsidTr="00356A0A">
        <w:trPr>
          <w:trHeight w:val="300"/>
          <w:jc w:val="center"/>
        </w:trPr>
        <w:tc>
          <w:tcPr>
            <w:tcW w:w="953" w:type="dxa"/>
            <w:tcBorders>
              <w:bottom w:val="nil"/>
            </w:tcBorders>
            <w:noWrap/>
            <w:hideMark/>
          </w:tcPr>
          <w:p w:rsidR="00D24CAF" w:rsidRPr="00CF3673" w:rsidRDefault="00BF59D8" w:rsidP="00F44AFD">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Pequena</w:t>
            </w:r>
          </w:p>
        </w:tc>
        <w:tc>
          <w:tcPr>
            <w:tcW w:w="1007" w:type="dxa"/>
            <w:tcBorders>
              <w:bottom w:val="nil"/>
            </w:tcBorders>
            <w:noWrap/>
            <w:hideMark/>
          </w:tcPr>
          <w:p w:rsidR="00D24CAF" w:rsidRPr="00CF3673" w:rsidRDefault="00D24CAF" w:rsidP="00D24CAF">
            <w:pPr>
              <w:jc w:val="center"/>
              <w:rPr>
                <w:sz w:val="19"/>
                <w:szCs w:val="19"/>
              </w:rPr>
            </w:pPr>
            <w:r w:rsidRPr="00CF3673">
              <w:rPr>
                <w:sz w:val="19"/>
                <w:szCs w:val="19"/>
              </w:rPr>
              <w:t>11.4</w:t>
            </w:r>
          </w:p>
        </w:tc>
        <w:tc>
          <w:tcPr>
            <w:tcW w:w="1015" w:type="dxa"/>
            <w:tcBorders>
              <w:bottom w:val="nil"/>
            </w:tcBorders>
            <w:noWrap/>
            <w:hideMark/>
          </w:tcPr>
          <w:p w:rsidR="00D24CAF" w:rsidRPr="00CF3673" w:rsidRDefault="00D24CAF" w:rsidP="00D24CAF">
            <w:pPr>
              <w:jc w:val="center"/>
              <w:rPr>
                <w:sz w:val="19"/>
                <w:szCs w:val="19"/>
              </w:rPr>
            </w:pPr>
            <w:r w:rsidRPr="00CF3673">
              <w:rPr>
                <w:sz w:val="19"/>
                <w:szCs w:val="19"/>
              </w:rPr>
              <w:t>15.0</w:t>
            </w:r>
          </w:p>
        </w:tc>
        <w:tc>
          <w:tcPr>
            <w:tcW w:w="1412" w:type="dxa"/>
            <w:tcBorders>
              <w:bottom w:val="nil"/>
            </w:tcBorders>
            <w:noWrap/>
            <w:hideMark/>
          </w:tcPr>
          <w:p w:rsidR="00D24CAF" w:rsidRPr="00CF3673" w:rsidRDefault="00D24CAF" w:rsidP="00D24CAF">
            <w:pPr>
              <w:jc w:val="center"/>
              <w:rPr>
                <w:sz w:val="19"/>
                <w:szCs w:val="19"/>
              </w:rPr>
            </w:pPr>
            <w:r w:rsidRPr="00CF3673">
              <w:rPr>
                <w:sz w:val="19"/>
                <w:szCs w:val="19"/>
              </w:rPr>
              <w:t>2.4</w:t>
            </w:r>
          </w:p>
        </w:tc>
        <w:tc>
          <w:tcPr>
            <w:tcW w:w="1498" w:type="dxa"/>
            <w:tcBorders>
              <w:bottom w:val="nil"/>
            </w:tcBorders>
            <w:noWrap/>
            <w:hideMark/>
          </w:tcPr>
          <w:p w:rsidR="00D24CAF" w:rsidRPr="00CF3673" w:rsidRDefault="00D24CAF" w:rsidP="00D24CAF">
            <w:pPr>
              <w:jc w:val="center"/>
              <w:rPr>
                <w:sz w:val="19"/>
                <w:szCs w:val="19"/>
              </w:rPr>
            </w:pPr>
            <w:r w:rsidRPr="00CF3673">
              <w:rPr>
                <w:sz w:val="19"/>
                <w:szCs w:val="19"/>
              </w:rPr>
              <w:t>71.3</w:t>
            </w:r>
          </w:p>
        </w:tc>
        <w:tc>
          <w:tcPr>
            <w:tcW w:w="655" w:type="dxa"/>
            <w:tcBorders>
              <w:bottom w:val="nil"/>
            </w:tcBorders>
            <w:noWrap/>
            <w:hideMark/>
          </w:tcPr>
          <w:p w:rsidR="00D24CAF" w:rsidRPr="00CF3673" w:rsidRDefault="00D24CAF" w:rsidP="00D24CAF">
            <w:pPr>
              <w:jc w:val="center"/>
              <w:rPr>
                <w:sz w:val="19"/>
                <w:szCs w:val="19"/>
              </w:rPr>
            </w:pPr>
            <w:r w:rsidRPr="00CF3673">
              <w:rPr>
                <w:sz w:val="19"/>
                <w:szCs w:val="19"/>
              </w:rPr>
              <w:t>38.9</w:t>
            </w:r>
          </w:p>
        </w:tc>
        <w:tc>
          <w:tcPr>
            <w:tcW w:w="1351" w:type="dxa"/>
            <w:tcBorders>
              <w:bottom w:val="nil"/>
            </w:tcBorders>
            <w:noWrap/>
            <w:hideMark/>
          </w:tcPr>
          <w:p w:rsidR="00D24CAF" w:rsidRPr="00CF3673" w:rsidRDefault="00D24CAF" w:rsidP="00D24CAF">
            <w:pPr>
              <w:jc w:val="center"/>
              <w:rPr>
                <w:sz w:val="19"/>
                <w:szCs w:val="19"/>
              </w:rPr>
            </w:pPr>
            <w:r w:rsidRPr="00CF3673">
              <w:rPr>
                <w:sz w:val="19"/>
                <w:szCs w:val="19"/>
              </w:rPr>
              <w:t>41.9</w:t>
            </w:r>
          </w:p>
        </w:tc>
        <w:tc>
          <w:tcPr>
            <w:tcW w:w="1372" w:type="dxa"/>
            <w:tcBorders>
              <w:bottom w:val="nil"/>
            </w:tcBorders>
            <w:noWrap/>
            <w:hideMark/>
          </w:tcPr>
          <w:p w:rsidR="00D24CAF" w:rsidRPr="00CF3673" w:rsidRDefault="00D24CAF" w:rsidP="00D24CAF">
            <w:pPr>
              <w:jc w:val="center"/>
              <w:rPr>
                <w:sz w:val="19"/>
                <w:szCs w:val="19"/>
              </w:rPr>
            </w:pPr>
            <w:r w:rsidRPr="00CF3673">
              <w:rPr>
                <w:sz w:val="19"/>
                <w:szCs w:val="19"/>
              </w:rPr>
              <w:t>28.1</w:t>
            </w:r>
          </w:p>
        </w:tc>
        <w:tc>
          <w:tcPr>
            <w:tcW w:w="1158" w:type="dxa"/>
            <w:tcBorders>
              <w:bottom w:val="nil"/>
            </w:tcBorders>
            <w:noWrap/>
            <w:hideMark/>
          </w:tcPr>
          <w:p w:rsidR="00D24CAF" w:rsidRPr="00CF3673" w:rsidRDefault="00D24CAF" w:rsidP="00D24CAF">
            <w:pPr>
              <w:jc w:val="center"/>
              <w:rPr>
                <w:sz w:val="19"/>
                <w:szCs w:val="19"/>
              </w:rPr>
            </w:pPr>
            <w:r w:rsidRPr="00CF3673">
              <w:rPr>
                <w:sz w:val="19"/>
                <w:szCs w:val="19"/>
              </w:rPr>
              <w:t>167</w:t>
            </w:r>
          </w:p>
        </w:tc>
      </w:tr>
      <w:tr w:rsidR="00D24CAF" w:rsidRPr="00CF3673" w:rsidTr="00356A0A">
        <w:trPr>
          <w:trHeight w:val="300"/>
          <w:jc w:val="center"/>
        </w:trPr>
        <w:tc>
          <w:tcPr>
            <w:tcW w:w="953" w:type="dxa"/>
            <w:tcBorders>
              <w:top w:val="nil"/>
              <w:bottom w:val="single" w:sz="4" w:space="0" w:color="auto"/>
            </w:tcBorders>
            <w:noWrap/>
            <w:hideMark/>
          </w:tcPr>
          <w:p w:rsidR="00D24CAF" w:rsidRPr="00CF3673" w:rsidRDefault="00346C5C" w:rsidP="00F44AFD">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Média</w:t>
            </w:r>
          </w:p>
        </w:tc>
        <w:tc>
          <w:tcPr>
            <w:tcW w:w="1007"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43.5</w:t>
            </w:r>
          </w:p>
        </w:tc>
        <w:tc>
          <w:tcPr>
            <w:tcW w:w="1015"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37.1</w:t>
            </w:r>
          </w:p>
        </w:tc>
        <w:tc>
          <w:tcPr>
            <w:tcW w:w="1412"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3.2</w:t>
            </w:r>
          </w:p>
        </w:tc>
        <w:tc>
          <w:tcPr>
            <w:tcW w:w="1498"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96.8</w:t>
            </w:r>
          </w:p>
        </w:tc>
        <w:tc>
          <w:tcPr>
            <w:tcW w:w="655"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53.2</w:t>
            </w:r>
          </w:p>
        </w:tc>
        <w:tc>
          <w:tcPr>
            <w:tcW w:w="1351"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64.5</w:t>
            </w:r>
          </w:p>
        </w:tc>
        <w:tc>
          <w:tcPr>
            <w:tcW w:w="1372"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51.6</w:t>
            </w:r>
          </w:p>
        </w:tc>
        <w:tc>
          <w:tcPr>
            <w:tcW w:w="1158"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62</w:t>
            </w:r>
          </w:p>
        </w:tc>
      </w:tr>
      <w:tr w:rsidR="00D24CAF" w:rsidRPr="00CF3673" w:rsidTr="00356A0A">
        <w:trPr>
          <w:trHeight w:val="300"/>
          <w:jc w:val="center"/>
        </w:trPr>
        <w:tc>
          <w:tcPr>
            <w:tcW w:w="953" w:type="dxa"/>
            <w:tcBorders>
              <w:top w:val="single" w:sz="4" w:space="0" w:color="auto"/>
              <w:bottom w:val="nil"/>
            </w:tcBorders>
            <w:noWrap/>
            <w:hideMark/>
          </w:tcPr>
          <w:p w:rsidR="00D24CAF" w:rsidRPr="00CF3673" w:rsidRDefault="00D24CAF" w:rsidP="00F44AFD">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Informal</w:t>
            </w:r>
          </w:p>
        </w:tc>
        <w:tc>
          <w:tcPr>
            <w:tcW w:w="1007" w:type="dxa"/>
            <w:tcBorders>
              <w:top w:val="single" w:sz="4" w:space="0" w:color="auto"/>
              <w:bottom w:val="nil"/>
            </w:tcBorders>
            <w:noWrap/>
            <w:hideMark/>
          </w:tcPr>
          <w:p w:rsidR="00D24CAF" w:rsidRPr="00CF3673" w:rsidRDefault="00D24CAF" w:rsidP="00D24CAF">
            <w:pPr>
              <w:jc w:val="center"/>
              <w:rPr>
                <w:sz w:val="19"/>
                <w:szCs w:val="19"/>
              </w:rPr>
            </w:pPr>
            <w:r w:rsidRPr="00CF3673">
              <w:rPr>
                <w:sz w:val="19"/>
                <w:szCs w:val="19"/>
              </w:rPr>
              <w:t>4.3</w:t>
            </w:r>
          </w:p>
        </w:tc>
        <w:tc>
          <w:tcPr>
            <w:tcW w:w="1015" w:type="dxa"/>
            <w:tcBorders>
              <w:top w:val="single" w:sz="4" w:space="0" w:color="auto"/>
              <w:bottom w:val="nil"/>
            </w:tcBorders>
            <w:noWrap/>
            <w:hideMark/>
          </w:tcPr>
          <w:p w:rsidR="00D24CAF" w:rsidRPr="00CF3673" w:rsidRDefault="00D24CAF" w:rsidP="00D24CAF">
            <w:pPr>
              <w:jc w:val="center"/>
              <w:rPr>
                <w:sz w:val="19"/>
                <w:szCs w:val="19"/>
              </w:rPr>
            </w:pPr>
            <w:r w:rsidRPr="00CF3673">
              <w:rPr>
                <w:sz w:val="19"/>
                <w:szCs w:val="19"/>
              </w:rPr>
              <w:t>6.1</w:t>
            </w:r>
          </w:p>
        </w:tc>
        <w:tc>
          <w:tcPr>
            <w:tcW w:w="1412" w:type="dxa"/>
            <w:tcBorders>
              <w:top w:val="single" w:sz="4" w:space="0" w:color="auto"/>
              <w:bottom w:val="nil"/>
            </w:tcBorders>
            <w:noWrap/>
            <w:hideMark/>
          </w:tcPr>
          <w:p w:rsidR="00D24CAF" w:rsidRPr="00CF3673" w:rsidRDefault="00D24CAF" w:rsidP="00D24CAF">
            <w:pPr>
              <w:jc w:val="center"/>
              <w:rPr>
                <w:sz w:val="19"/>
                <w:szCs w:val="19"/>
              </w:rPr>
            </w:pPr>
            <w:r w:rsidRPr="00CF3673">
              <w:rPr>
                <w:sz w:val="19"/>
                <w:szCs w:val="19"/>
              </w:rPr>
              <w:t>3.7</w:t>
            </w:r>
          </w:p>
        </w:tc>
        <w:tc>
          <w:tcPr>
            <w:tcW w:w="1498" w:type="dxa"/>
            <w:tcBorders>
              <w:top w:val="single" w:sz="4" w:space="0" w:color="auto"/>
              <w:bottom w:val="nil"/>
            </w:tcBorders>
            <w:noWrap/>
            <w:hideMark/>
          </w:tcPr>
          <w:p w:rsidR="00D24CAF" w:rsidRPr="00CF3673" w:rsidRDefault="00D24CAF" w:rsidP="00D24CAF">
            <w:pPr>
              <w:jc w:val="center"/>
              <w:rPr>
                <w:sz w:val="19"/>
                <w:szCs w:val="19"/>
              </w:rPr>
            </w:pPr>
            <w:r w:rsidRPr="00CF3673">
              <w:rPr>
                <w:sz w:val="19"/>
                <w:szCs w:val="19"/>
              </w:rPr>
              <w:t>6.1</w:t>
            </w:r>
          </w:p>
        </w:tc>
        <w:tc>
          <w:tcPr>
            <w:tcW w:w="655" w:type="dxa"/>
            <w:tcBorders>
              <w:top w:val="single" w:sz="4" w:space="0" w:color="auto"/>
              <w:bottom w:val="nil"/>
            </w:tcBorders>
            <w:noWrap/>
            <w:hideMark/>
          </w:tcPr>
          <w:p w:rsidR="00D24CAF" w:rsidRPr="00CF3673" w:rsidRDefault="00D24CAF" w:rsidP="00D24CAF">
            <w:pPr>
              <w:jc w:val="center"/>
              <w:rPr>
                <w:sz w:val="19"/>
                <w:szCs w:val="19"/>
              </w:rPr>
            </w:pPr>
            <w:r w:rsidRPr="00CF3673">
              <w:rPr>
                <w:sz w:val="19"/>
                <w:szCs w:val="19"/>
              </w:rPr>
              <w:t>0.6</w:t>
            </w:r>
          </w:p>
        </w:tc>
        <w:tc>
          <w:tcPr>
            <w:tcW w:w="1351" w:type="dxa"/>
            <w:tcBorders>
              <w:top w:val="single" w:sz="4" w:space="0" w:color="auto"/>
              <w:bottom w:val="nil"/>
            </w:tcBorders>
            <w:noWrap/>
            <w:hideMark/>
          </w:tcPr>
          <w:p w:rsidR="00D24CAF" w:rsidRPr="00CF3673" w:rsidRDefault="00D24CAF" w:rsidP="00D24CAF">
            <w:pPr>
              <w:jc w:val="center"/>
              <w:rPr>
                <w:sz w:val="19"/>
                <w:szCs w:val="19"/>
              </w:rPr>
            </w:pPr>
            <w:r w:rsidRPr="00CF3673">
              <w:rPr>
                <w:sz w:val="19"/>
                <w:szCs w:val="19"/>
              </w:rPr>
              <w:t>31.9</w:t>
            </w:r>
          </w:p>
        </w:tc>
        <w:tc>
          <w:tcPr>
            <w:tcW w:w="1372" w:type="dxa"/>
            <w:tcBorders>
              <w:top w:val="single" w:sz="4" w:space="0" w:color="auto"/>
              <w:bottom w:val="nil"/>
            </w:tcBorders>
            <w:noWrap/>
            <w:hideMark/>
          </w:tcPr>
          <w:p w:rsidR="00D24CAF" w:rsidRPr="00CF3673" w:rsidRDefault="00D24CAF" w:rsidP="00D24CAF">
            <w:pPr>
              <w:jc w:val="center"/>
              <w:rPr>
                <w:sz w:val="19"/>
                <w:szCs w:val="19"/>
              </w:rPr>
            </w:pPr>
            <w:r w:rsidRPr="00CF3673">
              <w:rPr>
                <w:sz w:val="19"/>
                <w:szCs w:val="19"/>
              </w:rPr>
              <w:t>8.6</w:t>
            </w:r>
          </w:p>
        </w:tc>
        <w:tc>
          <w:tcPr>
            <w:tcW w:w="1158" w:type="dxa"/>
            <w:tcBorders>
              <w:top w:val="single" w:sz="4" w:space="0" w:color="auto"/>
              <w:bottom w:val="nil"/>
            </w:tcBorders>
            <w:noWrap/>
            <w:hideMark/>
          </w:tcPr>
          <w:p w:rsidR="00D24CAF" w:rsidRPr="00CF3673" w:rsidRDefault="00D24CAF" w:rsidP="00D24CAF">
            <w:pPr>
              <w:jc w:val="center"/>
              <w:rPr>
                <w:sz w:val="19"/>
                <w:szCs w:val="19"/>
              </w:rPr>
            </w:pPr>
            <w:r w:rsidRPr="00CF3673">
              <w:rPr>
                <w:sz w:val="19"/>
                <w:szCs w:val="19"/>
              </w:rPr>
              <w:t>163</w:t>
            </w:r>
          </w:p>
        </w:tc>
      </w:tr>
      <w:tr w:rsidR="00D24CAF" w:rsidRPr="00CF3673" w:rsidTr="00356A0A">
        <w:trPr>
          <w:trHeight w:val="300"/>
          <w:jc w:val="center"/>
        </w:trPr>
        <w:tc>
          <w:tcPr>
            <w:tcW w:w="953" w:type="dxa"/>
            <w:tcBorders>
              <w:top w:val="nil"/>
              <w:bottom w:val="single" w:sz="4" w:space="0" w:color="auto"/>
            </w:tcBorders>
            <w:noWrap/>
            <w:hideMark/>
          </w:tcPr>
          <w:p w:rsidR="00D24CAF" w:rsidRPr="00CF3673" w:rsidRDefault="00D24CAF" w:rsidP="00F44AFD">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Formal</w:t>
            </w:r>
          </w:p>
        </w:tc>
        <w:tc>
          <w:tcPr>
            <w:tcW w:w="1007"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10.8</w:t>
            </w:r>
          </w:p>
        </w:tc>
        <w:tc>
          <w:tcPr>
            <w:tcW w:w="1015"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16.7</w:t>
            </w:r>
          </w:p>
        </w:tc>
        <w:tc>
          <w:tcPr>
            <w:tcW w:w="1412"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3.5</w:t>
            </w:r>
          </w:p>
        </w:tc>
        <w:tc>
          <w:tcPr>
            <w:tcW w:w="1498"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44.1</w:t>
            </w:r>
          </w:p>
        </w:tc>
        <w:tc>
          <w:tcPr>
            <w:tcW w:w="655"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22.0</w:t>
            </w:r>
          </w:p>
        </w:tc>
        <w:tc>
          <w:tcPr>
            <w:tcW w:w="1351"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34.6</w:t>
            </w:r>
          </w:p>
        </w:tc>
        <w:tc>
          <w:tcPr>
            <w:tcW w:w="1372"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21.1</w:t>
            </w:r>
          </w:p>
        </w:tc>
        <w:tc>
          <w:tcPr>
            <w:tcW w:w="1158" w:type="dxa"/>
            <w:tcBorders>
              <w:top w:val="nil"/>
              <w:bottom w:val="single" w:sz="4" w:space="0" w:color="auto"/>
            </w:tcBorders>
            <w:noWrap/>
            <w:hideMark/>
          </w:tcPr>
          <w:p w:rsidR="00D24CAF" w:rsidRPr="00CF3673" w:rsidRDefault="00D24CAF" w:rsidP="00D24CAF">
            <w:pPr>
              <w:jc w:val="center"/>
              <w:rPr>
                <w:sz w:val="19"/>
                <w:szCs w:val="19"/>
              </w:rPr>
            </w:pPr>
            <w:r w:rsidRPr="00CF3673">
              <w:rPr>
                <w:sz w:val="19"/>
                <w:szCs w:val="19"/>
              </w:rPr>
              <w:t>564</w:t>
            </w:r>
          </w:p>
        </w:tc>
      </w:tr>
      <w:tr w:rsidR="00D24CAF" w:rsidRPr="00CF3673" w:rsidTr="00356A0A">
        <w:trPr>
          <w:trHeight w:val="300"/>
          <w:jc w:val="center"/>
        </w:trPr>
        <w:tc>
          <w:tcPr>
            <w:tcW w:w="953" w:type="dxa"/>
            <w:tcBorders>
              <w:top w:val="single" w:sz="4" w:space="0" w:color="auto"/>
            </w:tcBorders>
            <w:noWrap/>
            <w:hideMark/>
          </w:tcPr>
          <w:p w:rsidR="00D24CAF" w:rsidRPr="00CF3673" w:rsidRDefault="00D24CAF"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Maputo</w:t>
            </w:r>
          </w:p>
        </w:tc>
        <w:tc>
          <w:tcPr>
            <w:tcW w:w="1007" w:type="dxa"/>
            <w:tcBorders>
              <w:top w:val="single" w:sz="4" w:space="0" w:color="auto"/>
            </w:tcBorders>
            <w:noWrap/>
            <w:hideMark/>
          </w:tcPr>
          <w:p w:rsidR="00D24CAF" w:rsidRPr="00CF3673" w:rsidRDefault="00D24CAF" w:rsidP="00D24CAF">
            <w:pPr>
              <w:jc w:val="center"/>
              <w:rPr>
                <w:sz w:val="19"/>
                <w:szCs w:val="19"/>
              </w:rPr>
            </w:pPr>
            <w:r w:rsidRPr="00CF3673">
              <w:rPr>
                <w:sz w:val="19"/>
                <w:szCs w:val="19"/>
              </w:rPr>
              <w:t>13.8</w:t>
            </w:r>
          </w:p>
        </w:tc>
        <w:tc>
          <w:tcPr>
            <w:tcW w:w="1015" w:type="dxa"/>
            <w:tcBorders>
              <w:top w:val="single" w:sz="4" w:space="0" w:color="auto"/>
            </w:tcBorders>
            <w:noWrap/>
            <w:hideMark/>
          </w:tcPr>
          <w:p w:rsidR="00D24CAF" w:rsidRPr="00CF3673" w:rsidRDefault="00D24CAF" w:rsidP="00D24CAF">
            <w:pPr>
              <w:jc w:val="center"/>
              <w:rPr>
                <w:sz w:val="19"/>
                <w:szCs w:val="19"/>
              </w:rPr>
            </w:pPr>
            <w:r w:rsidRPr="00CF3673">
              <w:rPr>
                <w:sz w:val="19"/>
                <w:szCs w:val="19"/>
              </w:rPr>
              <w:t>14.6</w:t>
            </w:r>
          </w:p>
        </w:tc>
        <w:tc>
          <w:tcPr>
            <w:tcW w:w="1412" w:type="dxa"/>
            <w:tcBorders>
              <w:top w:val="single" w:sz="4" w:space="0" w:color="auto"/>
            </w:tcBorders>
            <w:noWrap/>
            <w:hideMark/>
          </w:tcPr>
          <w:p w:rsidR="00D24CAF" w:rsidRPr="00CF3673" w:rsidRDefault="00D24CAF" w:rsidP="00D24CAF">
            <w:pPr>
              <w:jc w:val="center"/>
              <w:rPr>
                <w:sz w:val="19"/>
                <w:szCs w:val="19"/>
              </w:rPr>
            </w:pPr>
            <w:r w:rsidRPr="00CF3673">
              <w:rPr>
                <w:sz w:val="19"/>
                <w:szCs w:val="19"/>
              </w:rPr>
              <w:t>5.4</w:t>
            </w:r>
          </w:p>
        </w:tc>
        <w:tc>
          <w:tcPr>
            <w:tcW w:w="1498" w:type="dxa"/>
            <w:tcBorders>
              <w:top w:val="single" w:sz="4" w:space="0" w:color="auto"/>
            </w:tcBorders>
            <w:noWrap/>
            <w:hideMark/>
          </w:tcPr>
          <w:p w:rsidR="00D24CAF" w:rsidRPr="00CF3673" w:rsidRDefault="00D24CAF" w:rsidP="00D24CAF">
            <w:pPr>
              <w:jc w:val="center"/>
              <w:rPr>
                <w:sz w:val="19"/>
                <w:szCs w:val="19"/>
              </w:rPr>
            </w:pPr>
            <w:r w:rsidRPr="00CF3673">
              <w:rPr>
                <w:sz w:val="19"/>
                <w:szCs w:val="19"/>
              </w:rPr>
              <w:t>43.5</w:t>
            </w:r>
          </w:p>
        </w:tc>
        <w:tc>
          <w:tcPr>
            <w:tcW w:w="655" w:type="dxa"/>
            <w:tcBorders>
              <w:top w:val="single" w:sz="4" w:space="0" w:color="auto"/>
            </w:tcBorders>
            <w:noWrap/>
            <w:hideMark/>
          </w:tcPr>
          <w:p w:rsidR="00D24CAF" w:rsidRPr="00CF3673" w:rsidRDefault="00D24CAF" w:rsidP="00D24CAF">
            <w:pPr>
              <w:jc w:val="center"/>
              <w:rPr>
                <w:sz w:val="19"/>
                <w:szCs w:val="19"/>
              </w:rPr>
            </w:pPr>
            <w:r w:rsidRPr="00CF3673">
              <w:rPr>
                <w:sz w:val="19"/>
                <w:szCs w:val="19"/>
              </w:rPr>
              <w:t>18.5</w:t>
            </w:r>
          </w:p>
        </w:tc>
        <w:tc>
          <w:tcPr>
            <w:tcW w:w="1351" w:type="dxa"/>
            <w:tcBorders>
              <w:top w:val="single" w:sz="4" w:space="0" w:color="auto"/>
            </w:tcBorders>
            <w:noWrap/>
            <w:hideMark/>
          </w:tcPr>
          <w:p w:rsidR="00D24CAF" w:rsidRPr="00CF3673" w:rsidRDefault="00D24CAF" w:rsidP="00D24CAF">
            <w:pPr>
              <w:jc w:val="center"/>
              <w:rPr>
                <w:sz w:val="19"/>
                <w:szCs w:val="19"/>
              </w:rPr>
            </w:pPr>
            <w:r w:rsidRPr="00CF3673">
              <w:rPr>
                <w:sz w:val="19"/>
                <w:szCs w:val="19"/>
              </w:rPr>
              <w:t>40.4</w:t>
            </w:r>
          </w:p>
        </w:tc>
        <w:tc>
          <w:tcPr>
            <w:tcW w:w="1372" w:type="dxa"/>
            <w:tcBorders>
              <w:top w:val="single" w:sz="4" w:space="0" w:color="auto"/>
            </w:tcBorders>
            <w:noWrap/>
            <w:hideMark/>
          </w:tcPr>
          <w:p w:rsidR="00D24CAF" w:rsidRPr="00CF3673" w:rsidRDefault="00D24CAF" w:rsidP="00D24CAF">
            <w:pPr>
              <w:jc w:val="center"/>
              <w:rPr>
                <w:sz w:val="19"/>
                <w:szCs w:val="19"/>
              </w:rPr>
            </w:pPr>
            <w:r w:rsidRPr="00CF3673">
              <w:rPr>
                <w:sz w:val="19"/>
                <w:szCs w:val="19"/>
              </w:rPr>
              <w:t>26.2</w:t>
            </w:r>
          </w:p>
        </w:tc>
        <w:tc>
          <w:tcPr>
            <w:tcW w:w="1158" w:type="dxa"/>
            <w:tcBorders>
              <w:top w:val="single" w:sz="4" w:space="0" w:color="auto"/>
            </w:tcBorders>
            <w:noWrap/>
            <w:hideMark/>
          </w:tcPr>
          <w:p w:rsidR="00D24CAF" w:rsidRPr="00CF3673" w:rsidRDefault="00D24CAF" w:rsidP="00D24CAF">
            <w:pPr>
              <w:jc w:val="center"/>
              <w:rPr>
                <w:sz w:val="19"/>
                <w:szCs w:val="19"/>
              </w:rPr>
            </w:pPr>
            <w:r w:rsidRPr="00CF3673">
              <w:rPr>
                <w:sz w:val="19"/>
                <w:szCs w:val="19"/>
              </w:rPr>
              <w:t>260</w:t>
            </w:r>
          </w:p>
        </w:tc>
      </w:tr>
      <w:tr w:rsidR="00D24CAF" w:rsidRPr="00CF3673" w:rsidTr="00356A0A">
        <w:trPr>
          <w:trHeight w:val="300"/>
          <w:jc w:val="center"/>
        </w:trPr>
        <w:tc>
          <w:tcPr>
            <w:tcW w:w="953" w:type="dxa"/>
            <w:noWrap/>
            <w:hideMark/>
          </w:tcPr>
          <w:p w:rsidR="00D24CAF" w:rsidRPr="00CF3673" w:rsidRDefault="00D24CAF"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Matola</w:t>
            </w:r>
          </w:p>
        </w:tc>
        <w:tc>
          <w:tcPr>
            <w:tcW w:w="1007" w:type="dxa"/>
            <w:noWrap/>
            <w:hideMark/>
          </w:tcPr>
          <w:p w:rsidR="00D24CAF" w:rsidRPr="00CF3673" w:rsidRDefault="00D24CAF" w:rsidP="00D24CAF">
            <w:pPr>
              <w:jc w:val="center"/>
              <w:rPr>
                <w:sz w:val="19"/>
                <w:szCs w:val="19"/>
              </w:rPr>
            </w:pPr>
            <w:r w:rsidRPr="00CF3673">
              <w:rPr>
                <w:sz w:val="19"/>
                <w:szCs w:val="19"/>
              </w:rPr>
              <w:t>16.9</w:t>
            </w:r>
          </w:p>
        </w:tc>
        <w:tc>
          <w:tcPr>
            <w:tcW w:w="1015" w:type="dxa"/>
            <w:noWrap/>
            <w:hideMark/>
          </w:tcPr>
          <w:p w:rsidR="00D24CAF" w:rsidRPr="00CF3673" w:rsidRDefault="00D24CAF" w:rsidP="00D24CAF">
            <w:pPr>
              <w:jc w:val="center"/>
              <w:rPr>
                <w:sz w:val="19"/>
                <w:szCs w:val="19"/>
              </w:rPr>
            </w:pPr>
            <w:r w:rsidRPr="00CF3673">
              <w:rPr>
                <w:sz w:val="19"/>
                <w:szCs w:val="19"/>
              </w:rPr>
              <w:t>23.1</w:t>
            </w:r>
          </w:p>
        </w:tc>
        <w:tc>
          <w:tcPr>
            <w:tcW w:w="1412" w:type="dxa"/>
            <w:noWrap/>
            <w:hideMark/>
          </w:tcPr>
          <w:p w:rsidR="00D24CAF" w:rsidRPr="00CF3673" w:rsidRDefault="00D24CAF" w:rsidP="00D24CAF">
            <w:pPr>
              <w:jc w:val="center"/>
              <w:rPr>
                <w:sz w:val="19"/>
                <w:szCs w:val="19"/>
              </w:rPr>
            </w:pPr>
            <w:r w:rsidRPr="00CF3673">
              <w:rPr>
                <w:sz w:val="19"/>
                <w:szCs w:val="19"/>
              </w:rPr>
              <w:t>3.1</w:t>
            </w:r>
          </w:p>
        </w:tc>
        <w:tc>
          <w:tcPr>
            <w:tcW w:w="1498" w:type="dxa"/>
            <w:noWrap/>
            <w:hideMark/>
          </w:tcPr>
          <w:p w:rsidR="00D24CAF" w:rsidRPr="00CF3673" w:rsidRDefault="00D24CAF" w:rsidP="00D24CAF">
            <w:pPr>
              <w:jc w:val="center"/>
              <w:rPr>
                <w:sz w:val="19"/>
                <w:szCs w:val="19"/>
              </w:rPr>
            </w:pPr>
            <w:r w:rsidRPr="00CF3673">
              <w:rPr>
                <w:sz w:val="19"/>
                <w:szCs w:val="19"/>
              </w:rPr>
              <w:t>55.4</w:t>
            </w:r>
          </w:p>
        </w:tc>
        <w:tc>
          <w:tcPr>
            <w:tcW w:w="655" w:type="dxa"/>
            <w:noWrap/>
            <w:hideMark/>
          </w:tcPr>
          <w:p w:rsidR="00D24CAF" w:rsidRPr="00CF3673" w:rsidRDefault="00D24CAF" w:rsidP="00D24CAF">
            <w:pPr>
              <w:jc w:val="center"/>
              <w:rPr>
                <w:sz w:val="19"/>
                <w:szCs w:val="19"/>
              </w:rPr>
            </w:pPr>
            <w:r w:rsidRPr="00CF3673">
              <w:rPr>
                <w:sz w:val="19"/>
                <w:szCs w:val="19"/>
              </w:rPr>
              <w:t>29.2</w:t>
            </w:r>
          </w:p>
        </w:tc>
        <w:tc>
          <w:tcPr>
            <w:tcW w:w="1351" w:type="dxa"/>
            <w:noWrap/>
            <w:hideMark/>
          </w:tcPr>
          <w:p w:rsidR="00D24CAF" w:rsidRPr="00CF3673" w:rsidRDefault="00D24CAF" w:rsidP="00D24CAF">
            <w:pPr>
              <w:jc w:val="center"/>
              <w:rPr>
                <w:sz w:val="19"/>
                <w:szCs w:val="19"/>
              </w:rPr>
            </w:pPr>
            <w:r w:rsidRPr="00CF3673">
              <w:rPr>
                <w:sz w:val="19"/>
                <w:szCs w:val="19"/>
              </w:rPr>
              <w:t>44.6</w:t>
            </w:r>
          </w:p>
        </w:tc>
        <w:tc>
          <w:tcPr>
            <w:tcW w:w="1372" w:type="dxa"/>
            <w:noWrap/>
            <w:hideMark/>
          </w:tcPr>
          <w:p w:rsidR="00D24CAF" w:rsidRPr="00CF3673" w:rsidRDefault="00D24CAF" w:rsidP="00D24CAF">
            <w:pPr>
              <w:jc w:val="center"/>
              <w:rPr>
                <w:sz w:val="19"/>
                <w:szCs w:val="19"/>
              </w:rPr>
            </w:pPr>
            <w:r w:rsidRPr="00CF3673">
              <w:rPr>
                <w:sz w:val="19"/>
                <w:szCs w:val="19"/>
              </w:rPr>
              <w:t>27.7</w:t>
            </w:r>
          </w:p>
        </w:tc>
        <w:tc>
          <w:tcPr>
            <w:tcW w:w="1158" w:type="dxa"/>
            <w:noWrap/>
            <w:hideMark/>
          </w:tcPr>
          <w:p w:rsidR="00D24CAF" w:rsidRPr="00CF3673" w:rsidRDefault="00D24CAF" w:rsidP="00D24CAF">
            <w:pPr>
              <w:jc w:val="center"/>
              <w:rPr>
                <w:sz w:val="19"/>
                <w:szCs w:val="19"/>
              </w:rPr>
            </w:pPr>
            <w:r w:rsidRPr="00CF3673">
              <w:rPr>
                <w:sz w:val="19"/>
                <w:szCs w:val="19"/>
              </w:rPr>
              <w:t>65</w:t>
            </w:r>
          </w:p>
        </w:tc>
      </w:tr>
      <w:tr w:rsidR="00D24CAF" w:rsidRPr="00CF3673" w:rsidTr="00356A0A">
        <w:trPr>
          <w:trHeight w:val="300"/>
          <w:jc w:val="center"/>
        </w:trPr>
        <w:tc>
          <w:tcPr>
            <w:tcW w:w="953" w:type="dxa"/>
            <w:noWrap/>
            <w:hideMark/>
          </w:tcPr>
          <w:p w:rsidR="00D24CAF" w:rsidRPr="00CF3673" w:rsidRDefault="00D24CAF"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Beira</w:t>
            </w:r>
          </w:p>
        </w:tc>
        <w:tc>
          <w:tcPr>
            <w:tcW w:w="1007" w:type="dxa"/>
            <w:noWrap/>
            <w:hideMark/>
          </w:tcPr>
          <w:p w:rsidR="00D24CAF" w:rsidRPr="00CF3673" w:rsidRDefault="00D24CAF" w:rsidP="00D24CAF">
            <w:pPr>
              <w:jc w:val="center"/>
              <w:rPr>
                <w:sz w:val="19"/>
                <w:szCs w:val="19"/>
              </w:rPr>
            </w:pPr>
            <w:r w:rsidRPr="00CF3673">
              <w:rPr>
                <w:sz w:val="19"/>
                <w:szCs w:val="19"/>
              </w:rPr>
              <w:t>5.9</w:t>
            </w:r>
          </w:p>
        </w:tc>
        <w:tc>
          <w:tcPr>
            <w:tcW w:w="1015" w:type="dxa"/>
            <w:noWrap/>
            <w:hideMark/>
          </w:tcPr>
          <w:p w:rsidR="00D24CAF" w:rsidRPr="00CF3673" w:rsidRDefault="00D24CAF" w:rsidP="00D24CAF">
            <w:pPr>
              <w:jc w:val="center"/>
              <w:rPr>
                <w:sz w:val="19"/>
                <w:szCs w:val="19"/>
              </w:rPr>
            </w:pPr>
            <w:r w:rsidRPr="00CF3673">
              <w:rPr>
                <w:sz w:val="19"/>
                <w:szCs w:val="19"/>
              </w:rPr>
              <w:t>14.1</w:t>
            </w:r>
          </w:p>
        </w:tc>
        <w:tc>
          <w:tcPr>
            <w:tcW w:w="1412" w:type="dxa"/>
            <w:noWrap/>
            <w:hideMark/>
          </w:tcPr>
          <w:p w:rsidR="00D24CAF" w:rsidRPr="00CF3673" w:rsidRDefault="00D24CAF" w:rsidP="00D24CAF">
            <w:pPr>
              <w:jc w:val="center"/>
              <w:rPr>
                <w:sz w:val="19"/>
                <w:szCs w:val="19"/>
              </w:rPr>
            </w:pPr>
            <w:r w:rsidRPr="00CF3673">
              <w:rPr>
                <w:sz w:val="19"/>
                <w:szCs w:val="19"/>
              </w:rPr>
              <w:t>3.7</w:t>
            </w:r>
          </w:p>
        </w:tc>
        <w:tc>
          <w:tcPr>
            <w:tcW w:w="1498" w:type="dxa"/>
            <w:noWrap/>
            <w:hideMark/>
          </w:tcPr>
          <w:p w:rsidR="00D24CAF" w:rsidRPr="00CF3673" w:rsidRDefault="00D24CAF" w:rsidP="00D24CAF">
            <w:pPr>
              <w:jc w:val="center"/>
              <w:rPr>
                <w:sz w:val="19"/>
                <w:szCs w:val="19"/>
              </w:rPr>
            </w:pPr>
            <w:r w:rsidRPr="00CF3673">
              <w:rPr>
                <w:sz w:val="19"/>
                <w:szCs w:val="19"/>
              </w:rPr>
              <w:t>31.1</w:t>
            </w:r>
          </w:p>
        </w:tc>
        <w:tc>
          <w:tcPr>
            <w:tcW w:w="655" w:type="dxa"/>
            <w:noWrap/>
            <w:hideMark/>
          </w:tcPr>
          <w:p w:rsidR="00D24CAF" w:rsidRPr="00CF3673" w:rsidRDefault="00D24CAF" w:rsidP="00D24CAF">
            <w:pPr>
              <w:jc w:val="center"/>
              <w:rPr>
                <w:sz w:val="19"/>
                <w:szCs w:val="19"/>
              </w:rPr>
            </w:pPr>
            <w:r w:rsidRPr="00CF3673">
              <w:rPr>
                <w:sz w:val="19"/>
                <w:szCs w:val="19"/>
              </w:rPr>
              <w:t>16.3</w:t>
            </w:r>
          </w:p>
        </w:tc>
        <w:tc>
          <w:tcPr>
            <w:tcW w:w="1351" w:type="dxa"/>
            <w:noWrap/>
            <w:hideMark/>
          </w:tcPr>
          <w:p w:rsidR="00D24CAF" w:rsidRPr="00CF3673" w:rsidRDefault="00D24CAF" w:rsidP="00D24CAF">
            <w:pPr>
              <w:jc w:val="center"/>
              <w:rPr>
                <w:sz w:val="19"/>
                <w:szCs w:val="19"/>
              </w:rPr>
            </w:pPr>
            <w:r w:rsidRPr="00CF3673">
              <w:rPr>
                <w:sz w:val="19"/>
                <w:szCs w:val="19"/>
              </w:rPr>
              <w:t>29.6</w:t>
            </w:r>
          </w:p>
        </w:tc>
        <w:tc>
          <w:tcPr>
            <w:tcW w:w="1372" w:type="dxa"/>
            <w:noWrap/>
            <w:hideMark/>
          </w:tcPr>
          <w:p w:rsidR="00D24CAF" w:rsidRPr="00CF3673" w:rsidRDefault="00D24CAF" w:rsidP="00D24CAF">
            <w:pPr>
              <w:jc w:val="center"/>
              <w:rPr>
                <w:sz w:val="19"/>
                <w:szCs w:val="19"/>
              </w:rPr>
            </w:pPr>
            <w:r w:rsidRPr="00CF3673">
              <w:rPr>
                <w:sz w:val="19"/>
                <w:szCs w:val="19"/>
              </w:rPr>
              <w:t>8.9</w:t>
            </w:r>
          </w:p>
        </w:tc>
        <w:tc>
          <w:tcPr>
            <w:tcW w:w="1158" w:type="dxa"/>
            <w:noWrap/>
            <w:hideMark/>
          </w:tcPr>
          <w:p w:rsidR="00D24CAF" w:rsidRPr="00CF3673" w:rsidRDefault="00D24CAF" w:rsidP="00D24CAF">
            <w:pPr>
              <w:jc w:val="center"/>
              <w:rPr>
                <w:sz w:val="19"/>
                <w:szCs w:val="19"/>
              </w:rPr>
            </w:pPr>
            <w:r w:rsidRPr="00CF3673">
              <w:rPr>
                <w:sz w:val="19"/>
                <w:szCs w:val="19"/>
              </w:rPr>
              <w:t>135</w:t>
            </w:r>
          </w:p>
        </w:tc>
      </w:tr>
      <w:tr w:rsidR="00D24CAF" w:rsidRPr="00CF3673" w:rsidTr="00356A0A">
        <w:trPr>
          <w:trHeight w:val="300"/>
          <w:jc w:val="center"/>
        </w:trPr>
        <w:tc>
          <w:tcPr>
            <w:tcW w:w="953" w:type="dxa"/>
            <w:noWrap/>
            <w:hideMark/>
          </w:tcPr>
          <w:p w:rsidR="00D24CAF" w:rsidRPr="00CF3673" w:rsidRDefault="00D24CAF"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Nampula</w:t>
            </w:r>
          </w:p>
        </w:tc>
        <w:tc>
          <w:tcPr>
            <w:tcW w:w="1007" w:type="dxa"/>
            <w:noWrap/>
            <w:hideMark/>
          </w:tcPr>
          <w:p w:rsidR="00D24CAF" w:rsidRPr="00CF3673" w:rsidRDefault="00D24CAF" w:rsidP="00D24CAF">
            <w:pPr>
              <w:jc w:val="center"/>
              <w:rPr>
                <w:sz w:val="19"/>
                <w:szCs w:val="19"/>
              </w:rPr>
            </w:pPr>
            <w:r w:rsidRPr="00CF3673">
              <w:rPr>
                <w:sz w:val="19"/>
                <w:szCs w:val="19"/>
              </w:rPr>
              <w:t>9.3</w:t>
            </w:r>
          </w:p>
        </w:tc>
        <w:tc>
          <w:tcPr>
            <w:tcW w:w="1015" w:type="dxa"/>
            <w:noWrap/>
            <w:hideMark/>
          </w:tcPr>
          <w:p w:rsidR="00D24CAF" w:rsidRPr="00CF3673" w:rsidRDefault="00D24CAF" w:rsidP="00D24CAF">
            <w:pPr>
              <w:jc w:val="center"/>
              <w:rPr>
                <w:sz w:val="19"/>
                <w:szCs w:val="19"/>
              </w:rPr>
            </w:pPr>
            <w:r w:rsidRPr="00CF3673">
              <w:rPr>
                <w:sz w:val="19"/>
                <w:szCs w:val="19"/>
              </w:rPr>
              <w:t>18.6</w:t>
            </w:r>
          </w:p>
        </w:tc>
        <w:tc>
          <w:tcPr>
            <w:tcW w:w="1412" w:type="dxa"/>
            <w:noWrap/>
            <w:hideMark/>
          </w:tcPr>
          <w:p w:rsidR="00D24CAF" w:rsidRPr="00CF3673" w:rsidRDefault="00D24CAF" w:rsidP="00D24CAF">
            <w:pPr>
              <w:jc w:val="center"/>
              <w:rPr>
                <w:sz w:val="19"/>
                <w:szCs w:val="19"/>
              </w:rPr>
            </w:pPr>
            <w:r w:rsidRPr="00CF3673">
              <w:rPr>
                <w:sz w:val="19"/>
                <w:szCs w:val="19"/>
              </w:rPr>
              <w:t>0.0</w:t>
            </w:r>
          </w:p>
        </w:tc>
        <w:tc>
          <w:tcPr>
            <w:tcW w:w="1498" w:type="dxa"/>
            <w:noWrap/>
            <w:hideMark/>
          </w:tcPr>
          <w:p w:rsidR="00D24CAF" w:rsidRPr="00CF3673" w:rsidRDefault="00D24CAF" w:rsidP="00D24CAF">
            <w:pPr>
              <w:jc w:val="center"/>
              <w:rPr>
                <w:sz w:val="19"/>
                <w:szCs w:val="19"/>
              </w:rPr>
            </w:pPr>
            <w:r w:rsidRPr="00CF3673">
              <w:rPr>
                <w:sz w:val="19"/>
                <w:szCs w:val="19"/>
              </w:rPr>
              <w:t>44.2</w:t>
            </w:r>
          </w:p>
        </w:tc>
        <w:tc>
          <w:tcPr>
            <w:tcW w:w="655" w:type="dxa"/>
            <w:noWrap/>
            <w:hideMark/>
          </w:tcPr>
          <w:p w:rsidR="00D24CAF" w:rsidRPr="00CF3673" w:rsidRDefault="00D24CAF" w:rsidP="00D24CAF">
            <w:pPr>
              <w:jc w:val="center"/>
              <w:rPr>
                <w:sz w:val="19"/>
                <w:szCs w:val="19"/>
              </w:rPr>
            </w:pPr>
            <w:r w:rsidRPr="00CF3673">
              <w:rPr>
                <w:sz w:val="19"/>
                <w:szCs w:val="19"/>
              </w:rPr>
              <w:t>20.9</w:t>
            </w:r>
          </w:p>
        </w:tc>
        <w:tc>
          <w:tcPr>
            <w:tcW w:w="1351" w:type="dxa"/>
            <w:noWrap/>
            <w:hideMark/>
          </w:tcPr>
          <w:p w:rsidR="00D24CAF" w:rsidRPr="00CF3673" w:rsidRDefault="00D24CAF" w:rsidP="00D24CAF">
            <w:pPr>
              <w:jc w:val="center"/>
              <w:rPr>
                <w:sz w:val="19"/>
                <w:szCs w:val="19"/>
              </w:rPr>
            </w:pPr>
            <w:r w:rsidRPr="00CF3673">
              <w:rPr>
                <w:sz w:val="19"/>
                <w:szCs w:val="19"/>
              </w:rPr>
              <w:t>20.9</w:t>
            </w:r>
          </w:p>
        </w:tc>
        <w:tc>
          <w:tcPr>
            <w:tcW w:w="1372" w:type="dxa"/>
            <w:noWrap/>
            <w:hideMark/>
          </w:tcPr>
          <w:p w:rsidR="00D24CAF" w:rsidRPr="00CF3673" w:rsidRDefault="00D24CAF" w:rsidP="00D24CAF">
            <w:pPr>
              <w:jc w:val="center"/>
              <w:rPr>
                <w:sz w:val="19"/>
                <w:szCs w:val="19"/>
              </w:rPr>
            </w:pPr>
            <w:r w:rsidRPr="00CF3673">
              <w:rPr>
                <w:sz w:val="19"/>
                <w:szCs w:val="19"/>
              </w:rPr>
              <w:t>11.6</w:t>
            </w:r>
          </w:p>
        </w:tc>
        <w:tc>
          <w:tcPr>
            <w:tcW w:w="1158" w:type="dxa"/>
            <w:noWrap/>
            <w:hideMark/>
          </w:tcPr>
          <w:p w:rsidR="00D24CAF" w:rsidRPr="00CF3673" w:rsidRDefault="00D24CAF" w:rsidP="00D24CAF">
            <w:pPr>
              <w:jc w:val="center"/>
              <w:rPr>
                <w:sz w:val="19"/>
                <w:szCs w:val="19"/>
              </w:rPr>
            </w:pPr>
            <w:r w:rsidRPr="00CF3673">
              <w:rPr>
                <w:sz w:val="19"/>
                <w:szCs w:val="19"/>
              </w:rPr>
              <w:t>43</w:t>
            </w:r>
          </w:p>
        </w:tc>
      </w:tr>
      <w:tr w:rsidR="00D24CAF" w:rsidRPr="00CF3673" w:rsidTr="00356A0A">
        <w:trPr>
          <w:trHeight w:val="300"/>
          <w:jc w:val="center"/>
        </w:trPr>
        <w:tc>
          <w:tcPr>
            <w:tcW w:w="953" w:type="dxa"/>
            <w:noWrap/>
            <w:hideMark/>
          </w:tcPr>
          <w:p w:rsidR="00D24CAF" w:rsidRPr="00CF3673" w:rsidRDefault="00D24CAF"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Nacala</w:t>
            </w:r>
          </w:p>
        </w:tc>
        <w:tc>
          <w:tcPr>
            <w:tcW w:w="1007" w:type="dxa"/>
            <w:noWrap/>
            <w:hideMark/>
          </w:tcPr>
          <w:p w:rsidR="00D24CAF" w:rsidRPr="00CF3673" w:rsidRDefault="00D24CAF" w:rsidP="00D24CAF">
            <w:pPr>
              <w:jc w:val="center"/>
              <w:rPr>
                <w:sz w:val="19"/>
                <w:szCs w:val="19"/>
              </w:rPr>
            </w:pPr>
            <w:r w:rsidRPr="00CF3673">
              <w:rPr>
                <w:sz w:val="19"/>
                <w:szCs w:val="19"/>
              </w:rPr>
              <w:t>9.5</w:t>
            </w:r>
          </w:p>
        </w:tc>
        <w:tc>
          <w:tcPr>
            <w:tcW w:w="1015" w:type="dxa"/>
            <w:noWrap/>
            <w:hideMark/>
          </w:tcPr>
          <w:p w:rsidR="00D24CAF" w:rsidRPr="00CF3673" w:rsidRDefault="00D24CAF" w:rsidP="00D24CAF">
            <w:pPr>
              <w:jc w:val="center"/>
              <w:rPr>
                <w:sz w:val="19"/>
                <w:szCs w:val="19"/>
              </w:rPr>
            </w:pPr>
            <w:r w:rsidRPr="00CF3673">
              <w:rPr>
                <w:sz w:val="19"/>
                <w:szCs w:val="19"/>
              </w:rPr>
              <w:t>4.8</w:t>
            </w:r>
          </w:p>
        </w:tc>
        <w:tc>
          <w:tcPr>
            <w:tcW w:w="1412" w:type="dxa"/>
            <w:noWrap/>
            <w:hideMark/>
          </w:tcPr>
          <w:p w:rsidR="00D24CAF" w:rsidRPr="00CF3673" w:rsidRDefault="00D24CAF" w:rsidP="00D24CAF">
            <w:pPr>
              <w:jc w:val="center"/>
              <w:rPr>
                <w:sz w:val="19"/>
                <w:szCs w:val="19"/>
              </w:rPr>
            </w:pPr>
            <w:r w:rsidRPr="00CF3673">
              <w:rPr>
                <w:sz w:val="19"/>
                <w:szCs w:val="19"/>
              </w:rPr>
              <w:t>0.0</w:t>
            </w:r>
          </w:p>
        </w:tc>
        <w:tc>
          <w:tcPr>
            <w:tcW w:w="1498" w:type="dxa"/>
            <w:noWrap/>
            <w:hideMark/>
          </w:tcPr>
          <w:p w:rsidR="00D24CAF" w:rsidRPr="00CF3673" w:rsidRDefault="00D24CAF" w:rsidP="00D24CAF">
            <w:pPr>
              <w:jc w:val="center"/>
              <w:rPr>
                <w:sz w:val="19"/>
                <w:szCs w:val="19"/>
              </w:rPr>
            </w:pPr>
            <w:r w:rsidRPr="00CF3673">
              <w:rPr>
                <w:sz w:val="19"/>
                <w:szCs w:val="19"/>
              </w:rPr>
              <w:t>28.6</w:t>
            </w:r>
          </w:p>
        </w:tc>
        <w:tc>
          <w:tcPr>
            <w:tcW w:w="655" w:type="dxa"/>
            <w:noWrap/>
            <w:hideMark/>
          </w:tcPr>
          <w:p w:rsidR="00D24CAF" w:rsidRPr="00CF3673" w:rsidRDefault="00D24CAF" w:rsidP="00D24CAF">
            <w:pPr>
              <w:jc w:val="center"/>
              <w:rPr>
                <w:sz w:val="19"/>
                <w:szCs w:val="19"/>
              </w:rPr>
            </w:pPr>
            <w:r w:rsidRPr="00CF3673">
              <w:rPr>
                <w:sz w:val="19"/>
                <w:szCs w:val="19"/>
              </w:rPr>
              <w:t>9.5</w:t>
            </w:r>
          </w:p>
        </w:tc>
        <w:tc>
          <w:tcPr>
            <w:tcW w:w="1351" w:type="dxa"/>
            <w:noWrap/>
            <w:hideMark/>
          </w:tcPr>
          <w:p w:rsidR="00D24CAF" w:rsidRPr="00CF3673" w:rsidRDefault="00D24CAF" w:rsidP="00D24CAF">
            <w:pPr>
              <w:jc w:val="center"/>
              <w:rPr>
                <w:sz w:val="19"/>
                <w:szCs w:val="19"/>
              </w:rPr>
            </w:pPr>
            <w:r w:rsidRPr="00CF3673">
              <w:rPr>
                <w:sz w:val="19"/>
                <w:szCs w:val="19"/>
              </w:rPr>
              <w:t>28.6</w:t>
            </w:r>
          </w:p>
        </w:tc>
        <w:tc>
          <w:tcPr>
            <w:tcW w:w="1372" w:type="dxa"/>
            <w:noWrap/>
            <w:hideMark/>
          </w:tcPr>
          <w:p w:rsidR="00D24CAF" w:rsidRPr="00CF3673" w:rsidRDefault="00D24CAF" w:rsidP="00D24CAF">
            <w:pPr>
              <w:jc w:val="center"/>
              <w:rPr>
                <w:sz w:val="19"/>
                <w:szCs w:val="19"/>
              </w:rPr>
            </w:pPr>
            <w:r w:rsidRPr="00CF3673">
              <w:rPr>
                <w:sz w:val="19"/>
                <w:szCs w:val="19"/>
              </w:rPr>
              <w:t>9.5</w:t>
            </w:r>
          </w:p>
        </w:tc>
        <w:tc>
          <w:tcPr>
            <w:tcW w:w="1158" w:type="dxa"/>
            <w:noWrap/>
            <w:hideMark/>
          </w:tcPr>
          <w:p w:rsidR="00D24CAF" w:rsidRPr="00CF3673" w:rsidRDefault="00D24CAF" w:rsidP="00D24CAF">
            <w:pPr>
              <w:jc w:val="center"/>
              <w:rPr>
                <w:sz w:val="19"/>
                <w:szCs w:val="19"/>
              </w:rPr>
            </w:pPr>
            <w:r w:rsidRPr="00CF3673">
              <w:rPr>
                <w:sz w:val="19"/>
                <w:szCs w:val="19"/>
              </w:rPr>
              <w:t>21</w:t>
            </w:r>
          </w:p>
        </w:tc>
      </w:tr>
      <w:tr w:rsidR="00D24CAF" w:rsidRPr="00CF3673" w:rsidTr="00356A0A">
        <w:trPr>
          <w:trHeight w:val="300"/>
          <w:jc w:val="center"/>
        </w:trPr>
        <w:tc>
          <w:tcPr>
            <w:tcW w:w="953" w:type="dxa"/>
            <w:noWrap/>
            <w:hideMark/>
          </w:tcPr>
          <w:p w:rsidR="00D24CAF" w:rsidRPr="00CF3673" w:rsidRDefault="00D24CAF"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Chimoio</w:t>
            </w:r>
          </w:p>
        </w:tc>
        <w:tc>
          <w:tcPr>
            <w:tcW w:w="1007" w:type="dxa"/>
            <w:noWrap/>
            <w:hideMark/>
          </w:tcPr>
          <w:p w:rsidR="00D24CAF" w:rsidRPr="00CF3673" w:rsidRDefault="00D24CAF" w:rsidP="00D24CAF">
            <w:pPr>
              <w:jc w:val="center"/>
              <w:rPr>
                <w:sz w:val="19"/>
                <w:szCs w:val="19"/>
              </w:rPr>
            </w:pPr>
            <w:r w:rsidRPr="00CF3673">
              <w:rPr>
                <w:sz w:val="19"/>
                <w:szCs w:val="19"/>
              </w:rPr>
              <w:t>1.2</w:t>
            </w:r>
          </w:p>
        </w:tc>
        <w:tc>
          <w:tcPr>
            <w:tcW w:w="1015" w:type="dxa"/>
            <w:noWrap/>
            <w:hideMark/>
          </w:tcPr>
          <w:p w:rsidR="00D24CAF" w:rsidRPr="00CF3673" w:rsidRDefault="00D24CAF" w:rsidP="00D24CAF">
            <w:pPr>
              <w:jc w:val="center"/>
              <w:rPr>
                <w:sz w:val="19"/>
                <w:szCs w:val="19"/>
              </w:rPr>
            </w:pPr>
            <w:r w:rsidRPr="00CF3673">
              <w:rPr>
                <w:sz w:val="19"/>
                <w:szCs w:val="19"/>
              </w:rPr>
              <w:t>11.0</w:t>
            </w:r>
          </w:p>
        </w:tc>
        <w:tc>
          <w:tcPr>
            <w:tcW w:w="1412" w:type="dxa"/>
            <w:noWrap/>
            <w:hideMark/>
          </w:tcPr>
          <w:p w:rsidR="00D24CAF" w:rsidRPr="00CF3673" w:rsidRDefault="00D24CAF" w:rsidP="00D24CAF">
            <w:pPr>
              <w:jc w:val="center"/>
              <w:rPr>
                <w:sz w:val="19"/>
                <w:szCs w:val="19"/>
              </w:rPr>
            </w:pPr>
            <w:r w:rsidRPr="00CF3673">
              <w:rPr>
                <w:sz w:val="19"/>
                <w:szCs w:val="19"/>
              </w:rPr>
              <w:t>3.7</w:t>
            </w:r>
          </w:p>
        </w:tc>
        <w:tc>
          <w:tcPr>
            <w:tcW w:w="1498" w:type="dxa"/>
            <w:noWrap/>
            <w:hideMark/>
          </w:tcPr>
          <w:p w:rsidR="00D24CAF" w:rsidRPr="00CF3673" w:rsidRDefault="00D24CAF" w:rsidP="00D24CAF">
            <w:pPr>
              <w:jc w:val="center"/>
              <w:rPr>
                <w:sz w:val="19"/>
                <w:szCs w:val="19"/>
              </w:rPr>
            </w:pPr>
            <w:r w:rsidRPr="00CF3673">
              <w:rPr>
                <w:sz w:val="19"/>
                <w:szCs w:val="19"/>
              </w:rPr>
              <w:t>24.4</w:t>
            </w:r>
          </w:p>
        </w:tc>
        <w:tc>
          <w:tcPr>
            <w:tcW w:w="655" w:type="dxa"/>
            <w:noWrap/>
            <w:hideMark/>
          </w:tcPr>
          <w:p w:rsidR="00D24CAF" w:rsidRPr="00CF3673" w:rsidRDefault="00D24CAF" w:rsidP="00D24CAF">
            <w:pPr>
              <w:jc w:val="center"/>
              <w:rPr>
                <w:sz w:val="19"/>
                <w:szCs w:val="19"/>
              </w:rPr>
            </w:pPr>
            <w:r w:rsidRPr="00CF3673">
              <w:rPr>
                <w:sz w:val="19"/>
                <w:szCs w:val="19"/>
              </w:rPr>
              <w:t>17.1</w:t>
            </w:r>
          </w:p>
        </w:tc>
        <w:tc>
          <w:tcPr>
            <w:tcW w:w="1351" w:type="dxa"/>
            <w:noWrap/>
            <w:hideMark/>
          </w:tcPr>
          <w:p w:rsidR="00D24CAF" w:rsidRPr="00CF3673" w:rsidRDefault="00D24CAF" w:rsidP="00D24CAF">
            <w:pPr>
              <w:jc w:val="center"/>
              <w:rPr>
                <w:sz w:val="19"/>
                <w:szCs w:val="19"/>
              </w:rPr>
            </w:pPr>
            <w:r w:rsidRPr="00CF3673">
              <w:rPr>
                <w:sz w:val="19"/>
                <w:szCs w:val="19"/>
              </w:rPr>
              <w:t>20.7</w:t>
            </w:r>
          </w:p>
        </w:tc>
        <w:tc>
          <w:tcPr>
            <w:tcW w:w="1372" w:type="dxa"/>
            <w:noWrap/>
            <w:hideMark/>
          </w:tcPr>
          <w:p w:rsidR="00D24CAF" w:rsidRPr="00CF3673" w:rsidRDefault="00D24CAF" w:rsidP="00D24CAF">
            <w:pPr>
              <w:jc w:val="center"/>
              <w:rPr>
                <w:sz w:val="19"/>
                <w:szCs w:val="19"/>
              </w:rPr>
            </w:pPr>
            <w:r w:rsidRPr="00CF3673">
              <w:rPr>
                <w:sz w:val="19"/>
                <w:szCs w:val="19"/>
              </w:rPr>
              <w:t>4.9</w:t>
            </w:r>
          </w:p>
        </w:tc>
        <w:tc>
          <w:tcPr>
            <w:tcW w:w="1158" w:type="dxa"/>
            <w:noWrap/>
            <w:hideMark/>
          </w:tcPr>
          <w:p w:rsidR="00D24CAF" w:rsidRPr="00CF3673" w:rsidRDefault="00D24CAF" w:rsidP="00D24CAF">
            <w:pPr>
              <w:jc w:val="center"/>
              <w:rPr>
                <w:sz w:val="19"/>
                <w:szCs w:val="19"/>
              </w:rPr>
            </w:pPr>
            <w:r w:rsidRPr="00CF3673">
              <w:rPr>
                <w:sz w:val="19"/>
                <w:szCs w:val="19"/>
              </w:rPr>
              <w:t>82</w:t>
            </w:r>
          </w:p>
        </w:tc>
      </w:tr>
      <w:tr w:rsidR="00D24CAF" w:rsidRPr="00CF3673" w:rsidTr="00356A0A">
        <w:trPr>
          <w:trHeight w:val="300"/>
          <w:jc w:val="center"/>
        </w:trPr>
        <w:tc>
          <w:tcPr>
            <w:tcW w:w="953" w:type="dxa"/>
            <w:noWrap/>
            <w:hideMark/>
          </w:tcPr>
          <w:p w:rsidR="00D24CAF" w:rsidRPr="00CF3673" w:rsidRDefault="00D24CAF" w:rsidP="007511FA">
            <w:pPr>
              <w:rPr>
                <w:rFonts w:ascii="Calibri" w:eastAsia="Times New Roman" w:hAnsi="Calibri" w:cs="Times New Roman"/>
                <w:sz w:val="19"/>
                <w:szCs w:val="19"/>
                <w:lang w:eastAsia="zh-CN"/>
              </w:rPr>
            </w:pPr>
            <w:r w:rsidRPr="00CF3673">
              <w:rPr>
                <w:rFonts w:ascii="Calibri" w:eastAsia="Times New Roman" w:hAnsi="Calibri" w:cs="Times New Roman"/>
                <w:sz w:val="19"/>
                <w:szCs w:val="19"/>
                <w:lang w:eastAsia="zh-CN"/>
              </w:rPr>
              <w:t>Tete</w:t>
            </w:r>
          </w:p>
        </w:tc>
        <w:tc>
          <w:tcPr>
            <w:tcW w:w="1007" w:type="dxa"/>
            <w:noWrap/>
            <w:hideMark/>
          </w:tcPr>
          <w:p w:rsidR="00D24CAF" w:rsidRPr="00CF3673" w:rsidRDefault="00D24CAF" w:rsidP="00D24CAF">
            <w:pPr>
              <w:jc w:val="center"/>
              <w:rPr>
                <w:sz w:val="19"/>
                <w:szCs w:val="19"/>
              </w:rPr>
            </w:pPr>
            <w:r w:rsidRPr="00CF3673">
              <w:rPr>
                <w:sz w:val="19"/>
                <w:szCs w:val="19"/>
              </w:rPr>
              <w:t>2.9</w:t>
            </w:r>
          </w:p>
        </w:tc>
        <w:tc>
          <w:tcPr>
            <w:tcW w:w="1015" w:type="dxa"/>
            <w:noWrap/>
            <w:hideMark/>
          </w:tcPr>
          <w:p w:rsidR="00D24CAF" w:rsidRPr="00CF3673" w:rsidRDefault="00D24CAF" w:rsidP="00D24CAF">
            <w:pPr>
              <w:jc w:val="center"/>
              <w:rPr>
                <w:sz w:val="19"/>
                <w:szCs w:val="19"/>
              </w:rPr>
            </w:pPr>
            <w:r w:rsidRPr="00CF3673">
              <w:rPr>
                <w:sz w:val="19"/>
                <w:szCs w:val="19"/>
              </w:rPr>
              <w:t>14.3</w:t>
            </w:r>
          </w:p>
        </w:tc>
        <w:tc>
          <w:tcPr>
            <w:tcW w:w="1412" w:type="dxa"/>
            <w:noWrap/>
            <w:hideMark/>
          </w:tcPr>
          <w:p w:rsidR="00D24CAF" w:rsidRPr="00CF3673" w:rsidRDefault="00D24CAF" w:rsidP="00D24CAF">
            <w:pPr>
              <w:jc w:val="center"/>
              <w:rPr>
                <w:sz w:val="19"/>
                <w:szCs w:val="19"/>
              </w:rPr>
            </w:pPr>
            <w:r w:rsidRPr="00CF3673">
              <w:rPr>
                <w:sz w:val="19"/>
                <w:szCs w:val="19"/>
              </w:rPr>
              <w:t>2.9</w:t>
            </w:r>
          </w:p>
        </w:tc>
        <w:tc>
          <w:tcPr>
            <w:tcW w:w="1498" w:type="dxa"/>
            <w:noWrap/>
            <w:hideMark/>
          </w:tcPr>
          <w:p w:rsidR="00D24CAF" w:rsidRPr="00CF3673" w:rsidRDefault="00D24CAF" w:rsidP="00D24CAF">
            <w:pPr>
              <w:jc w:val="center"/>
              <w:rPr>
                <w:sz w:val="19"/>
                <w:szCs w:val="19"/>
              </w:rPr>
            </w:pPr>
            <w:r w:rsidRPr="00CF3673">
              <w:rPr>
                <w:sz w:val="19"/>
                <w:szCs w:val="19"/>
              </w:rPr>
              <w:t>22.9</w:t>
            </w:r>
          </w:p>
        </w:tc>
        <w:tc>
          <w:tcPr>
            <w:tcW w:w="655" w:type="dxa"/>
            <w:noWrap/>
            <w:hideMark/>
          </w:tcPr>
          <w:p w:rsidR="00D24CAF" w:rsidRPr="00CF3673" w:rsidRDefault="00D24CAF" w:rsidP="00D24CAF">
            <w:pPr>
              <w:jc w:val="center"/>
              <w:rPr>
                <w:sz w:val="19"/>
                <w:szCs w:val="19"/>
              </w:rPr>
            </w:pPr>
            <w:r w:rsidRPr="00CF3673">
              <w:rPr>
                <w:sz w:val="19"/>
                <w:szCs w:val="19"/>
              </w:rPr>
              <w:t>14.3</w:t>
            </w:r>
          </w:p>
        </w:tc>
        <w:tc>
          <w:tcPr>
            <w:tcW w:w="1351" w:type="dxa"/>
            <w:noWrap/>
            <w:hideMark/>
          </w:tcPr>
          <w:p w:rsidR="00D24CAF" w:rsidRPr="00CF3673" w:rsidRDefault="00D24CAF" w:rsidP="00D24CAF">
            <w:pPr>
              <w:jc w:val="center"/>
              <w:rPr>
                <w:sz w:val="19"/>
                <w:szCs w:val="19"/>
              </w:rPr>
            </w:pPr>
            <w:r w:rsidRPr="00CF3673">
              <w:rPr>
                <w:sz w:val="19"/>
                <w:szCs w:val="19"/>
              </w:rPr>
              <w:t>28.6</w:t>
            </w:r>
          </w:p>
        </w:tc>
        <w:tc>
          <w:tcPr>
            <w:tcW w:w="1372" w:type="dxa"/>
            <w:noWrap/>
            <w:hideMark/>
          </w:tcPr>
          <w:p w:rsidR="00D24CAF" w:rsidRPr="00CF3673" w:rsidRDefault="00D24CAF" w:rsidP="00D24CAF">
            <w:pPr>
              <w:jc w:val="center"/>
              <w:rPr>
                <w:sz w:val="19"/>
                <w:szCs w:val="19"/>
              </w:rPr>
            </w:pPr>
            <w:r w:rsidRPr="00CF3673">
              <w:rPr>
                <w:sz w:val="19"/>
                <w:szCs w:val="19"/>
              </w:rPr>
              <w:t>11.4</w:t>
            </w:r>
          </w:p>
        </w:tc>
        <w:tc>
          <w:tcPr>
            <w:tcW w:w="1158" w:type="dxa"/>
            <w:noWrap/>
            <w:hideMark/>
          </w:tcPr>
          <w:p w:rsidR="00D24CAF" w:rsidRPr="00CF3673" w:rsidRDefault="00D24CAF" w:rsidP="00D24CAF">
            <w:pPr>
              <w:jc w:val="center"/>
              <w:rPr>
                <w:sz w:val="19"/>
                <w:szCs w:val="19"/>
              </w:rPr>
            </w:pPr>
            <w:r w:rsidRPr="00CF3673">
              <w:rPr>
                <w:sz w:val="19"/>
                <w:szCs w:val="19"/>
              </w:rPr>
              <w:t>35</w:t>
            </w:r>
          </w:p>
        </w:tc>
      </w:tr>
      <w:tr w:rsidR="00D24CAF" w:rsidRPr="00CF3673" w:rsidTr="00356A0A">
        <w:trPr>
          <w:trHeight w:val="300"/>
          <w:jc w:val="center"/>
        </w:trPr>
        <w:tc>
          <w:tcPr>
            <w:tcW w:w="953" w:type="dxa"/>
            <w:noWrap/>
            <w:hideMark/>
          </w:tcPr>
          <w:p w:rsidR="00D24CAF" w:rsidRPr="00CF3673" w:rsidRDefault="00D24CAF" w:rsidP="007511FA">
            <w:pPr>
              <w:rPr>
                <w:rFonts w:ascii="Calibri" w:eastAsia="Times New Roman" w:hAnsi="Calibri" w:cs="Times New Roman"/>
                <w:sz w:val="19"/>
                <w:szCs w:val="19"/>
                <w:lang w:eastAsia="zh-CN"/>
              </w:rPr>
            </w:pPr>
            <w:proofErr w:type="spellStart"/>
            <w:r w:rsidRPr="00CF3673">
              <w:rPr>
                <w:rFonts w:ascii="Calibri" w:eastAsia="Times New Roman" w:hAnsi="Calibri" w:cs="Times New Roman"/>
                <w:sz w:val="19"/>
                <w:szCs w:val="19"/>
                <w:lang w:eastAsia="zh-CN"/>
              </w:rPr>
              <w:t>Moatize</w:t>
            </w:r>
            <w:proofErr w:type="spellEnd"/>
          </w:p>
        </w:tc>
        <w:tc>
          <w:tcPr>
            <w:tcW w:w="1007" w:type="dxa"/>
            <w:noWrap/>
            <w:hideMark/>
          </w:tcPr>
          <w:p w:rsidR="00D24CAF" w:rsidRPr="00CF3673" w:rsidRDefault="00D24CAF" w:rsidP="00D24CAF">
            <w:pPr>
              <w:jc w:val="center"/>
              <w:rPr>
                <w:sz w:val="19"/>
                <w:szCs w:val="19"/>
              </w:rPr>
            </w:pPr>
            <w:r w:rsidRPr="00CF3673">
              <w:rPr>
                <w:sz w:val="19"/>
                <w:szCs w:val="19"/>
              </w:rPr>
              <w:t>0.0</w:t>
            </w:r>
          </w:p>
        </w:tc>
        <w:tc>
          <w:tcPr>
            <w:tcW w:w="1015" w:type="dxa"/>
            <w:noWrap/>
            <w:hideMark/>
          </w:tcPr>
          <w:p w:rsidR="00D24CAF" w:rsidRPr="00CF3673" w:rsidRDefault="00D24CAF" w:rsidP="00D24CAF">
            <w:pPr>
              <w:jc w:val="center"/>
              <w:rPr>
                <w:sz w:val="19"/>
                <w:szCs w:val="19"/>
              </w:rPr>
            </w:pPr>
            <w:r w:rsidRPr="00CF3673">
              <w:rPr>
                <w:sz w:val="19"/>
                <w:szCs w:val="19"/>
              </w:rPr>
              <w:t>0.0</w:t>
            </w:r>
          </w:p>
        </w:tc>
        <w:tc>
          <w:tcPr>
            <w:tcW w:w="1412" w:type="dxa"/>
            <w:noWrap/>
            <w:hideMark/>
          </w:tcPr>
          <w:p w:rsidR="00D24CAF" w:rsidRPr="00CF3673" w:rsidRDefault="00D24CAF" w:rsidP="00D24CAF">
            <w:pPr>
              <w:jc w:val="center"/>
              <w:rPr>
                <w:sz w:val="19"/>
                <w:szCs w:val="19"/>
              </w:rPr>
            </w:pPr>
            <w:r w:rsidRPr="00CF3673">
              <w:rPr>
                <w:sz w:val="19"/>
                <w:szCs w:val="19"/>
              </w:rPr>
              <w:t>6.3</w:t>
            </w:r>
          </w:p>
        </w:tc>
        <w:tc>
          <w:tcPr>
            <w:tcW w:w="1498" w:type="dxa"/>
            <w:noWrap/>
            <w:hideMark/>
          </w:tcPr>
          <w:p w:rsidR="00D24CAF" w:rsidRPr="00CF3673" w:rsidRDefault="00D24CAF" w:rsidP="00D24CAF">
            <w:pPr>
              <w:jc w:val="center"/>
              <w:rPr>
                <w:sz w:val="19"/>
                <w:szCs w:val="19"/>
              </w:rPr>
            </w:pPr>
            <w:r w:rsidRPr="00CF3673">
              <w:rPr>
                <w:sz w:val="19"/>
                <w:szCs w:val="19"/>
              </w:rPr>
              <w:t>6.3</w:t>
            </w:r>
          </w:p>
        </w:tc>
        <w:tc>
          <w:tcPr>
            <w:tcW w:w="655" w:type="dxa"/>
            <w:noWrap/>
            <w:hideMark/>
          </w:tcPr>
          <w:p w:rsidR="00D24CAF" w:rsidRPr="00CF3673" w:rsidRDefault="00D24CAF" w:rsidP="00D24CAF">
            <w:pPr>
              <w:jc w:val="center"/>
              <w:rPr>
                <w:sz w:val="19"/>
                <w:szCs w:val="19"/>
              </w:rPr>
            </w:pPr>
            <w:r w:rsidRPr="00CF3673">
              <w:rPr>
                <w:sz w:val="19"/>
                <w:szCs w:val="19"/>
              </w:rPr>
              <w:t>6.3</w:t>
            </w:r>
          </w:p>
        </w:tc>
        <w:tc>
          <w:tcPr>
            <w:tcW w:w="1351" w:type="dxa"/>
            <w:noWrap/>
            <w:hideMark/>
          </w:tcPr>
          <w:p w:rsidR="00D24CAF" w:rsidRPr="00CF3673" w:rsidRDefault="00D24CAF" w:rsidP="00D24CAF">
            <w:pPr>
              <w:jc w:val="center"/>
              <w:rPr>
                <w:sz w:val="19"/>
                <w:szCs w:val="19"/>
              </w:rPr>
            </w:pPr>
            <w:r w:rsidRPr="00CF3673">
              <w:rPr>
                <w:sz w:val="19"/>
                <w:szCs w:val="19"/>
              </w:rPr>
              <w:t>25.0</w:t>
            </w:r>
          </w:p>
        </w:tc>
        <w:tc>
          <w:tcPr>
            <w:tcW w:w="1372" w:type="dxa"/>
            <w:noWrap/>
            <w:hideMark/>
          </w:tcPr>
          <w:p w:rsidR="00D24CAF" w:rsidRPr="00CF3673" w:rsidRDefault="00D24CAF" w:rsidP="00D24CAF">
            <w:pPr>
              <w:jc w:val="center"/>
              <w:rPr>
                <w:sz w:val="19"/>
                <w:szCs w:val="19"/>
              </w:rPr>
            </w:pPr>
            <w:r w:rsidRPr="00CF3673">
              <w:rPr>
                <w:sz w:val="19"/>
                <w:szCs w:val="19"/>
              </w:rPr>
              <w:t>0.0</w:t>
            </w:r>
          </w:p>
        </w:tc>
        <w:tc>
          <w:tcPr>
            <w:tcW w:w="1158" w:type="dxa"/>
            <w:noWrap/>
            <w:hideMark/>
          </w:tcPr>
          <w:p w:rsidR="00D24CAF" w:rsidRPr="00CF3673" w:rsidRDefault="00D24CAF" w:rsidP="00D24CAF">
            <w:pPr>
              <w:jc w:val="center"/>
              <w:rPr>
                <w:sz w:val="19"/>
                <w:szCs w:val="19"/>
              </w:rPr>
            </w:pPr>
            <w:r w:rsidRPr="00CF3673">
              <w:rPr>
                <w:sz w:val="19"/>
                <w:szCs w:val="19"/>
              </w:rPr>
              <w:t>16</w:t>
            </w:r>
          </w:p>
        </w:tc>
      </w:tr>
      <w:tr w:rsidR="00D24CAF" w:rsidRPr="00CF3673" w:rsidTr="00356A0A">
        <w:trPr>
          <w:trHeight w:val="300"/>
          <w:jc w:val="center"/>
        </w:trPr>
        <w:tc>
          <w:tcPr>
            <w:tcW w:w="953" w:type="dxa"/>
            <w:noWrap/>
            <w:hideMark/>
          </w:tcPr>
          <w:p w:rsidR="00D24CAF" w:rsidRPr="00CF3673" w:rsidRDefault="00D24CAF" w:rsidP="007511FA">
            <w:pPr>
              <w:rPr>
                <w:rFonts w:ascii="Calibri" w:eastAsia="Times New Roman" w:hAnsi="Calibri" w:cs="Times New Roman"/>
                <w:sz w:val="19"/>
                <w:szCs w:val="19"/>
                <w:lang w:eastAsia="zh-CN"/>
              </w:rPr>
            </w:pPr>
            <w:proofErr w:type="spellStart"/>
            <w:r w:rsidRPr="00CF3673">
              <w:rPr>
                <w:rFonts w:ascii="Calibri" w:eastAsia="Times New Roman" w:hAnsi="Calibri" w:cs="Times New Roman"/>
                <w:sz w:val="19"/>
                <w:szCs w:val="19"/>
                <w:lang w:eastAsia="zh-CN"/>
              </w:rPr>
              <w:t>Xai-Xai</w:t>
            </w:r>
            <w:proofErr w:type="spellEnd"/>
          </w:p>
        </w:tc>
        <w:tc>
          <w:tcPr>
            <w:tcW w:w="1007" w:type="dxa"/>
            <w:noWrap/>
            <w:hideMark/>
          </w:tcPr>
          <w:p w:rsidR="00D24CAF" w:rsidRPr="00CF3673" w:rsidRDefault="00D24CAF" w:rsidP="00D24CAF">
            <w:pPr>
              <w:jc w:val="center"/>
              <w:rPr>
                <w:sz w:val="19"/>
                <w:szCs w:val="19"/>
              </w:rPr>
            </w:pPr>
            <w:r w:rsidRPr="00CF3673">
              <w:rPr>
                <w:sz w:val="19"/>
                <w:szCs w:val="19"/>
              </w:rPr>
              <w:t>4.7</w:t>
            </w:r>
          </w:p>
        </w:tc>
        <w:tc>
          <w:tcPr>
            <w:tcW w:w="1015" w:type="dxa"/>
            <w:noWrap/>
            <w:hideMark/>
          </w:tcPr>
          <w:p w:rsidR="00D24CAF" w:rsidRPr="00CF3673" w:rsidRDefault="00D24CAF" w:rsidP="00D24CAF">
            <w:pPr>
              <w:jc w:val="center"/>
              <w:rPr>
                <w:sz w:val="19"/>
                <w:szCs w:val="19"/>
              </w:rPr>
            </w:pPr>
            <w:r w:rsidRPr="00CF3673">
              <w:rPr>
                <w:sz w:val="19"/>
                <w:szCs w:val="19"/>
              </w:rPr>
              <w:t>11.6</w:t>
            </w:r>
          </w:p>
        </w:tc>
        <w:tc>
          <w:tcPr>
            <w:tcW w:w="1412" w:type="dxa"/>
            <w:noWrap/>
            <w:hideMark/>
          </w:tcPr>
          <w:p w:rsidR="00D24CAF" w:rsidRPr="00CF3673" w:rsidRDefault="00D24CAF" w:rsidP="00D24CAF">
            <w:pPr>
              <w:jc w:val="center"/>
              <w:rPr>
                <w:sz w:val="19"/>
                <w:szCs w:val="19"/>
              </w:rPr>
            </w:pPr>
            <w:r w:rsidRPr="00CF3673">
              <w:rPr>
                <w:sz w:val="19"/>
                <w:szCs w:val="19"/>
              </w:rPr>
              <w:t>0.0</w:t>
            </w:r>
          </w:p>
        </w:tc>
        <w:tc>
          <w:tcPr>
            <w:tcW w:w="1498" w:type="dxa"/>
            <w:noWrap/>
            <w:hideMark/>
          </w:tcPr>
          <w:p w:rsidR="00D24CAF" w:rsidRPr="00CF3673" w:rsidRDefault="00D24CAF" w:rsidP="00D24CAF">
            <w:pPr>
              <w:jc w:val="center"/>
              <w:rPr>
                <w:sz w:val="19"/>
                <w:szCs w:val="19"/>
              </w:rPr>
            </w:pPr>
            <w:r w:rsidRPr="00CF3673">
              <w:rPr>
                <w:sz w:val="19"/>
                <w:szCs w:val="19"/>
              </w:rPr>
              <w:t>23.3</w:t>
            </w:r>
          </w:p>
        </w:tc>
        <w:tc>
          <w:tcPr>
            <w:tcW w:w="655" w:type="dxa"/>
            <w:noWrap/>
            <w:hideMark/>
          </w:tcPr>
          <w:p w:rsidR="00D24CAF" w:rsidRPr="00CF3673" w:rsidRDefault="00D24CAF" w:rsidP="00D24CAF">
            <w:pPr>
              <w:jc w:val="center"/>
              <w:rPr>
                <w:sz w:val="19"/>
                <w:szCs w:val="19"/>
              </w:rPr>
            </w:pPr>
            <w:r w:rsidRPr="00CF3673">
              <w:rPr>
                <w:sz w:val="19"/>
                <w:szCs w:val="19"/>
              </w:rPr>
              <w:t>9.3</w:t>
            </w:r>
          </w:p>
        </w:tc>
        <w:tc>
          <w:tcPr>
            <w:tcW w:w="1351" w:type="dxa"/>
            <w:noWrap/>
            <w:hideMark/>
          </w:tcPr>
          <w:p w:rsidR="00D24CAF" w:rsidRPr="00CF3673" w:rsidRDefault="00D24CAF" w:rsidP="00D24CAF">
            <w:pPr>
              <w:jc w:val="center"/>
              <w:rPr>
                <w:sz w:val="19"/>
                <w:szCs w:val="19"/>
              </w:rPr>
            </w:pPr>
            <w:r w:rsidRPr="00CF3673">
              <w:rPr>
                <w:sz w:val="19"/>
                <w:szCs w:val="19"/>
              </w:rPr>
              <w:t>48.8</w:t>
            </w:r>
          </w:p>
        </w:tc>
        <w:tc>
          <w:tcPr>
            <w:tcW w:w="1372" w:type="dxa"/>
            <w:noWrap/>
            <w:hideMark/>
          </w:tcPr>
          <w:p w:rsidR="00D24CAF" w:rsidRPr="00CF3673" w:rsidRDefault="00D24CAF" w:rsidP="00D24CAF">
            <w:pPr>
              <w:jc w:val="center"/>
              <w:rPr>
                <w:sz w:val="19"/>
                <w:szCs w:val="19"/>
              </w:rPr>
            </w:pPr>
            <w:r w:rsidRPr="00CF3673">
              <w:rPr>
                <w:sz w:val="19"/>
                <w:szCs w:val="19"/>
              </w:rPr>
              <w:t>30.2</w:t>
            </w:r>
          </w:p>
        </w:tc>
        <w:tc>
          <w:tcPr>
            <w:tcW w:w="1158" w:type="dxa"/>
            <w:noWrap/>
            <w:hideMark/>
          </w:tcPr>
          <w:p w:rsidR="00D24CAF" w:rsidRPr="00CF3673" w:rsidRDefault="00D24CAF" w:rsidP="00D24CAF">
            <w:pPr>
              <w:jc w:val="center"/>
              <w:rPr>
                <w:sz w:val="19"/>
                <w:szCs w:val="19"/>
              </w:rPr>
            </w:pPr>
            <w:r w:rsidRPr="00CF3673">
              <w:rPr>
                <w:sz w:val="19"/>
                <w:szCs w:val="19"/>
              </w:rPr>
              <w:t>43</w:t>
            </w:r>
          </w:p>
        </w:tc>
      </w:tr>
      <w:tr w:rsidR="00D24CAF" w:rsidRPr="00CF3673" w:rsidTr="00356A0A">
        <w:trPr>
          <w:trHeight w:val="300"/>
          <w:jc w:val="center"/>
        </w:trPr>
        <w:tc>
          <w:tcPr>
            <w:tcW w:w="953" w:type="dxa"/>
            <w:tcBorders>
              <w:bottom w:val="double" w:sz="4" w:space="0" w:color="auto"/>
            </w:tcBorders>
            <w:noWrap/>
            <w:hideMark/>
          </w:tcPr>
          <w:p w:rsidR="00D24CAF" w:rsidRPr="00CF3673" w:rsidRDefault="00761AD0" w:rsidP="007511FA">
            <w:pPr>
              <w:rPr>
                <w:rFonts w:ascii="Calibri" w:eastAsia="Times New Roman" w:hAnsi="Calibri" w:cs="Times New Roman"/>
                <w:sz w:val="19"/>
                <w:szCs w:val="19"/>
                <w:lang w:eastAsia="zh-CN"/>
              </w:rPr>
            </w:pPr>
            <w:proofErr w:type="spellStart"/>
            <w:r w:rsidRPr="00CF3673">
              <w:rPr>
                <w:rFonts w:ascii="Calibri" w:eastAsia="Times New Roman" w:hAnsi="Calibri" w:cs="Times New Roman"/>
                <w:sz w:val="19"/>
                <w:szCs w:val="19"/>
                <w:lang w:eastAsia="zh-CN"/>
              </w:rPr>
              <w:t>Chókwe</w:t>
            </w:r>
            <w:proofErr w:type="spellEnd"/>
          </w:p>
        </w:tc>
        <w:tc>
          <w:tcPr>
            <w:tcW w:w="1007" w:type="dxa"/>
            <w:tcBorders>
              <w:bottom w:val="double" w:sz="4" w:space="0" w:color="auto"/>
            </w:tcBorders>
            <w:noWrap/>
            <w:hideMark/>
          </w:tcPr>
          <w:p w:rsidR="00D24CAF" w:rsidRPr="00CF3673" w:rsidRDefault="00D24CAF" w:rsidP="00D24CAF">
            <w:pPr>
              <w:jc w:val="center"/>
              <w:rPr>
                <w:sz w:val="19"/>
                <w:szCs w:val="19"/>
              </w:rPr>
            </w:pPr>
            <w:r w:rsidRPr="00CF3673">
              <w:rPr>
                <w:sz w:val="19"/>
                <w:szCs w:val="19"/>
              </w:rPr>
              <w:t>10.3</w:t>
            </w:r>
          </w:p>
        </w:tc>
        <w:tc>
          <w:tcPr>
            <w:tcW w:w="1015" w:type="dxa"/>
            <w:tcBorders>
              <w:bottom w:val="double" w:sz="4" w:space="0" w:color="auto"/>
            </w:tcBorders>
            <w:noWrap/>
            <w:hideMark/>
          </w:tcPr>
          <w:p w:rsidR="00D24CAF" w:rsidRPr="00CF3673" w:rsidRDefault="00D24CAF" w:rsidP="00D24CAF">
            <w:pPr>
              <w:jc w:val="center"/>
              <w:rPr>
                <w:sz w:val="19"/>
                <w:szCs w:val="19"/>
              </w:rPr>
            </w:pPr>
            <w:r w:rsidRPr="00CF3673">
              <w:rPr>
                <w:sz w:val="19"/>
                <w:szCs w:val="19"/>
              </w:rPr>
              <w:t>13.8</w:t>
            </w:r>
          </w:p>
        </w:tc>
        <w:tc>
          <w:tcPr>
            <w:tcW w:w="1412" w:type="dxa"/>
            <w:tcBorders>
              <w:bottom w:val="double" w:sz="4" w:space="0" w:color="auto"/>
            </w:tcBorders>
            <w:noWrap/>
            <w:hideMark/>
          </w:tcPr>
          <w:p w:rsidR="00D24CAF" w:rsidRPr="00CF3673" w:rsidRDefault="00D24CAF" w:rsidP="00D24CAF">
            <w:pPr>
              <w:jc w:val="center"/>
              <w:rPr>
                <w:sz w:val="19"/>
                <w:szCs w:val="19"/>
              </w:rPr>
            </w:pPr>
            <w:r w:rsidRPr="00CF3673">
              <w:rPr>
                <w:sz w:val="19"/>
                <w:szCs w:val="19"/>
              </w:rPr>
              <w:t>0.0</w:t>
            </w:r>
          </w:p>
        </w:tc>
        <w:tc>
          <w:tcPr>
            <w:tcW w:w="1498" w:type="dxa"/>
            <w:tcBorders>
              <w:bottom w:val="double" w:sz="4" w:space="0" w:color="auto"/>
            </w:tcBorders>
            <w:noWrap/>
            <w:hideMark/>
          </w:tcPr>
          <w:p w:rsidR="00D24CAF" w:rsidRPr="00CF3673" w:rsidRDefault="00D24CAF" w:rsidP="00D24CAF">
            <w:pPr>
              <w:jc w:val="center"/>
              <w:rPr>
                <w:sz w:val="19"/>
                <w:szCs w:val="19"/>
              </w:rPr>
            </w:pPr>
            <w:r w:rsidRPr="00CF3673">
              <w:rPr>
                <w:sz w:val="19"/>
                <w:szCs w:val="19"/>
              </w:rPr>
              <w:t>13.8</w:t>
            </w:r>
          </w:p>
        </w:tc>
        <w:tc>
          <w:tcPr>
            <w:tcW w:w="655" w:type="dxa"/>
            <w:tcBorders>
              <w:bottom w:val="double" w:sz="4" w:space="0" w:color="auto"/>
            </w:tcBorders>
            <w:noWrap/>
            <w:hideMark/>
          </w:tcPr>
          <w:p w:rsidR="00D24CAF" w:rsidRPr="00CF3673" w:rsidRDefault="00D24CAF" w:rsidP="00D24CAF">
            <w:pPr>
              <w:jc w:val="center"/>
              <w:rPr>
                <w:sz w:val="19"/>
                <w:szCs w:val="19"/>
              </w:rPr>
            </w:pPr>
            <w:r w:rsidRPr="00CF3673">
              <w:rPr>
                <w:sz w:val="19"/>
                <w:szCs w:val="19"/>
              </w:rPr>
              <w:t>3.4</w:t>
            </w:r>
          </w:p>
        </w:tc>
        <w:tc>
          <w:tcPr>
            <w:tcW w:w="1351" w:type="dxa"/>
            <w:tcBorders>
              <w:bottom w:val="double" w:sz="4" w:space="0" w:color="auto"/>
            </w:tcBorders>
            <w:noWrap/>
            <w:hideMark/>
          </w:tcPr>
          <w:p w:rsidR="00D24CAF" w:rsidRPr="00CF3673" w:rsidRDefault="00D24CAF" w:rsidP="00D24CAF">
            <w:pPr>
              <w:jc w:val="center"/>
              <w:rPr>
                <w:sz w:val="19"/>
                <w:szCs w:val="19"/>
              </w:rPr>
            </w:pPr>
            <w:r w:rsidRPr="00CF3673">
              <w:rPr>
                <w:sz w:val="19"/>
                <w:szCs w:val="19"/>
              </w:rPr>
              <w:t>27.6</w:t>
            </w:r>
          </w:p>
        </w:tc>
        <w:tc>
          <w:tcPr>
            <w:tcW w:w="1372" w:type="dxa"/>
            <w:tcBorders>
              <w:bottom w:val="double" w:sz="4" w:space="0" w:color="auto"/>
            </w:tcBorders>
            <w:noWrap/>
            <w:hideMark/>
          </w:tcPr>
          <w:p w:rsidR="00D24CAF" w:rsidRPr="00CF3673" w:rsidRDefault="00D24CAF" w:rsidP="00D24CAF">
            <w:pPr>
              <w:jc w:val="center"/>
              <w:rPr>
                <w:sz w:val="19"/>
                <w:szCs w:val="19"/>
              </w:rPr>
            </w:pPr>
            <w:r w:rsidRPr="00CF3673">
              <w:rPr>
                <w:sz w:val="19"/>
                <w:szCs w:val="19"/>
              </w:rPr>
              <w:t>24.1</w:t>
            </w:r>
          </w:p>
        </w:tc>
        <w:tc>
          <w:tcPr>
            <w:tcW w:w="1158" w:type="dxa"/>
            <w:tcBorders>
              <w:bottom w:val="double" w:sz="4" w:space="0" w:color="auto"/>
            </w:tcBorders>
            <w:noWrap/>
            <w:hideMark/>
          </w:tcPr>
          <w:p w:rsidR="00D24CAF" w:rsidRPr="00CF3673" w:rsidRDefault="00D24CAF" w:rsidP="00D24CAF">
            <w:pPr>
              <w:jc w:val="center"/>
              <w:rPr>
                <w:sz w:val="19"/>
                <w:szCs w:val="19"/>
              </w:rPr>
            </w:pPr>
            <w:r w:rsidRPr="00CF3673">
              <w:rPr>
                <w:sz w:val="19"/>
                <w:szCs w:val="19"/>
              </w:rPr>
              <w:t>29</w:t>
            </w:r>
          </w:p>
        </w:tc>
      </w:tr>
      <w:tr w:rsidR="00D24CAF" w:rsidRPr="00CF3673" w:rsidTr="00356A0A">
        <w:trPr>
          <w:trHeight w:val="300"/>
          <w:jc w:val="center"/>
        </w:trPr>
        <w:tc>
          <w:tcPr>
            <w:tcW w:w="10421" w:type="dxa"/>
            <w:gridSpan w:val="9"/>
            <w:tcBorders>
              <w:top w:val="double" w:sz="4" w:space="0" w:color="auto"/>
              <w:bottom w:val="nil"/>
            </w:tcBorders>
            <w:noWrap/>
          </w:tcPr>
          <w:p w:rsidR="00D24CAF" w:rsidRPr="00CF3673" w:rsidRDefault="00D24CAF" w:rsidP="00346C5C">
            <w:pPr>
              <w:pStyle w:val="Tablenote"/>
              <w:rPr>
                <w:b/>
                <w:szCs w:val="19"/>
                <w:lang w:val="pt-PT"/>
              </w:rPr>
            </w:pPr>
            <w:r w:rsidRPr="00CF3673">
              <w:rPr>
                <w:b/>
                <w:szCs w:val="19"/>
                <w:lang w:val="pt-PT"/>
              </w:rPr>
              <w:t>Not</w:t>
            </w:r>
            <w:r w:rsidR="00346C5C" w:rsidRPr="00CF3673">
              <w:rPr>
                <w:b/>
                <w:szCs w:val="19"/>
                <w:lang w:val="pt-PT"/>
              </w:rPr>
              <w:t>a</w:t>
            </w:r>
            <w:r w:rsidRPr="00CF3673">
              <w:rPr>
                <w:b/>
                <w:szCs w:val="19"/>
                <w:lang w:val="pt-PT"/>
              </w:rPr>
              <w:t>:</w:t>
            </w:r>
            <w:r w:rsidRPr="00CF3673">
              <w:rPr>
                <w:szCs w:val="19"/>
                <w:lang w:val="pt-PT"/>
              </w:rPr>
              <w:t xml:space="preserve"> 32</w:t>
            </w:r>
            <w:r w:rsidR="00346C5C" w:rsidRPr="00CF3673">
              <w:rPr>
                <w:szCs w:val="19"/>
                <w:lang w:val="pt-PT"/>
              </w:rPr>
              <w:t xml:space="preserve"> observações em falta</w:t>
            </w:r>
          </w:p>
        </w:tc>
      </w:tr>
      <w:tr w:rsidR="00D24CAF" w:rsidRPr="00CF3673" w:rsidTr="00356A0A">
        <w:trPr>
          <w:trHeight w:val="300"/>
          <w:jc w:val="center"/>
        </w:trPr>
        <w:tc>
          <w:tcPr>
            <w:tcW w:w="10421" w:type="dxa"/>
            <w:gridSpan w:val="9"/>
            <w:tcBorders>
              <w:top w:val="nil"/>
              <w:bottom w:val="nil"/>
            </w:tcBorders>
            <w:noWrap/>
          </w:tcPr>
          <w:p w:rsidR="00D24CAF" w:rsidRPr="00CF3673" w:rsidRDefault="00346C5C" w:rsidP="00346C5C">
            <w:pPr>
              <w:pStyle w:val="Tablenote"/>
              <w:rPr>
                <w:b/>
                <w:szCs w:val="19"/>
                <w:lang w:val="pt-PT"/>
              </w:rPr>
            </w:pPr>
            <w:r w:rsidRPr="00CF3673">
              <w:rPr>
                <w:b/>
                <w:szCs w:val="19"/>
                <w:lang w:val="pt-PT"/>
              </w:rPr>
              <w:t>Fonte</w:t>
            </w:r>
            <w:r w:rsidR="00D24CAF" w:rsidRPr="00CF3673">
              <w:rPr>
                <w:b/>
                <w:szCs w:val="19"/>
                <w:lang w:val="pt-PT"/>
              </w:rPr>
              <w:t>:</w:t>
            </w:r>
            <w:r w:rsidR="00D24CAF" w:rsidRPr="00CF3673">
              <w:rPr>
                <w:szCs w:val="19"/>
                <w:lang w:val="pt-PT"/>
              </w:rPr>
              <w:t xml:space="preserve"> </w:t>
            </w:r>
            <w:r w:rsidR="002A5127" w:rsidRPr="00CF3673">
              <w:rPr>
                <w:szCs w:val="19"/>
                <w:lang w:val="pt-PT"/>
              </w:rPr>
              <w:t>cálculos dos autores</w:t>
            </w:r>
            <w:r w:rsidRPr="00CF3673">
              <w:rPr>
                <w:szCs w:val="19"/>
                <w:lang w:val="pt-PT"/>
              </w:rPr>
              <w:t xml:space="preserve"> com base no </w:t>
            </w:r>
            <w:r w:rsidR="00D24CAF" w:rsidRPr="00CF3673">
              <w:rPr>
                <w:szCs w:val="19"/>
                <w:lang w:val="pt-PT"/>
              </w:rPr>
              <w:t>IIM 2012.</w:t>
            </w:r>
          </w:p>
        </w:tc>
      </w:tr>
    </w:tbl>
    <w:p w:rsidR="00CE173B" w:rsidRPr="00CF3673" w:rsidRDefault="00CE173B" w:rsidP="001E664B">
      <w:pPr>
        <w:pStyle w:val="MainText"/>
        <w:rPr>
          <w:lang w:val="pt-PT"/>
        </w:rPr>
      </w:pPr>
    </w:p>
    <w:p w:rsidR="00446B56" w:rsidRPr="00CF3673" w:rsidRDefault="00446B56" w:rsidP="001E664B">
      <w:pPr>
        <w:pStyle w:val="MainText"/>
        <w:rPr>
          <w:lang w:val="pt-PT"/>
        </w:rPr>
      </w:pPr>
      <w:r w:rsidRPr="00CF3673">
        <w:rPr>
          <w:lang w:val="pt-PT"/>
        </w:rPr>
        <w:t xml:space="preserve">Constatando que apenas 14% das empresas na amostra tem </w:t>
      </w:r>
      <w:r w:rsidR="00761AD0" w:rsidRPr="00CF3673">
        <w:rPr>
          <w:lang w:val="pt-PT"/>
        </w:rPr>
        <w:t>empréstimo</w:t>
      </w:r>
      <w:r w:rsidRPr="00CF3673">
        <w:rPr>
          <w:lang w:val="pt-PT"/>
        </w:rPr>
        <w:t xml:space="preserve"> bancário e apenas 9% tem facilidade de descoberto, torna-se aparente que as empresas manufactureiras ainda têm acesso limitado ao Mercado formal de crédito. Dado que o mercado formal de crédito não está difundido (apenas 4% das empresas têm credito bancário), torna-se ainda importante analisar os constrangimentos das empresas manufactureiras moçambicanas no acesso ao crédito, que será o tópico da próxima secção. </w:t>
      </w:r>
    </w:p>
    <w:p w:rsidR="00D471CB" w:rsidRPr="00CF3673" w:rsidRDefault="00446B56" w:rsidP="00EA5BC0">
      <w:pPr>
        <w:pStyle w:val="MainText"/>
        <w:rPr>
          <w:lang w:val="pt-PT"/>
        </w:rPr>
      </w:pPr>
      <w:r w:rsidRPr="00CF3673">
        <w:rPr>
          <w:lang w:val="pt-PT"/>
        </w:rPr>
        <w:lastRenderedPageBreak/>
        <w:t xml:space="preserve">Considerando os desenvolvimentos no acesso ao Mercado financeiro de 2006 a 2011 na tabela 9.4, parece haver um aumento modesto no uso </w:t>
      </w:r>
      <w:r w:rsidR="009E45DA" w:rsidRPr="00CF3673">
        <w:rPr>
          <w:lang w:val="pt-PT"/>
        </w:rPr>
        <w:t xml:space="preserve">no uso dos instrumentos financeiros. Todas as categorias das empresas, excepto as pequenas empresas aumentaram o uso do descoberto e todas as categorias das empresas excepto no sector informal aumentaram o uso de empréstimos bancários. </w:t>
      </w:r>
      <w:r w:rsidRPr="00CF3673">
        <w:rPr>
          <w:lang w:val="pt-PT"/>
        </w:rPr>
        <w:t xml:space="preserve"> </w:t>
      </w:r>
      <w:r w:rsidR="009E45DA" w:rsidRPr="00CF3673">
        <w:rPr>
          <w:lang w:val="pt-PT"/>
        </w:rPr>
        <w:t>Por outro lado, todas as categorias de empresas exceptuando as médias empresas usaram menos as auditorias externas em 2012. O aumento no uso dos instrumentos financeiros não esta confinada a capital- empresas na Beira e Nampula estão também a utilizar, igualmente, os serviços de descoberto e empréstimos bancários mais em 2012 do que em 2006. Esta constatação é consistente com a expansão geográfica da cobertura dos Bancos em Moçambique durante os últimos cinco anos.</w:t>
      </w:r>
      <w:r w:rsidR="009E45DA" w:rsidRPr="00CF3673">
        <w:rPr>
          <w:rStyle w:val="FootnoteReference"/>
          <w:lang w:val="pt-PT"/>
        </w:rPr>
        <w:footnoteReference w:id="40"/>
      </w:r>
      <w:r w:rsidR="009E45DA" w:rsidRPr="00CF3673">
        <w:rPr>
          <w:lang w:val="pt-PT"/>
        </w:rPr>
        <w:t xml:space="preserve"> Duma maneira geral, o acesso aos mercados financeiros </w:t>
      </w:r>
      <w:r w:rsidR="00D471CB" w:rsidRPr="00CF3673">
        <w:rPr>
          <w:lang w:val="pt-PT"/>
        </w:rPr>
        <w:t>parece estar a melhorar duma base reduzida</w:t>
      </w:r>
    </w:p>
    <w:p w:rsidR="00320859" w:rsidRPr="00CF3673" w:rsidRDefault="00E333A2" w:rsidP="00461403">
      <w:pPr>
        <w:pStyle w:val="TableTitle"/>
        <w:rPr>
          <w:lang w:val="pt-PT"/>
        </w:rPr>
      </w:pPr>
      <w:bookmarkStart w:id="78" w:name="_Toc360720497"/>
      <w:r w:rsidRPr="00CF3673">
        <w:rPr>
          <w:lang w:val="pt-PT"/>
        </w:rPr>
        <w:t>Tab</w:t>
      </w:r>
      <w:r w:rsidR="001F4E2F" w:rsidRPr="00CF3673">
        <w:rPr>
          <w:lang w:val="pt-PT"/>
        </w:rPr>
        <w:t>ela</w:t>
      </w:r>
      <w:r w:rsidR="0021241F" w:rsidRPr="00CF3673">
        <w:rPr>
          <w:lang w:val="pt-PT"/>
        </w:rPr>
        <w:t xml:space="preserve"> </w:t>
      </w:r>
      <w:r w:rsidR="006102AC" w:rsidRPr="00CF3673">
        <w:rPr>
          <w:lang w:val="pt-PT"/>
        </w:rPr>
        <w:t>9</w:t>
      </w:r>
      <w:r w:rsidR="0021241F" w:rsidRPr="00CF3673">
        <w:rPr>
          <w:lang w:val="pt-PT"/>
        </w:rPr>
        <w:t>.</w:t>
      </w:r>
      <w:r w:rsidR="00D24CAF" w:rsidRPr="00CF3673">
        <w:rPr>
          <w:lang w:val="pt-PT"/>
        </w:rPr>
        <w:t>2</w:t>
      </w:r>
      <w:r w:rsidR="00FC006B" w:rsidRPr="00CF3673">
        <w:rPr>
          <w:lang w:val="pt-PT"/>
        </w:rPr>
        <w:t xml:space="preserve">: </w:t>
      </w:r>
      <w:r w:rsidR="00C91C42" w:rsidRPr="00CF3673">
        <w:rPr>
          <w:lang w:val="pt-PT"/>
        </w:rPr>
        <w:t>Us</w:t>
      </w:r>
      <w:r w:rsidR="001F4E2F" w:rsidRPr="00CF3673">
        <w:rPr>
          <w:lang w:val="pt-PT"/>
        </w:rPr>
        <w:t>o</w:t>
      </w:r>
      <w:r w:rsidR="00C91C42" w:rsidRPr="00CF3673">
        <w:rPr>
          <w:lang w:val="pt-PT"/>
        </w:rPr>
        <w:t xml:space="preserve"> </w:t>
      </w:r>
      <w:r w:rsidR="001F4E2F" w:rsidRPr="00CF3673">
        <w:rPr>
          <w:lang w:val="pt-PT"/>
        </w:rPr>
        <w:t xml:space="preserve">de instrumentos </w:t>
      </w:r>
      <w:r w:rsidR="00C91C42" w:rsidRPr="00CF3673">
        <w:rPr>
          <w:lang w:val="pt-PT"/>
        </w:rPr>
        <w:t>financ</w:t>
      </w:r>
      <w:r w:rsidR="001F4E2F" w:rsidRPr="00CF3673">
        <w:rPr>
          <w:lang w:val="pt-PT"/>
        </w:rPr>
        <w:t>eiros</w:t>
      </w:r>
      <w:r w:rsidR="00C91C42" w:rsidRPr="00CF3673">
        <w:rPr>
          <w:lang w:val="pt-PT"/>
        </w:rPr>
        <w:t xml:space="preserve"> 2006-2011 </w:t>
      </w:r>
      <w:r w:rsidR="001F4E2F" w:rsidRPr="00CF3673">
        <w:rPr>
          <w:lang w:val="pt-PT"/>
        </w:rPr>
        <w:t>por tipo de empresa</w:t>
      </w:r>
      <w:r w:rsidR="00C91C42" w:rsidRPr="00CF3673">
        <w:rPr>
          <w:lang w:val="pt-PT"/>
        </w:rPr>
        <w:t>,</w:t>
      </w:r>
      <w:r w:rsidR="001F4E2F" w:rsidRPr="00CF3673">
        <w:rPr>
          <w:lang w:val="pt-PT"/>
        </w:rPr>
        <w:t>%</w:t>
      </w:r>
      <w:r w:rsidR="00C91C42" w:rsidRPr="00CF3673">
        <w:rPr>
          <w:lang w:val="pt-PT"/>
        </w:rPr>
        <w:t>.</w:t>
      </w:r>
      <w:bookmarkEnd w:id="78"/>
    </w:p>
    <w:tbl>
      <w:tblPr>
        <w:tblStyle w:val="StandardTable"/>
        <w:tblW w:w="0" w:type="auto"/>
        <w:jc w:val="center"/>
        <w:tblLayout w:type="fixed"/>
        <w:tblLook w:val="04A0" w:firstRow="1" w:lastRow="0" w:firstColumn="1" w:lastColumn="0" w:noHBand="0" w:noVBand="1"/>
      </w:tblPr>
      <w:tblGrid>
        <w:gridCol w:w="1253"/>
        <w:gridCol w:w="1007"/>
        <w:gridCol w:w="1015"/>
        <w:gridCol w:w="655"/>
        <w:gridCol w:w="1007"/>
        <w:gridCol w:w="1015"/>
        <w:gridCol w:w="655"/>
        <w:gridCol w:w="1098"/>
      </w:tblGrid>
      <w:tr w:rsidR="0081751F" w:rsidRPr="00CF3673" w:rsidTr="00356A0A">
        <w:trPr>
          <w:cnfStyle w:val="100000000000" w:firstRow="1" w:lastRow="0" w:firstColumn="0" w:lastColumn="0" w:oddVBand="0" w:evenVBand="0" w:oddHBand="0" w:evenHBand="0" w:firstRowFirstColumn="0" w:firstRowLastColumn="0" w:lastRowFirstColumn="0" w:lastRowLastColumn="0"/>
          <w:trHeight w:val="300"/>
          <w:jc w:val="center"/>
        </w:trPr>
        <w:tc>
          <w:tcPr>
            <w:tcW w:w="1253" w:type="dxa"/>
            <w:tcBorders>
              <w:bottom w:val="nil"/>
            </w:tcBorders>
            <w:noWrap/>
          </w:tcPr>
          <w:p w:rsidR="0081751F" w:rsidRPr="00CF3673" w:rsidRDefault="0081751F" w:rsidP="00FC006B">
            <w:pPr>
              <w:rPr>
                <w:rFonts w:ascii="Calibri" w:eastAsia="Times New Roman" w:hAnsi="Calibri" w:cs="Times New Roman"/>
                <w:lang w:eastAsia="zh-CN"/>
              </w:rPr>
            </w:pPr>
          </w:p>
        </w:tc>
        <w:tc>
          <w:tcPr>
            <w:tcW w:w="2677" w:type="dxa"/>
            <w:gridSpan w:val="3"/>
            <w:tcBorders>
              <w:bottom w:val="nil"/>
              <w:right w:val="single" w:sz="4" w:space="0" w:color="auto"/>
            </w:tcBorders>
            <w:noWrap/>
          </w:tcPr>
          <w:p w:rsidR="0081751F" w:rsidRPr="00CF3673" w:rsidRDefault="0081751F" w:rsidP="00F37C88">
            <w:pPr>
              <w:jc w:val="center"/>
              <w:rPr>
                <w:rFonts w:ascii="Calibri" w:eastAsia="Times New Roman" w:hAnsi="Calibri" w:cs="Times New Roman"/>
                <w:lang w:eastAsia="zh-CN"/>
              </w:rPr>
            </w:pPr>
            <w:r w:rsidRPr="00CF3673">
              <w:rPr>
                <w:rFonts w:ascii="Calibri" w:eastAsia="Times New Roman" w:hAnsi="Calibri" w:cs="Times New Roman"/>
                <w:u w:val="single"/>
                <w:lang w:eastAsia="zh-CN"/>
              </w:rPr>
              <w:t>2006</w:t>
            </w:r>
          </w:p>
        </w:tc>
        <w:tc>
          <w:tcPr>
            <w:tcW w:w="2677" w:type="dxa"/>
            <w:gridSpan w:val="3"/>
            <w:tcBorders>
              <w:left w:val="single" w:sz="4" w:space="0" w:color="auto"/>
              <w:bottom w:val="nil"/>
            </w:tcBorders>
            <w:noWrap/>
          </w:tcPr>
          <w:p w:rsidR="0081751F" w:rsidRPr="00CF3673" w:rsidRDefault="0081751F" w:rsidP="00F37C88">
            <w:pPr>
              <w:jc w:val="center"/>
              <w:rPr>
                <w:rFonts w:ascii="Calibri" w:eastAsia="Times New Roman" w:hAnsi="Calibri" w:cs="Times New Roman"/>
                <w:lang w:eastAsia="zh-CN"/>
              </w:rPr>
            </w:pPr>
            <w:r w:rsidRPr="00CF3673">
              <w:rPr>
                <w:rFonts w:ascii="Calibri" w:eastAsia="Times New Roman" w:hAnsi="Calibri" w:cs="Times New Roman"/>
                <w:u w:val="single"/>
                <w:lang w:eastAsia="zh-CN"/>
              </w:rPr>
              <w:t>2012</w:t>
            </w:r>
          </w:p>
        </w:tc>
        <w:tc>
          <w:tcPr>
            <w:tcW w:w="1098" w:type="dxa"/>
            <w:tcBorders>
              <w:bottom w:val="nil"/>
            </w:tcBorders>
            <w:noWrap/>
          </w:tcPr>
          <w:p w:rsidR="0081751F" w:rsidRPr="00CF3673" w:rsidRDefault="0081751F" w:rsidP="00F37C88">
            <w:pPr>
              <w:jc w:val="center"/>
              <w:rPr>
                <w:rFonts w:ascii="Calibri" w:eastAsia="Times New Roman" w:hAnsi="Calibri" w:cs="Times New Roman"/>
                <w:lang w:eastAsia="zh-CN"/>
              </w:rPr>
            </w:pPr>
          </w:p>
        </w:tc>
      </w:tr>
      <w:tr w:rsidR="001F4E2F" w:rsidRPr="00CF3673" w:rsidTr="00356A0A">
        <w:trPr>
          <w:trHeight w:val="300"/>
          <w:jc w:val="center"/>
        </w:trPr>
        <w:tc>
          <w:tcPr>
            <w:tcW w:w="1253" w:type="dxa"/>
            <w:tcBorders>
              <w:top w:val="nil"/>
              <w:bottom w:val="single" w:sz="4" w:space="0" w:color="auto"/>
            </w:tcBorders>
            <w:noWrap/>
            <w:hideMark/>
          </w:tcPr>
          <w:p w:rsidR="001F4E2F" w:rsidRPr="00CF3673" w:rsidRDefault="001F4E2F" w:rsidP="00FC006B">
            <w:pPr>
              <w:rPr>
                <w:rFonts w:ascii="Calibri" w:eastAsia="Times New Roman" w:hAnsi="Calibri" w:cs="Times New Roman"/>
                <w:lang w:eastAsia="zh-CN"/>
              </w:rPr>
            </w:pPr>
          </w:p>
        </w:tc>
        <w:tc>
          <w:tcPr>
            <w:tcW w:w="1007" w:type="dxa"/>
            <w:tcBorders>
              <w:top w:val="nil"/>
              <w:bottom w:val="single" w:sz="4" w:space="0" w:color="auto"/>
            </w:tcBorders>
            <w:noWrap/>
            <w:hideMark/>
          </w:tcPr>
          <w:p w:rsidR="001F4E2F" w:rsidRPr="00CF3673" w:rsidRDefault="001F4E2F" w:rsidP="00F37C88">
            <w:pPr>
              <w:jc w:val="center"/>
              <w:rPr>
                <w:rFonts w:ascii="Calibri" w:eastAsia="Times New Roman" w:hAnsi="Calibri" w:cs="Times New Roman"/>
                <w:lang w:eastAsia="zh-CN"/>
              </w:rPr>
            </w:pPr>
            <w:r w:rsidRPr="00CF3673">
              <w:rPr>
                <w:rFonts w:ascii="Calibri" w:eastAsia="Times New Roman" w:hAnsi="Calibri" w:cs="Times New Roman"/>
                <w:lang w:eastAsia="zh-CN"/>
              </w:rPr>
              <w:t>Descoberto</w:t>
            </w:r>
          </w:p>
        </w:tc>
        <w:tc>
          <w:tcPr>
            <w:tcW w:w="1015" w:type="dxa"/>
            <w:tcBorders>
              <w:top w:val="nil"/>
              <w:bottom w:val="single" w:sz="4" w:space="0" w:color="auto"/>
            </w:tcBorders>
            <w:noWrap/>
            <w:hideMark/>
          </w:tcPr>
          <w:p w:rsidR="001F4E2F" w:rsidRPr="00CF3673" w:rsidRDefault="001F4E2F" w:rsidP="001F4E2F">
            <w:pPr>
              <w:jc w:val="center"/>
              <w:rPr>
                <w:rFonts w:ascii="Calibri" w:eastAsia="Times New Roman" w:hAnsi="Calibri" w:cs="Times New Roman"/>
                <w:lang w:eastAsia="zh-CN"/>
              </w:rPr>
            </w:pPr>
            <w:r w:rsidRPr="00CF3673">
              <w:rPr>
                <w:rFonts w:ascii="Calibri" w:eastAsia="Times New Roman" w:hAnsi="Calibri" w:cs="Times New Roman"/>
                <w:lang w:eastAsia="zh-CN"/>
              </w:rPr>
              <w:t xml:space="preserve">Credito </w:t>
            </w:r>
            <w:r w:rsidR="00761AD0" w:rsidRPr="00CF3673">
              <w:rPr>
                <w:rFonts w:ascii="Calibri" w:eastAsia="Times New Roman" w:hAnsi="Calibri" w:cs="Times New Roman"/>
                <w:lang w:eastAsia="zh-CN"/>
              </w:rPr>
              <w:t>bancário</w:t>
            </w:r>
          </w:p>
        </w:tc>
        <w:tc>
          <w:tcPr>
            <w:tcW w:w="655" w:type="dxa"/>
            <w:tcBorders>
              <w:top w:val="nil"/>
              <w:bottom w:val="single" w:sz="4" w:space="0" w:color="auto"/>
              <w:right w:val="single" w:sz="4" w:space="0" w:color="auto"/>
            </w:tcBorders>
            <w:noWrap/>
            <w:hideMark/>
          </w:tcPr>
          <w:p w:rsidR="001F4E2F" w:rsidRPr="00CF3673" w:rsidRDefault="001F4E2F" w:rsidP="00F37C88">
            <w:pPr>
              <w:jc w:val="center"/>
              <w:rPr>
                <w:rFonts w:ascii="Calibri" w:eastAsia="Times New Roman" w:hAnsi="Calibri" w:cs="Times New Roman"/>
                <w:lang w:eastAsia="zh-CN"/>
              </w:rPr>
            </w:pPr>
            <w:r w:rsidRPr="00CF3673">
              <w:rPr>
                <w:rFonts w:ascii="Calibri" w:eastAsia="Times New Roman" w:hAnsi="Calibri" w:cs="Times New Roman"/>
                <w:lang w:eastAsia="zh-CN"/>
              </w:rPr>
              <w:t>Auditoria</w:t>
            </w:r>
          </w:p>
        </w:tc>
        <w:tc>
          <w:tcPr>
            <w:tcW w:w="1007" w:type="dxa"/>
            <w:tcBorders>
              <w:top w:val="nil"/>
              <w:left w:val="single" w:sz="4" w:space="0" w:color="auto"/>
              <w:bottom w:val="single" w:sz="4" w:space="0" w:color="auto"/>
            </w:tcBorders>
            <w:noWrap/>
            <w:hideMark/>
          </w:tcPr>
          <w:p w:rsidR="001F4E2F" w:rsidRPr="00CF3673" w:rsidRDefault="001F4E2F" w:rsidP="004B7779">
            <w:pPr>
              <w:jc w:val="center"/>
              <w:rPr>
                <w:rFonts w:ascii="Calibri" w:eastAsia="Times New Roman" w:hAnsi="Calibri" w:cs="Times New Roman"/>
                <w:lang w:eastAsia="zh-CN"/>
              </w:rPr>
            </w:pPr>
            <w:r w:rsidRPr="00CF3673">
              <w:rPr>
                <w:rFonts w:ascii="Calibri" w:eastAsia="Times New Roman" w:hAnsi="Calibri" w:cs="Times New Roman"/>
                <w:lang w:eastAsia="zh-CN"/>
              </w:rPr>
              <w:t>Descoberto</w:t>
            </w:r>
          </w:p>
        </w:tc>
        <w:tc>
          <w:tcPr>
            <w:tcW w:w="1015" w:type="dxa"/>
            <w:tcBorders>
              <w:top w:val="nil"/>
              <w:bottom w:val="single" w:sz="4" w:space="0" w:color="auto"/>
            </w:tcBorders>
            <w:noWrap/>
            <w:hideMark/>
          </w:tcPr>
          <w:p w:rsidR="001F4E2F" w:rsidRPr="00CF3673" w:rsidRDefault="001F4E2F" w:rsidP="004B7779">
            <w:pPr>
              <w:jc w:val="center"/>
              <w:rPr>
                <w:rFonts w:ascii="Calibri" w:eastAsia="Times New Roman" w:hAnsi="Calibri" w:cs="Times New Roman"/>
                <w:lang w:eastAsia="zh-CN"/>
              </w:rPr>
            </w:pPr>
            <w:r w:rsidRPr="00CF3673">
              <w:rPr>
                <w:rFonts w:ascii="Calibri" w:eastAsia="Times New Roman" w:hAnsi="Calibri" w:cs="Times New Roman"/>
                <w:lang w:eastAsia="zh-CN"/>
              </w:rPr>
              <w:t xml:space="preserve">Credito </w:t>
            </w:r>
            <w:r w:rsidR="00761AD0" w:rsidRPr="00CF3673">
              <w:rPr>
                <w:rFonts w:ascii="Calibri" w:eastAsia="Times New Roman" w:hAnsi="Calibri" w:cs="Times New Roman"/>
                <w:lang w:eastAsia="zh-CN"/>
              </w:rPr>
              <w:t>bancário</w:t>
            </w:r>
          </w:p>
        </w:tc>
        <w:tc>
          <w:tcPr>
            <w:tcW w:w="655" w:type="dxa"/>
            <w:tcBorders>
              <w:top w:val="nil"/>
              <w:bottom w:val="single" w:sz="4" w:space="0" w:color="auto"/>
            </w:tcBorders>
            <w:noWrap/>
            <w:hideMark/>
          </w:tcPr>
          <w:p w:rsidR="001F4E2F" w:rsidRPr="00CF3673" w:rsidRDefault="001F4E2F" w:rsidP="004B7779">
            <w:pPr>
              <w:jc w:val="center"/>
              <w:rPr>
                <w:rFonts w:ascii="Calibri" w:eastAsia="Times New Roman" w:hAnsi="Calibri" w:cs="Times New Roman"/>
                <w:lang w:eastAsia="zh-CN"/>
              </w:rPr>
            </w:pPr>
            <w:r w:rsidRPr="00CF3673">
              <w:rPr>
                <w:rFonts w:ascii="Calibri" w:eastAsia="Times New Roman" w:hAnsi="Calibri" w:cs="Times New Roman"/>
                <w:lang w:eastAsia="zh-CN"/>
              </w:rPr>
              <w:t>Auditoria</w:t>
            </w:r>
          </w:p>
        </w:tc>
        <w:tc>
          <w:tcPr>
            <w:tcW w:w="1098" w:type="dxa"/>
            <w:tcBorders>
              <w:top w:val="nil"/>
              <w:bottom w:val="single" w:sz="4" w:space="0" w:color="auto"/>
            </w:tcBorders>
            <w:noWrap/>
            <w:hideMark/>
          </w:tcPr>
          <w:p w:rsidR="001F4E2F" w:rsidRPr="00CF3673" w:rsidRDefault="001F4E2F" w:rsidP="001F4E2F">
            <w:pPr>
              <w:jc w:val="center"/>
              <w:rPr>
                <w:rFonts w:ascii="Calibri" w:eastAsia="Times New Roman" w:hAnsi="Calibri" w:cs="Times New Roman"/>
                <w:lang w:eastAsia="zh-CN"/>
              </w:rPr>
            </w:pPr>
            <w:r w:rsidRPr="00CF3673">
              <w:rPr>
                <w:rFonts w:ascii="Calibri" w:eastAsia="Times New Roman" w:hAnsi="Calibri" w:cs="Times New Roman"/>
                <w:lang w:eastAsia="zh-CN"/>
              </w:rPr>
              <w:t>No. de obs.</w:t>
            </w:r>
          </w:p>
        </w:tc>
      </w:tr>
      <w:tr w:rsidR="0081751F" w:rsidRPr="00CF3673" w:rsidTr="00356A0A">
        <w:trPr>
          <w:trHeight w:val="300"/>
          <w:jc w:val="center"/>
        </w:trPr>
        <w:tc>
          <w:tcPr>
            <w:tcW w:w="1253" w:type="dxa"/>
            <w:tcBorders>
              <w:top w:val="single" w:sz="4" w:space="0" w:color="auto"/>
            </w:tcBorders>
            <w:noWrap/>
            <w:hideMark/>
          </w:tcPr>
          <w:p w:rsidR="0081751F" w:rsidRPr="00CF3673" w:rsidRDefault="00761AD0" w:rsidP="001A3B39">
            <w:pPr>
              <w:rPr>
                <w:rFonts w:ascii="Calibri" w:eastAsia="Times New Roman" w:hAnsi="Calibri" w:cs="Times New Roman"/>
                <w:lang w:eastAsia="zh-CN"/>
              </w:rPr>
            </w:pPr>
            <w:proofErr w:type="spellStart"/>
            <w:r w:rsidRPr="00CF3673">
              <w:rPr>
                <w:rFonts w:ascii="Calibri" w:eastAsia="Times New Roman" w:hAnsi="Calibri" w:cs="Times New Roman"/>
                <w:lang w:val="en-US" w:eastAsia="zh-CN"/>
              </w:rPr>
              <w:t>Todos</w:t>
            </w:r>
            <w:proofErr w:type="spellEnd"/>
          </w:p>
        </w:tc>
        <w:tc>
          <w:tcPr>
            <w:tcW w:w="1007" w:type="dxa"/>
            <w:tcBorders>
              <w:top w:val="single" w:sz="4" w:space="0" w:color="auto"/>
            </w:tcBorders>
            <w:noWrap/>
            <w:hideMark/>
          </w:tcPr>
          <w:p w:rsidR="0081751F" w:rsidRPr="00CF3673" w:rsidRDefault="0081751F" w:rsidP="00091B2F">
            <w:pPr>
              <w:jc w:val="center"/>
            </w:pPr>
            <w:r w:rsidRPr="00CF3673">
              <w:t>15.0</w:t>
            </w:r>
          </w:p>
        </w:tc>
        <w:tc>
          <w:tcPr>
            <w:tcW w:w="1015" w:type="dxa"/>
            <w:tcBorders>
              <w:top w:val="single" w:sz="4" w:space="0" w:color="auto"/>
            </w:tcBorders>
            <w:noWrap/>
            <w:hideMark/>
          </w:tcPr>
          <w:p w:rsidR="0081751F" w:rsidRPr="00CF3673" w:rsidRDefault="0081751F" w:rsidP="00091B2F">
            <w:pPr>
              <w:jc w:val="center"/>
            </w:pPr>
            <w:r w:rsidRPr="00CF3673">
              <w:t>12.8</w:t>
            </w:r>
          </w:p>
        </w:tc>
        <w:tc>
          <w:tcPr>
            <w:tcW w:w="655" w:type="dxa"/>
            <w:tcBorders>
              <w:top w:val="single" w:sz="4" w:space="0" w:color="auto"/>
              <w:right w:val="single" w:sz="4" w:space="0" w:color="auto"/>
            </w:tcBorders>
            <w:noWrap/>
            <w:hideMark/>
          </w:tcPr>
          <w:p w:rsidR="0081751F" w:rsidRPr="00CF3673" w:rsidRDefault="0081751F" w:rsidP="00091B2F">
            <w:pPr>
              <w:jc w:val="center"/>
            </w:pPr>
            <w:r w:rsidRPr="00CF3673">
              <w:t>32.2</w:t>
            </w:r>
          </w:p>
        </w:tc>
        <w:tc>
          <w:tcPr>
            <w:tcW w:w="1007" w:type="dxa"/>
            <w:tcBorders>
              <w:top w:val="single" w:sz="4" w:space="0" w:color="auto"/>
              <w:left w:val="single" w:sz="4" w:space="0" w:color="auto"/>
            </w:tcBorders>
            <w:noWrap/>
            <w:hideMark/>
          </w:tcPr>
          <w:p w:rsidR="0081751F" w:rsidRPr="00CF3673" w:rsidRDefault="0081751F" w:rsidP="00091B2F">
            <w:pPr>
              <w:jc w:val="center"/>
            </w:pPr>
            <w:r w:rsidRPr="00CF3673">
              <w:t>17.8</w:t>
            </w:r>
          </w:p>
        </w:tc>
        <w:tc>
          <w:tcPr>
            <w:tcW w:w="1015" w:type="dxa"/>
            <w:tcBorders>
              <w:top w:val="single" w:sz="4" w:space="0" w:color="auto"/>
            </w:tcBorders>
            <w:noWrap/>
            <w:hideMark/>
          </w:tcPr>
          <w:p w:rsidR="0081751F" w:rsidRPr="00CF3673" w:rsidRDefault="0081751F" w:rsidP="00091B2F">
            <w:pPr>
              <w:jc w:val="center"/>
            </w:pPr>
            <w:r w:rsidRPr="00CF3673">
              <w:t>17.8</w:t>
            </w:r>
          </w:p>
        </w:tc>
        <w:tc>
          <w:tcPr>
            <w:tcW w:w="655" w:type="dxa"/>
            <w:tcBorders>
              <w:top w:val="single" w:sz="4" w:space="0" w:color="auto"/>
            </w:tcBorders>
            <w:noWrap/>
            <w:hideMark/>
          </w:tcPr>
          <w:p w:rsidR="0081751F" w:rsidRPr="00CF3673" w:rsidRDefault="0081751F" w:rsidP="00091B2F">
            <w:pPr>
              <w:jc w:val="center"/>
            </w:pPr>
            <w:r w:rsidRPr="00CF3673">
              <w:t>28.3</w:t>
            </w:r>
          </w:p>
        </w:tc>
        <w:tc>
          <w:tcPr>
            <w:tcW w:w="1098" w:type="dxa"/>
            <w:tcBorders>
              <w:top w:val="single" w:sz="4" w:space="0" w:color="auto"/>
            </w:tcBorders>
            <w:noWrap/>
            <w:hideMark/>
          </w:tcPr>
          <w:p w:rsidR="0081751F" w:rsidRPr="00CF3673" w:rsidRDefault="0081751F" w:rsidP="00091B2F">
            <w:pPr>
              <w:jc w:val="center"/>
            </w:pPr>
            <w:r w:rsidRPr="00CF3673">
              <w:t>180</w:t>
            </w:r>
          </w:p>
        </w:tc>
      </w:tr>
      <w:tr w:rsidR="0081751F" w:rsidRPr="00CF3673" w:rsidTr="00356A0A">
        <w:trPr>
          <w:trHeight w:val="300"/>
          <w:jc w:val="center"/>
        </w:trPr>
        <w:tc>
          <w:tcPr>
            <w:tcW w:w="1253" w:type="dxa"/>
            <w:noWrap/>
            <w:hideMark/>
          </w:tcPr>
          <w:p w:rsidR="0081751F" w:rsidRPr="00CF3673" w:rsidRDefault="0081751F" w:rsidP="001A3B39">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1007" w:type="dxa"/>
            <w:noWrap/>
            <w:hideMark/>
          </w:tcPr>
          <w:p w:rsidR="0081751F" w:rsidRPr="00CF3673" w:rsidRDefault="0081751F" w:rsidP="00091B2F">
            <w:pPr>
              <w:jc w:val="center"/>
            </w:pPr>
            <w:r w:rsidRPr="00CF3673">
              <w:t>2.7</w:t>
            </w:r>
          </w:p>
        </w:tc>
        <w:tc>
          <w:tcPr>
            <w:tcW w:w="1015" w:type="dxa"/>
            <w:noWrap/>
            <w:hideMark/>
          </w:tcPr>
          <w:p w:rsidR="0081751F" w:rsidRPr="00CF3673" w:rsidRDefault="0081751F" w:rsidP="00091B2F">
            <w:pPr>
              <w:jc w:val="center"/>
            </w:pPr>
            <w:r w:rsidRPr="00CF3673">
              <w:t>9.6</w:t>
            </w:r>
          </w:p>
        </w:tc>
        <w:tc>
          <w:tcPr>
            <w:tcW w:w="655" w:type="dxa"/>
            <w:tcBorders>
              <w:right w:val="single" w:sz="4" w:space="0" w:color="auto"/>
            </w:tcBorders>
            <w:noWrap/>
            <w:hideMark/>
          </w:tcPr>
          <w:p w:rsidR="0081751F" w:rsidRPr="00CF3673" w:rsidRDefault="0081751F" w:rsidP="00091B2F">
            <w:pPr>
              <w:jc w:val="center"/>
            </w:pPr>
            <w:r w:rsidRPr="00CF3673">
              <w:t>19.2</w:t>
            </w:r>
          </w:p>
        </w:tc>
        <w:tc>
          <w:tcPr>
            <w:tcW w:w="1007" w:type="dxa"/>
            <w:tcBorders>
              <w:left w:val="single" w:sz="4" w:space="0" w:color="auto"/>
            </w:tcBorders>
            <w:noWrap/>
            <w:hideMark/>
          </w:tcPr>
          <w:p w:rsidR="0081751F" w:rsidRPr="00CF3673" w:rsidRDefault="0081751F" w:rsidP="00091B2F">
            <w:pPr>
              <w:jc w:val="center"/>
            </w:pPr>
            <w:r w:rsidRPr="00CF3673">
              <w:t>4.1</w:t>
            </w:r>
          </w:p>
        </w:tc>
        <w:tc>
          <w:tcPr>
            <w:tcW w:w="1015" w:type="dxa"/>
            <w:noWrap/>
            <w:hideMark/>
          </w:tcPr>
          <w:p w:rsidR="0081751F" w:rsidRPr="00CF3673" w:rsidRDefault="0081751F" w:rsidP="00091B2F">
            <w:pPr>
              <w:jc w:val="center"/>
            </w:pPr>
            <w:r w:rsidRPr="00CF3673">
              <w:t>11.0</w:t>
            </w:r>
          </w:p>
        </w:tc>
        <w:tc>
          <w:tcPr>
            <w:tcW w:w="655" w:type="dxa"/>
            <w:noWrap/>
            <w:hideMark/>
          </w:tcPr>
          <w:p w:rsidR="0081751F" w:rsidRPr="00CF3673" w:rsidRDefault="0081751F" w:rsidP="00091B2F">
            <w:pPr>
              <w:jc w:val="center"/>
            </w:pPr>
            <w:r w:rsidRPr="00CF3673">
              <w:t>9.6</w:t>
            </w:r>
          </w:p>
        </w:tc>
        <w:tc>
          <w:tcPr>
            <w:tcW w:w="1098" w:type="dxa"/>
            <w:noWrap/>
            <w:hideMark/>
          </w:tcPr>
          <w:p w:rsidR="0081751F" w:rsidRPr="00CF3673" w:rsidRDefault="0081751F" w:rsidP="00091B2F">
            <w:pPr>
              <w:jc w:val="center"/>
            </w:pPr>
            <w:r w:rsidRPr="00CF3673">
              <w:t>73</w:t>
            </w:r>
          </w:p>
        </w:tc>
      </w:tr>
      <w:tr w:rsidR="0081751F" w:rsidRPr="00CF3673" w:rsidTr="00356A0A">
        <w:trPr>
          <w:trHeight w:val="300"/>
          <w:jc w:val="center"/>
        </w:trPr>
        <w:tc>
          <w:tcPr>
            <w:tcW w:w="1253" w:type="dxa"/>
            <w:tcBorders>
              <w:bottom w:val="nil"/>
            </w:tcBorders>
            <w:noWrap/>
            <w:hideMark/>
          </w:tcPr>
          <w:p w:rsidR="0081751F" w:rsidRPr="00CF3673" w:rsidRDefault="001F4E2F" w:rsidP="001F4E2F">
            <w:pPr>
              <w:rPr>
                <w:rFonts w:ascii="Calibri" w:eastAsia="Times New Roman" w:hAnsi="Calibri" w:cs="Times New Roman"/>
                <w:lang w:eastAsia="zh-CN"/>
              </w:rPr>
            </w:pPr>
            <w:r w:rsidRPr="00CF3673">
              <w:rPr>
                <w:rFonts w:ascii="Calibri" w:eastAsia="Times New Roman" w:hAnsi="Calibri" w:cs="Times New Roman"/>
                <w:lang w:eastAsia="zh-CN"/>
              </w:rPr>
              <w:t>Pequena</w:t>
            </w:r>
          </w:p>
        </w:tc>
        <w:tc>
          <w:tcPr>
            <w:tcW w:w="1007" w:type="dxa"/>
            <w:tcBorders>
              <w:bottom w:val="nil"/>
            </w:tcBorders>
            <w:noWrap/>
            <w:hideMark/>
          </w:tcPr>
          <w:p w:rsidR="0081751F" w:rsidRPr="00CF3673" w:rsidRDefault="0081751F" w:rsidP="00091B2F">
            <w:pPr>
              <w:jc w:val="center"/>
            </w:pPr>
            <w:r w:rsidRPr="00CF3673">
              <w:t>17.3</w:t>
            </w:r>
          </w:p>
        </w:tc>
        <w:tc>
          <w:tcPr>
            <w:tcW w:w="1015" w:type="dxa"/>
            <w:tcBorders>
              <w:bottom w:val="nil"/>
            </w:tcBorders>
            <w:noWrap/>
            <w:hideMark/>
          </w:tcPr>
          <w:p w:rsidR="0081751F" w:rsidRPr="00CF3673" w:rsidRDefault="0081751F" w:rsidP="00091B2F">
            <w:pPr>
              <w:jc w:val="center"/>
            </w:pPr>
            <w:r w:rsidRPr="00CF3673">
              <w:t>9.3</w:t>
            </w:r>
          </w:p>
        </w:tc>
        <w:tc>
          <w:tcPr>
            <w:tcW w:w="655" w:type="dxa"/>
            <w:tcBorders>
              <w:bottom w:val="nil"/>
              <w:right w:val="single" w:sz="4" w:space="0" w:color="auto"/>
            </w:tcBorders>
            <w:noWrap/>
            <w:hideMark/>
          </w:tcPr>
          <w:p w:rsidR="0081751F" w:rsidRPr="00CF3673" w:rsidRDefault="0081751F" w:rsidP="00091B2F">
            <w:pPr>
              <w:jc w:val="center"/>
            </w:pPr>
            <w:r w:rsidRPr="00CF3673">
              <w:t>38.7</w:t>
            </w:r>
          </w:p>
        </w:tc>
        <w:tc>
          <w:tcPr>
            <w:tcW w:w="1007" w:type="dxa"/>
            <w:tcBorders>
              <w:left w:val="single" w:sz="4" w:space="0" w:color="auto"/>
              <w:bottom w:val="nil"/>
            </w:tcBorders>
            <w:noWrap/>
            <w:hideMark/>
          </w:tcPr>
          <w:p w:rsidR="0081751F" w:rsidRPr="00CF3673" w:rsidRDefault="0081751F" w:rsidP="00091B2F">
            <w:pPr>
              <w:jc w:val="center"/>
            </w:pPr>
            <w:r w:rsidRPr="00CF3673">
              <w:t>21.3</w:t>
            </w:r>
          </w:p>
        </w:tc>
        <w:tc>
          <w:tcPr>
            <w:tcW w:w="1015" w:type="dxa"/>
            <w:tcBorders>
              <w:bottom w:val="nil"/>
            </w:tcBorders>
            <w:noWrap/>
            <w:hideMark/>
          </w:tcPr>
          <w:p w:rsidR="0081751F" w:rsidRPr="00CF3673" w:rsidRDefault="0081751F" w:rsidP="00091B2F">
            <w:pPr>
              <w:jc w:val="center"/>
            </w:pPr>
            <w:r w:rsidRPr="00CF3673">
              <w:t>20.0</w:t>
            </w:r>
          </w:p>
        </w:tc>
        <w:tc>
          <w:tcPr>
            <w:tcW w:w="655" w:type="dxa"/>
            <w:tcBorders>
              <w:bottom w:val="nil"/>
            </w:tcBorders>
            <w:noWrap/>
            <w:hideMark/>
          </w:tcPr>
          <w:p w:rsidR="0081751F" w:rsidRPr="00CF3673" w:rsidRDefault="0081751F" w:rsidP="00091B2F">
            <w:pPr>
              <w:jc w:val="center"/>
            </w:pPr>
            <w:r w:rsidRPr="00CF3673">
              <w:t>38.7</w:t>
            </w:r>
          </w:p>
        </w:tc>
        <w:tc>
          <w:tcPr>
            <w:tcW w:w="1098" w:type="dxa"/>
            <w:tcBorders>
              <w:bottom w:val="nil"/>
            </w:tcBorders>
            <w:noWrap/>
            <w:hideMark/>
          </w:tcPr>
          <w:p w:rsidR="0081751F" w:rsidRPr="00CF3673" w:rsidRDefault="0081751F" w:rsidP="00091B2F">
            <w:pPr>
              <w:jc w:val="center"/>
            </w:pPr>
            <w:r w:rsidRPr="00CF3673">
              <w:t>75</w:t>
            </w:r>
          </w:p>
        </w:tc>
      </w:tr>
      <w:tr w:rsidR="0081751F" w:rsidRPr="00CF3673" w:rsidTr="00356A0A">
        <w:trPr>
          <w:trHeight w:val="300"/>
          <w:jc w:val="center"/>
        </w:trPr>
        <w:tc>
          <w:tcPr>
            <w:tcW w:w="1253" w:type="dxa"/>
            <w:tcBorders>
              <w:top w:val="nil"/>
              <w:bottom w:val="single" w:sz="4" w:space="0" w:color="auto"/>
            </w:tcBorders>
            <w:noWrap/>
            <w:hideMark/>
          </w:tcPr>
          <w:p w:rsidR="0081751F" w:rsidRPr="00CF3673" w:rsidRDefault="001F4E2F" w:rsidP="001F4E2F">
            <w:pPr>
              <w:rPr>
                <w:rFonts w:ascii="Calibri" w:eastAsia="Times New Roman" w:hAnsi="Calibri" w:cs="Times New Roman"/>
                <w:lang w:eastAsia="zh-CN"/>
              </w:rPr>
            </w:pPr>
            <w:r w:rsidRPr="00CF3673">
              <w:rPr>
                <w:rFonts w:ascii="Calibri" w:eastAsia="Times New Roman" w:hAnsi="Calibri" w:cs="Times New Roman"/>
                <w:lang w:eastAsia="zh-CN"/>
              </w:rPr>
              <w:t>Media</w:t>
            </w:r>
          </w:p>
        </w:tc>
        <w:tc>
          <w:tcPr>
            <w:tcW w:w="1007" w:type="dxa"/>
            <w:tcBorders>
              <w:top w:val="nil"/>
              <w:bottom w:val="single" w:sz="4" w:space="0" w:color="auto"/>
            </w:tcBorders>
            <w:noWrap/>
            <w:hideMark/>
          </w:tcPr>
          <w:p w:rsidR="0081751F" w:rsidRPr="00CF3673" w:rsidRDefault="0081751F" w:rsidP="00091B2F">
            <w:pPr>
              <w:jc w:val="center"/>
            </w:pPr>
            <w:r w:rsidRPr="00CF3673">
              <w:t>37.5</w:t>
            </w:r>
          </w:p>
        </w:tc>
        <w:tc>
          <w:tcPr>
            <w:tcW w:w="1015" w:type="dxa"/>
            <w:tcBorders>
              <w:top w:val="nil"/>
              <w:bottom w:val="single" w:sz="4" w:space="0" w:color="auto"/>
            </w:tcBorders>
            <w:noWrap/>
            <w:hideMark/>
          </w:tcPr>
          <w:p w:rsidR="0081751F" w:rsidRPr="00CF3673" w:rsidRDefault="0081751F" w:rsidP="00091B2F">
            <w:pPr>
              <w:jc w:val="center"/>
            </w:pPr>
            <w:r w:rsidRPr="00CF3673">
              <w:t>28.1</w:t>
            </w:r>
          </w:p>
        </w:tc>
        <w:tc>
          <w:tcPr>
            <w:tcW w:w="655" w:type="dxa"/>
            <w:tcBorders>
              <w:top w:val="nil"/>
              <w:bottom w:val="single" w:sz="4" w:space="0" w:color="auto"/>
              <w:right w:val="single" w:sz="4" w:space="0" w:color="auto"/>
            </w:tcBorders>
            <w:noWrap/>
            <w:hideMark/>
          </w:tcPr>
          <w:p w:rsidR="0081751F" w:rsidRPr="00CF3673" w:rsidRDefault="0081751F" w:rsidP="00091B2F">
            <w:pPr>
              <w:jc w:val="center"/>
            </w:pPr>
            <w:r w:rsidRPr="00CF3673">
              <w:t>46.9</w:t>
            </w:r>
          </w:p>
        </w:tc>
        <w:tc>
          <w:tcPr>
            <w:tcW w:w="1007" w:type="dxa"/>
            <w:tcBorders>
              <w:top w:val="nil"/>
              <w:left w:val="single" w:sz="4" w:space="0" w:color="auto"/>
              <w:bottom w:val="single" w:sz="4" w:space="0" w:color="auto"/>
            </w:tcBorders>
            <w:noWrap/>
            <w:hideMark/>
          </w:tcPr>
          <w:p w:rsidR="0081751F" w:rsidRPr="00CF3673" w:rsidRDefault="0081751F" w:rsidP="00091B2F">
            <w:pPr>
              <w:jc w:val="center"/>
            </w:pPr>
            <w:r w:rsidRPr="00CF3673">
              <w:t>40.6</w:t>
            </w:r>
          </w:p>
        </w:tc>
        <w:tc>
          <w:tcPr>
            <w:tcW w:w="1015" w:type="dxa"/>
            <w:tcBorders>
              <w:top w:val="nil"/>
              <w:bottom w:val="single" w:sz="4" w:space="0" w:color="auto"/>
            </w:tcBorders>
            <w:noWrap/>
            <w:hideMark/>
          </w:tcPr>
          <w:p w:rsidR="0081751F" w:rsidRPr="00CF3673" w:rsidRDefault="0081751F" w:rsidP="00091B2F">
            <w:pPr>
              <w:jc w:val="center"/>
            </w:pPr>
            <w:r w:rsidRPr="00CF3673">
              <w:t>28.1</w:t>
            </w:r>
          </w:p>
        </w:tc>
        <w:tc>
          <w:tcPr>
            <w:tcW w:w="655" w:type="dxa"/>
            <w:tcBorders>
              <w:top w:val="nil"/>
              <w:bottom w:val="single" w:sz="4" w:space="0" w:color="auto"/>
            </w:tcBorders>
            <w:noWrap/>
            <w:hideMark/>
          </w:tcPr>
          <w:p w:rsidR="0081751F" w:rsidRPr="00CF3673" w:rsidRDefault="0081751F" w:rsidP="00091B2F">
            <w:pPr>
              <w:jc w:val="center"/>
            </w:pPr>
            <w:r w:rsidRPr="00CF3673">
              <w:t>46.9</w:t>
            </w:r>
          </w:p>
        </w:tc>
        <w:tc>
          <w:tcPr>
            <w:tcW w:w="1098" w:type="dxa"/>
            <w:tcBorders>
              <w:top w:val="nil"/>
              <w:bottom w:val="single" w:sz="4" w:space="0" w:color="auto"/>
            </w:tcBorders>
            <w:noWrap/>
            <w:hideMark/>
          </w:tcPr>
          <w:p w:rsidR="0081751F" w:rsidRPr="00CF3673" w:rsidRDefault="0081751F" w:rsidP="00091B2F">
            <w:pPr>
              <w:jc w:val="center"/>
            </w:pPr>
            <w:r w:rsidRPr="00CF3673">
              <w:t>32</w:t>
            </w:r>
          </w:p>
        </w:tc>
      </w:tr>
      <w:tr w:rsidR="0081751F" w:rsidRPr="00CF3673" w:rsidTr="00356A0A">
        <w:trPr>
          <w:trHeight w:val="300"/>
          <w:jc w:val="center"/>
        </w:trPr>
        <w:tc>
          <w:tcPr>
            <w:tcW w:w="1253" w:type="dxa"/>
            <w:tcBorders>
              <w:top w:val="single" w:sz="4" w:space="0" w:color="auto"/>
              <w:bottom w:val="nil"/>
            </w:tcBorders>
            <w:noWrap/>
            <w:hideMark/>
          </w:tcPr>
          <w:p w:rsidR="0081751F" w:rsidRPr="00CF3673" w:rsidRDefault="0081751F" w:rsidP="001A3B39">
            <w:pPr>
              <w:rPr>
                <w:rFonts w:ascii="Calibri" w:eastAsia="Times New Roman" w:hAnsi="Calibri" w:cs="Times New Roman"/>
                <w:lang w:eastAsia="zh-CN"/>
              </w:rPr>
            </w:pPr>
            <w:r w:rsidRPr="00CF3673">
              <w:rPr>
                <w:rFonts w:ascii="Calibri" w:eastAsia="Times New Roman" w:hAnsi="Calibri" w:cs="Times New Roman"/>
                <w:lang w:eastAsia="zh-CN"/>
              </w:rPr>
              <w:t>Informal</w:t>
            </w:r>
          </w:p>
        </w:tc>
        <w:tc>
          <w:tcPr>
            <w:tcW w:w="1007" w:type="dxa"/>
            <w:tcBorders>
              <w:top w:val="single" w:sz="4" w:space="0" w:color="auto"/>
              <w:bottom w:val="nil"/>
            </w:tcBorders>
            <w:noWrap/>
            <w:hideMark/>
          </w:tcPr>
          <w:p w:rsidR="0081751F" w:rsidRPr="00CF3673" w:rsidRDefault="0081751F" w:rsidP="00091B2F">
            <w:pPr>
              <w:jc w:val="center"/>
            </w:pPr>
            <w:r w:rsidRPr="00CF3673">
              <w:t>7.7</w:t>
            </w:r>
          </w:p>
        </w:tc>
        <w:tc>
          <w:tcPr>
            <w:tcW w:w="1015" w:type="dxa"/>
            <w:tcBorders>
              <w:top w:val="single" w:sz="4" w:space="0" w:color="auto"/>
              <w:bottom w:val="nil"/>
            </w:tcBorders>
            <w:noWrap/>
            <w:hideMark/>
          </w:tcPr>
          <w:p w:rsidR="0081751F" w:rsidRPr="00CF3673" w:rsidRDefault="0081751F" w:rsidP="00091B2F">
            <w:pPr>
              <w:jc w:val="center"/>
            </w:pPr>
            <w:r w:rsidRPr="00CF3673">
              <w:t>7.7</w:t>
            </w:r>
          </w:p>
        </w:tc>
        <w:tc>
          <w:tcPr>
            <w:tcW w:w="655" w:type="dxa"/>
            <w:tcBorders>
              <w:top w:val="single" w:sz="4" w:space="0" w:color="auto"/>
              <w:bottom w:val="nil"/>
              <w:right w:val="single" w:sz="4" w:space="0" w:color="auto"/>
            </w:tcBorders>
            <w:noWrap/>
            <w:hideMark/>
          </w:tcPr>
          <w:p w:rsidR="0081751F" w:rsidRPr="00CF3673" w:rsidRDefault="0081751F" w:rsidP="00091B2F">
            <w:pPr>
              <w:jc w:val="center"/>
            </w:pPr>
            <w:r w:rsidRPr="00CF3673">
              <w:t>30.8</w:t>
            </w:r>
          </w:p>
        </w:tc>
        <w:tc>
          <w:tcPr>
            <w:tcW w:w="1007" w:type="dxa"/>
            <w:tcBorders>
              <w:top w:val="single" w:sz="4" w:space="0" w:color="auto"/>
              <w:left w:val="single" w:sz="4" w:space="0" w:color="auto"/>
              <w:bottom w:val="nil"/>
            </w:tcBorders>
            <w:noWrap/>
            <w:hideMark/>
          </w:tcPr>
          <w:p w:rsidR="0081751F" w:rsidRPr="00CF3673" w:rsidRDefault="0081751F" w:rsidP="00091B2F">
            <w:pPr>
              <w:jc w:val="center"/>
            </w:pPr>
            <w:r w:rsidRPr="00CF3673">
              <w:t>7.7</w:t>
            </w:r>
          </w:p>
        </w:tc>
        <w:tc>
          <w:tcPr>
            <w:tcW w:w="1015" w:type="dxa"/>
            <w:tcBorders>
              <w:top w:val="single" w:sz="4" w:space="0" w:color="auto"/>
              <w:bottom w:val="nil"/>
            </w:tcBorders>
            <w:noWrap/>
            <w:hideMark/>
          </w:tcPr>
          <w:p w:rsidR="0081751F" w:rsidRPr="00CF3673" w:rsidRDefault="0081751F" w:rsidP="00091B2F">
            <w:pPr>
              <w:jc w:val="center"/>
            </w:pPr>
            <w:r w:rsidRPr="00CF3673">
              <w:t>19.2</w:t>
            </w:r>
          </w:p>
        </w:tc>
        <w:tc>
          <w:tcPr>
            <w:tcW w:w="655" w:type="dxa"/>
            <w:tcBorders>
              <w:top w:val="single" w:sz="4" w:space="0" w:color="auto"/>
              <w:bottom w:val="nil"/>
            </w:tcBorders>
            <w:noWrap/>
            <w:hideMark/>
          </w:tcPr>
          <w:p w:rsidR="0081751F" w:rsidRPr="00CF3673" w:rsidRDefault="0081751F" w:rsidP="00091B2F">
            <w:pPr>
              <w:jc w:val="center"/>
            </w:pPr>
            <w:r w:rsidRPr="00CF3673">
              <w:t>7.7</w:t>
            </w:r>
          </w:p>
        </w:tc>
        <w:tc>
          <w:tcPr>
            <w:tcW w:w="1098" w:type="dxa"/>
            <w:tcBorders>
              <w:top w:val="single" w:sz="4" w:space="0" w:color="auto"/>
              <w:bottom w:val="nil"/>
            </w:tcBorders>
            <w:noWrap/>
            <w:hideMark/>
          </w:tcPr>
          <w:p w:rsidR="0081751F" w:rsidRPr="00CF3673" w:rsidRDefault="0081751F" w:rsidP="00091B2F">
            <w:pPr>
              <w:jc w:val="center"/>
            </w:pPr>
            <w:r w:rsidRPr="00CF3673">
              <w:t>26</w:t>
            </w:r>
          </w:p>
        </w:tc>
      </w:tr>
      <w:tr w:rsidR="0081751F" w:rsidRPr="00CF3673" w:rsidTr="00356A0A">
        <w:trPr>
          <w:trHeight w:val="300"/>
          <w:jc w:val="center"/>
        </w:trPr>
        <w:tc>
          <w:tcPr>
            <w:tcW w:w="1253" w:type="dxa"/>
            <w:tcBorders>
              <w:top w:val="nil"/>
              <w:bottom w:val="single" w:sz="4" w:space="0" w:color="auto"/>
            </w:tcBorders>
            <w:noWrap/>
            <w:hideMark/>
          </w:tcPr>
          <w:p w:rsidR="0081751F" w:rsidRPr="00CF3673" w:rsidRDefault="0081751F" w:rsidP="001A3B39">
            <w:pPr>
              <w:rPr>
                <w:rFonts w:ascii="Calibri" w:eastAsia="Times New Roman" w:hAnsi="Calibri" w:cs="Times New Roman"/>
                <w:lang w:eastAsia="zh-CN"/>
              </w:rPr>
            </w:pPr>
            <w:r w:rsidRPr="00CF3673">
              <w:rPr>
                <w:rFonts w:ascii="Calibri" w:eastAsia="Times New Roman" w:hAnsi="Calibri" w:cs="Times New Roman"/>
                <w:lang w:eastAsia="zh-CN"/>
              </w:rPr>
              <w:t>Formal</w:t>
            </w:r>
          </w:p>
        </w:tc>
        <w:tc>
          <w:tcPr>
            <w:tcW w:w="1007" w:type="dxa"/>
            <w:tcBorders>
              <w:top w:val="nil"/>
              <w:bottom w:val="single" w:sz="4" w:space="0" w:color="auto"/>
            </w:tcBorders>
            <w:noWrap/>
            <w:hideMark/>
          </w:tcPr>
          <w:p w:rsidR="0081751F" w:rsidRPr="00CF3673" w:rsidRDefault="0081751F" w:rsidP="00091B2F">
            <w:pPr>
              <w:jc w:val="center"/>
            </w:pPr>
            <w:r w:rsidRPr="00CF3673">
              <w:t>16.2</w:t>
            </w:r>
          </w:p>
        </w:tc>
        <w:tc>
          <w:tcPr>
            <w:tcW w:w="1015" w:type="dxa"/>
            <w:tcBorders>
              <w:top w:val="nil"/>
              <w:bottom w:val="single" w:sz="4" w:space="0" w:color="auto"/>
            </w:tcBorders>
            <w:noWrap/>
            <w:hideMark/>
          </w:tcPr>
          <w:p w:rsidR="0081751F" w:rsidRPr="00CF3673" w:rsidRDefault="0081751F" w:rsidP="00091B2F">
            <w:pPr>
              <w:jc w:val="center"/>
            </w:pPr>
            <w:r w:rsidRPr="00CF3673">
              <w:t>13.6</w:t>
            </w:r>
          </w:p>
        </w:tc>
        <w:tc>
          <w:tcPr>
            <w:tcW w:w="655" w:type="dxa"/>
            <w:tcBorders>
              <w:top w:val="nil"/>
              <w:bottom w:val="single" w:sz="4" w:space="0" w:color="auto"/>
              <w:right w:val="single" w:sz="4" w:space="0" w:color="auto"/>
            </w:tcBorders>
            <w:noWrap/>
            <w:hideMark/>
          </w:tcPr>
          <w:p w:rsidR="0081751F" w:rsidRPr="00CF3673" w:rsidRDefault="0081751F" w:rsidP="00091B2F">
            <w:pPr>
              <w:jc w:val="center"/>
            </w:pPr>
            <w:r w:rsidRPr="00CF3673">
              <w:t>32.5</w:t>
            </w:r>
          </w:p>
        </w:tc>
        <w:tc>
          <w:tcPr>
            <w:tcW w:w="1007" w:type="dxa"/>
            <w:tcBorders>
              <w:top w:val="nil"/>
              <w:left w:val="single" w:sz="4" w:space="0" w:color="auto"/>
              <w:bottom w:val="single" w:sz="4" w:space="0" w:color="auto"/>
            </w:tcBorders>
            <w:noWrap/>
            <w:hideMark/>
          </w:tcPr>
          <w:p w:rsidR="0081751F" w:rsidRPr="00CF3673" w:rsidRDefault="0081751F" w:rsidP="00091B2F">
            <w:pPr>
              <w:jc w:val="center"/>
            </w:pPr>
            <w:r w:rsidRPr="00CF3673">
              <w:t>19.5</w:t>
            </w:r>
          </w:p>
        </w:tc>
        <w:tc>
          <w:tcPr>
            <w:tcW w:w="1015" w:type="dxa"/>
            <w:tcBorders>
              <w:top w:val="nil"/>
              <w:bottom w:val="single" w:sz="4" w:space="0" w:color="auto"/>
            </w:tcBorders>
            <w:noWrap/>
            <w:hideMark/>
          </w:tcPr>
          <w:p w:rsidR="0081751F" w:rsidRPr="00CF3673" w:rsidRDefault="0081751F" w:rsidP="00091B2F">
            <w:pPr>
              <w:jc w:val="center"/>
            </w:pPr>
            <w:r w:rsidRPr="00CF3673">
              <w:t>17.5</w:t>
            </w:r>
          </w:p>
        </w:tc>
        <w:tc>
          <w:tcPr>
            <w:tcW w:w="655" w:type="dxa"/>
            <w:tcBorders>
              <w:top w:val="nil"/>
              <w:bottom w:val="single" w:sz="4" w:space="0" w:color="auto"/>
            </w:tcBorders>
            <w:noWrap/>
            <w:hideMark/>
          </w:tcPr>
          <w:p w:rsidR="0081751F" w:rsidRPr="00CF3673" w:rsidRDefault="0081751F" w:rsidP="00091B2F">
            <w:pPr>
              <w:jc w:val="center"/>
            </w:pPr>
            <w:r w:rsidRPr="00CF3673">
              <w:t>31.8</w:t>
            </w:r>
          </w:p>
        </w:tc>
        <w:tc>
          <w:tcPr>
            <w:tcW w:w="1098" w:type="dxa"/>
            <w:tcBorders>
              <w:top w:val="nil"/>
              <w:bottom w:val="single" w:sz="4" w:space="0" w:color="auto"/>
            </w:tcBorders>
            <w:noWrap/>
            <w:hideMark/>
          </w:tcPr>
          <w:p w:rsidR="0081751F" w:rsidRPr="00CF3673" w:rsidRDefault="0081751F" w:rsidP="00091B2F">
            <w:pPr>
              <w:jc w:val="center"/>
            </w:pPr>
            <w:r w:rsidRPr="00CF3673">
              <w:t>154</w:t>
            </w:r>
          </w:p>
        </w:tc>
      </w:tr>
      <w:tr w:rsidR="0081751F" w:rsidRPr="00CF3673" w:rsidTr="00356A0A">
        <w:trPr>
          <w:trHeight w:val="300"/>
          <w:jc w:val="center"/>
        </w:trPr>
        <w:tc>
          <w:tcPr>
            <w:tcW w:w="1253" w:type="dxa"/>
            <w:tcBorders>
              <w:top w:val="single" w:sz="4" w:space="0" w:color="auto"/>
            </w:tcBorders>
            <w:noWrap/>
          </w:tcPr>
          <w:p w:rsidR="0081751F" w:rsidRPr="00CF3673" w:rsidRDefault="001F4E2F" w:rsidP="001F4E2F">
            <w:pPr>
              <w:rPr>
                <w:rFonts w:ascii="Calibri" w:hAnsi="Calibri"/>
                <w:color w:val="000000"/>
                <w:szCs w:val="20"/>
              </w:rPr>
            </w:pPr>
            <w:r w:rsidRPr="00CF3673">
              <w:rPr>
                <w:rFonts w:ascii="Calibri" w:hAnsi="Calibri"/>
                <w:color w:val="000000"/>
                <w:szCs w:val="20"/>
              </w:rPr>
              <w:t xml:space="preserve">Detida </w:t>
            </w:r>
            <w:r w:rsidR="00761AD0" w:rsidRPr="00CF3673">
              <w:rPr>
                <w:rFonts w:ascii="Calibri" w:hAnsi="Calibri"/>
                <w:color w:val="000000"/>
                <w:szCs w:val="20"/>
              </w:rPr>
              <w:t>Moçambicano</w:t>
            </w:r>
          </w:p>
        </w:tc>
        <w:tc>
          <w:tcPr>
            <w:tcW w:w="1007" w:type="dxa"/>
            <w:tcBorders>
              <w:top w:val="single" w:sz="4" w:space="0" w:color="auto"/>
            </w:tcBorders>
            <w:noWrap/>
          </w:tcPr>
          <w:p w:rsidR="0081751F" w:rsidRPr="00CF3673" w:rsidRDefault="0081751F" w:rsidP="00091B2F">
            <w:pPr>
              <w:jc w:val="center"/>
            </w:pPr>
            <w:r w:rsidRPr="00CF3673">
              <w:t>12.6</w:t>
            </w:r>
          </w:p>
        </w:tc>
        <w:tc>
          <w:tcPr>
            <w:tcW w:w="1015" w:type="dxa"/>
            <w:tcBorders>
              <w:top w:val="single" w:sz="4" w:space="0" w:color="auto"/>
            </w:tcBorders>
            <w:noWrap/>
          </w:tcPr>
          <w:p w:rsidR="0081751F" w:rsidRPr="00CF3673" w:rsidRDefault="0081751F" w:rsidP="00091B2F">
            <w:pPr>
              <w:jc w:val="center"/>
            </w:pPr>
            <w:r w:rsidRPr="00CF3673">
              <w:t>9.8</w:t>
            </w:r>
          </w:p>
        </w:tc>
        <w:tc>
          <w:tcPr>
            <w:tcW w:w="655" w:type="dxa"/>
            <w:tcBorders>
              <w:top w:val="single" w:sz="4" w:space="0" w:color="auto"/>
              <w:right w:val="single" w:sz="4" w:space="0" w:color="auto"/>
            </w:tcBorders>
            <w:noWrap/>
          </w:tcPr>
          <w:p w:rsidR="0081751F" w:rsidRPr="00CF3673" w:rsidRDefault="0081751F" w:rsidP="00091B2F">
            <w:pPr>
              <w:jc w:val="center"/>
            </w:pPr>
            <w:r w:rsidRPr="00CF3673">
              <w:t>31.5</w:t>
            </w:r>
          </w:p>
        </w:tc>
        <w:tc>
          <w:tcPr>
            <w:tcW w:w="1007" w:type="dxa"/>
            <w:tcBorders>
              <w:top w:val="single" w:sz="4" w:space="0" w:color="auto"/>
              <w:left w:val="single" w:sz="4" w:space="0" w:color="auto"/>
            </w:tcBorders>
            <w:noWrap/>
          </w:tcPr>
          <w:p w:rsidR="0081751F" w:rsidRPr="00CF3673" w:rsidRDefault="0081751F" w:rsidP="00091B2F">
            <w:pPr>
              <w:jc w:val="center"/>
            </w:pPr>
            <w:r w:rsidRPr="00CF3673">
              <w:t>12.6</w:t>
            </w:r>
          </w:p>
        </w:tc>
        <w:tc>
          <w:tcPr>
            <w:tcW w:w="1015" w:type="dxa"/>
            <w:tcBorders>
              <w:top w:val="single" w:sz="4" w:space="0" w:color="auto"/>
            </w:tcBorders>
            <w:noWrap/>
          </w:tcPr>
          <w:p w:rsidR="0081751F" w:rsidRPr="00CF3673" w:rsidRDefault="0081751F" w:rsidP="00091B2F">
            <w:pPr>
              <w:jc w:val="center"/>
            </w:pPr>
            <w:r w:rsidRPr="00CF3673">
              <w:t>14.7</w:t>
            </w:r>
          </w:p>
        </w:tc>
        <w:tc>
          <w:tcPr>
            <w:tcW w:w="655" w:type="dxa"/>
            <w:tcBorders>
              <w:top w:val="single" w:sz="4" w:space="0" w:color="auto"/>
            </w:tcBorders>
            <w:noWrap/>
          </w:tcPr>
          <w:p w:rsidR="0081751F" w:rsidRPr="00CF3673" w:rsidRDefault="0081751F" w:rsidP="00091B2F">
            <w:pPr>
              <w:jc w:val="center"/>
            </w:pPr>
            <w:r w:rsidRPr="00CF3673">
              <w:t>22.4</w:t>
            </w:r>
          </w:p>
        </w:tc>
        <w:tc>
          <w:tcPr>
            <w:tcW w:w="1098" w:type="dxa"/>
            <w:tcBorders>
              <w:top w:val="single" w:sz="4" w:space="0" w:color="auto"/>
            </w:tcBorders>
            <w:noWrap/>
          </w:tcPr>
          <w:p w:rsidR="0081751F" w:rsidRPr="00CF3673" w:rsidRDefault="0081751F" w:rsidP="00091B2F">
            <w:pPr>
              <w:jc w:val="center"/>
            </w:pPr>
            <w:r w:rsidRPr="00CF3673">
              <w:t>143</w:t>
            </w:r>
          </w:p>
        </w:tc>
      </w:tr>
      <w:tr w:rsidR="0081751F" w:rsidRPr="00CF3673" w:rsidTr="00356A0A">
        <w:trPr>
          <w:trHeight w:val="300"/>
          <w:jc w:val="center"/>
        </w:trPr>
        <w:tc>
          <w:tcPr>
            <w:tcW w:w="1253" w:type="dxa"/>
            <w:tcBorders>
              <w:bottom w:val="double" w:sz="4" w:space="0" w:color="auto"/>
            </w:tcBorders>
            <w:noWrap/>
          </w:tcPr>
          <w:p w:rsidR="0081751F" w:rsidRPr="00CF3673" w:rsidRDefault="001F4E2F" w:rsidP="001F4E2F">
            <w:pPr>
              <w:rPr>
                <w:rFonts w:ascii="Calibri" w:hAnsi="Calibri"/>
                <w:color w:val="000000"/>
                <w:szCs w:val="20"/>
              </w:rPr>
            </w:pPr>
            <w:r w:rsidRPr="00CF3673">
              <w:rPr>
                <w:rFonts w:ascii="Calibri" w:hAnsi="Calibri"/>
                <w:color w:val="000000"/>
                <w:szCs w:val="20"/>
              </w:rPr>
              <w:t>Detida por estrangeiro</w:t>
            </w:r>
          </w:p>
        </w:tc>
        <w:tc>
          <w:tcPr>
            <w:tcW w:w="1007" w:type="dxa"/>
            <w:tcBorders>
              <w:bottom w:val="double" w:sz="4" w:space="0" w:color="auto"/>
            </w:tcBorders>
            <w:noWrap/>
          </w:tcPr>
          <w:p w:rsidR="0081751F" w:rsidRPr="00CF3673" w:rsidRDefault="0081751F" w:rsidP="00091B2F">
            <w:pPr>
              <w:jc w:val="center"/>
            </w:pPr>
            <w:r w:rsidRPr="00CF3673">
              <w:t>24.3</w:t>
            </w:r>
          </w:p>
        </w:tc>
        <w:tc>
          <w:tcPr>
            <w:tcW w:w="1015" w:type="dxa"/>
            <w:tcBorders>
              <w:bottom w:val="double" w:sz="4" w:space="0" w:color="auto"/>
            </w:tcBorders>
            <w:noWrap/>
          </w:tcPr>
          <w:p w:rsidR="0081751F" w:rsidRPr="00CF3673" w:rsidRDefault="0081751F" w:rsidP="00091B2F">
            <w:pPr>
              <w:jc w:val="center"/>
            </w:pPr>
            <w:r w:rsidRPr="00CF3673">
              <w:t>24.3</w:t>
            </w:r>
          </w:p>
        </w:tc>
        <w:tc>
          <w:tcPr>
            <w:tcW w:w="655" w:type="dxa"/>
            <w:tcBorders>
              <w:bottom w:val="double" w:sz="4" w:space="0" w:color="auto"/>
              <w:right w:val="single" w:sz="4" w:space="0" w:color="auto"/>
            </w:tcBorders>
            <w:noWrap/>
          </w:tcPr>
          <w:p w:rsidR="0081751F" w:rsidRPr="00CF3673" w:rsidRDefault="0081751F" w:rsidP="00091B2F">
            <w:pPr>
              <w:jc w:val="center"/>
            </w:pPr>
            <w:r w:rsidRPr="00CF3673">
              <w:t>35.1</w:t>
            </w:r>
          </w:p>
        </w:tc>
        <w:tc>
          <w:tcPr>
            <w:tcW w:w="1007" w:type="dxa"/>
            <w:tcBorders>
              <w:left w:val="single" w:sz="4" w:space="0" w:color="auto"/>
              <w:bottom w:val="double" w:sz="4" w:space="0" w:color="auto"/>
            </w:tcBorders>
            <w:noWrap/>
          </w:tcPr>
          <w:p w:rsidR="0081751F" w:rsidRPr="00CF3673" w:rsidRDefault="0081751F" w:rsidP="00091B2F">
            <w:pPr>
              <w:jc w:val="center"/>
            </w:pPr>
            <w:r w:rsidRPr="00CF3673">
              <w:t>37.8</w:t>
            </w:r>
          </w:p>
        </w:tc>
        <w:tc>
          <w:tcPr>
            <w:tcW w:w="1015" w:type="dxa"/>
            <w:tcBorders>
              <w:bottom w:val="double" w:sz="4" w:space="0" w:color="auto"/>
            </w:tcBorders>
            <w:noWrap/>
          </w:tcPr>
          <w:p w:rsidR="0081751F" w:rsidRPr="00CF3673" w:rsidRDefault="0081751F" w:rsidP="00091B2F">
            <w:pPr>
              <w:jc w:val="center"/>
            </w:pPr>
            <w:r w:rsidRPr="00CF3673">
              <w:t>29.7</w:t>
            </w:r>
          </w:p>
        </w:tc>
        <w:tc>
          <w:tcPr>
            <w:tcW w:w="655" w:type="dxa"/>
            <w:tcBorders>
              <w:bottom w:val="double" w:sz="4" w:space="0" w:color="auto"/>
            </w:tcBorders>
            <w:noWrap/>
          </w:tcPr>
          <w:p w:rsidR="0081751F" w:rsidRPr="00CF3673" w:rsidRDefault="0081751F" w:rsidP="00091B2F">
            <w:pPr>
              <w:jc w:val="center"/>
            </w:pPr>
            <w:r w:rsidRPr="00CF3673">
              <w:t>51.4</w:t>
            </w:r>
          </w:p>
        </w:tc>
        <w:tc>
          <w:tcPr>
            <w:tcW w:w="1098" w:type="dxa"/>
            <w:tcBorders>
              <w:bottom w:val="double" w:sz="4" w:space="0" w:color="auto"/>
            </w:tcBorders>
            <w:noWrap/>
          </w:tcPr>
          <w:p w:rsidR="0081751F" w:rsidRPr="00CF3673" w:rsidRDefault="0081751F" w:rsidP="00091B2F">
            <w:pPr>
              <w:jc w:val="center"/>
            </w:pPr>
            <w:r w:rsidRPr="00CF3673">
              <w:t>37</w:t>
            </w:r>
          </w:p>
        </w:tc>
      </w:tr>
      <w:tr w:rsidR="00356A0A" w:rsidRPr="00CF3673" w:rsidTr="00356A0A">
        <w:trPr>
          <w:trHeight w:val="300"/>
          <w:jc w:val="center"/>
        </w:trPr>
        <w:tc>
          <w:tcPr>
            <w:tcW w:w="7705" w:type="dxa"/>
            <w:gridSpan w:val="8"/>
            <w:tcBorders>
              <w:top w:val="double" w:sz="4" w:space="0" w:color="auto"/>
              <w:bottom w:val="nil"/>
            </w:tcBorders>
            <w:noWrap/>
          </w:tcPr>
          <w:p w:rsidR="00356A0A" w:rsidRPr="00CF3673" w:rsidRDefault="00356A0A" w:rsidP="002A5127">
            <w:pPr>
              <w:pStyle w:val="Tablenote"/>
              <w:rPr>
                <w:b/>
                <w:lang w:val="pt-PT"/>
              </w:rPr>
            </w:pPr>
            <w:r w:rsidRPr="00CF3673">
              <w:rPr>
                <w:b/>
                <w:lang w:val="pt-PT"/>
              </w:rPr>
              <w:t>Note:</w:t>
            </w:r>
            <w:r w:rsidRPr="00CF3673">
              <w:rPr>
                <w:lang w:val="pt-PT"/>
              </w:rPr>
              <w:t xml:space="preserve"> </w:t>
            </w:r>
            <w:r w:rsidR="002A5127" w:rsidRPr="00CF3673">
              <w:rPr>
                <w:lang w:val="pt-PT"/>
              </w:rPr>
              <w:t xml:space="preserve">Painel equilibrado </w:t>
            </w:r>
            <w:r w:rsidRPr="00CF3673">
              <w:rPr>
                <w:lang w:val="pt-PT"/>
              </w:rPr>
              <w:t xml:space="preserve">, </w:t>
            </w:r>
            <w:r w:rsidR="002A5127" w:rsidRPr="00CF3673">
              <w:rPr>
                <w:lang w:val="pt-PT"/>
              </w:rPr>
              <w:t>ex</w:t>
            </w:r>
            <w:r w:rsidRPr="00CF3673">
              <w:rPr>
                <w:lang w:val="pt-PT"/>
              </w:rPr>
              <w:t xml:space="preserve">. </w:t>
            </w:r>
            <w:r w:rsidR="002A5127" w:rsidRPr="00CF3673">
              <w:rPr>
                <w:lang w:val="pt-PT"/>
              </w:rPr>
              <w:t xml:space="preserve">Seguir mesma empresa durante um certo </w:t>
            </w:r>
            <w:r w:rsidR="00761AD0" w:rsidRPr="00CF3673">
              <w:rPr>
                <w:lang w:val="pt-PT"/>
              </w:rPr>
              <w:t>período</w:t>
            </w:r>
            <w:r w:rsidR="002A5127" w:rsidRPr="00CF3673">
              <w:rPr>
                <w:lang w:val="pt-PT"/>
              </w:rPr>
              <w:t xml:space="preserve"> de tempo</w:t>
            </w:r>
            <w:r w:rsidRPr="00CF3673">
              <w:rPr>
                <w:lang w:val="pt-PT"/>
              </w:rPr>
              <w:t xml:space="preserve">. </w:t>
            </w:r>
            <w:r w:rsidR="002A5127" w:rsidRPr="00CF3673">
              <w:rPr>
                <w:lang w:val="pt-PT"/>
              </w:rPr>
              <w:t xml:space="preserve">Usada categoria de </w:t>
            </w:r>
            <w:r w:rsidR="00761AD0" w:rsidRPr="00CF3673">
              <w:rPr>
                <w:lang w:val="pt-PT"/>
              </w:rPr>
              <w:t>tamanho</w:t>
            </w:r>
            <w:r w:rsidR="002A5127" w:rsidRPr="00CF3673">
              <w:rPr>
                <w:lang w:val="pt-PT"/>
              </w:rPr>
              <w:t xml:space="preserve"> de 2006</w:t>
            </w:r>
            <w:r w:rsidRPr="00CF3673">
              <w:rPr>
                <w:lang w:val="pt-PT"/>
              </w:rPr>
              <w:t xml:space="preserve">. </w:t>
            </w:r>
            <w:proofErr w:type="spellStart"/>
            <w:r w:rsidRPr="00CF3673">
              <w:rPr>
                <w:lang w:val="pt-PT"/>
              </w:rPr>
              <w:t>N</w:t>
            </w:r>
            <w:r w:rsidR="002A5127" w:rsidRPr="00CF3673">
              <w:rPr>
                <w:lang w:val="pt-PT"/>
              </w:rPr>
              <w:t>r</w:t>
            </w:r>
            <w:proofErr w:type="spellEnd"/>
            <w:r w:rsidRPr="00CF3673">
              <w:rPr>
                <w:lang w:val="pt-PT"/>
              </w:rPr>
              <w:t xml:space="preserve">. </w:t>
            </w:r>
            <w:r w:rsidR="002A5127" w:rsidRPr="00CF3673">
              <w:rPr>
                <w:lang w:val="pt-PT"/>
              </w:rPr>
              <w:t>De observações em falta</w:t>
            </w:r>
            <w:r w:rsidRPr="00CF3673">
              <w:rPr>
                <w:lang w:val="pt-PT"/>
              </w:rPr>
              <w:t>: 36.</w:t>
            </w:r>
          </w:p>
        </w:tc>
      </w:tr>
      <w:tr w:rsidR="00356A0A" w:rsidRPr="00CF3673" w:rsidTr="00356A0A">
        <w:trPr>
          <w:trHeight w:val="300"/>
          <w:jc w:val="center"/>
        </w:trPr>
        <w:tc>
          <w:tcPr>
            <w:tcW w:w="7705" w:type="dxa"/>
            <w:gridSpan w:val="8"/>
            <w:tcBorders>
              <w:top w:val="nil"/>
              <w:bottom w:val="nil"/>
            </w:tcBorders>
            <w:noWrap/>
          </w:tcPr>
          <w:p w:rsidR="00356A0A" w:rsidRPr="00CF3673" w:rsidRDefault="002A5127" w:rsidP="002A5127">
            <w:pPr>
              <w:pStyle w:val="Tablenote"/>
              <w:rPr>
                <w:b/>
                <w:lang w:val="pt-PT"/>
              </w:rPr>
            </w:pPr>
            <w:r w:rsidRPr="00CF3673">
              <w:rPr>
                <w:b/>
                <w:lang w:val="pt-PT"/>
              </w:rPr>
              <w:t>Fonte</w:t>
            </w:r>
            <w:r w:rsidR="00356A0A" w:rsidRPr="00CF3673">
              <w:rPr>
                <w:b/>
                <w:lang w:val="pt-PT"/>
              </w:rPr>
              <w:t>:</w:t>
            </w:r>
            <w:r w:rsidR="00356A0A" w:rsidRPr="00CF3673">
              <w:rPr>
                <w:lang w:val="pt-PT"/>
              </w:rPr>
              <w:t xml:space="preserve"> </w:t>
            </w:r>
            <w:r w:rsidR="00761AD0" w:rsidRPr="00CF3673">
              <w:rPr>
                <w:lang w:val="pt-PT"/>
              </w:rPr>
              <w:t>Cálculos</w:t>
            </w:r>
            <w:r w:rsidRPr="00CF3673">
              <w:rPr>
                <w:lang w:val="pt-PT"/>
              </w:rPr>
              <w:t xml:space="preserve"> dos autores usando </w:t>
            </w:r>
            <w:r w:rsidR="00356A0A" w:rsidRPr="00CF3673">
              <w:rPr>
                <w:lang w:val="pt-PT"/>
              </w:rPr>
              <w:t xml:space="preserve">IIM 2012, DNEAP (2006) </w:t>
            </w:r>
            <w:r w:rsidRPr="00CF3673">
              <w:rPr>
                <w:lang w:val="pt-PT"/>
              </w:rPr>
              <w:t>e</w:t>
            </w:r>
            <w:r w:rsidR="00356A0A" w:rsidRPr="00CF3673">
              <w:rPr>
                <w:lang w:val="pt-PT"/>
              </w:rPr>
              <w:t xml:space="preserve"> ICA (2009).</w:t>
            </w:r>
          </w:p>
        </w:tc>
      </w:tr>
    </w:tbl>
    <w:p w:rsidR="00FC006B" w:rsidRPr="00CF3673" w:rsidRDefault="00FC006B" w:rsidP="00B01775"/>
    <w:p w:rsidR="00C21B2E" w:rsidRPr="00CF3673" w:rsidRDefault="00D30E61" w:rsidP="001E664B">
      <w:pPr>
        <w:pStyle w:val="MainText"/>
        <w:rPr>
          <w:lang w:val="pt-PT"/>
        </w:rPr>
      </w:pPr>
      <w:r w:rsidRPr="00CF3673">
        <w:rPr>
          <w:lang w:val="pt-PT"/>
        </w:rPr>
        <w:t>Preocupações têm sido levantadas</w:t>
      </w:r>
      <w:r w:rsidR="00C21B2E" w:rsidRPr="00CF3673">
        <w:rPr>
          <w:lang w:val="pt-PT"/>
        </w:rPr>
        <w:t xml:space="preserve"> sobre a concentração de serviços de </w:t>
      </w:r>
      <w:r w:rsidR="00761AD0" w:rsidRPr="00CF3673">
        <w:rPr>
          <w:lang w:val="pt-PT"/>
        </w:rPr>
        <w:t>créditos</w:t>
      </w:r>
      <w:r w:rsidR="00C21B2E" w:rsidRPr="00CF3673">
        <w:rPr>
          <w:lang w:val="pt-PT"/>
        </w:rPr>
        <w:t xml:space="preserve"> em apenas alguns bancos. No </w:t>
      </w:r>
      <w:r w:rsidR="00761AD0" w:rsidRPr="00CF3673">
        <w:rPr>
          <w:lang w:val="pt-PT"/>
        </w:rPr>
        <w:t>painel</w:t>
      </w:r>
      <w:r w:rsidR="00C21B2E" w:rsidRPr="00CF3673">
        <w:rPr>
          <w:lang w:val="pt-PT"/>
        </w:rPr>
        <w:t xml:space="preserve"> A da figura 9.1 são indicadas as fontes do </w:t>
      </w:r>
      <w:r w:rsidRPr="00CF3673">
        <w:rPr>
          <w:lang w:val="pt-PT"/>
        </w:rPr>
        <w:t>crédito</w:t>
      </w:r>
      <w:r w:rsidR="00C21B2E" w:rsidRPr="00CF3673">
        <w:rPr>
          <w:lang w:val="pt-PT"/>
        </w:rPr>
        <w:t xml:space="preserve"> bancário, enquanto as fontes do </w:t>
      </w:r>
      <w:r w:rsidRPr="00CF3673">
        <w:rPr>
          <w:lang w:val="pt-PT"/>
        </w:rPr>
        <w:t>crédito</w:t>
      </w:r>
      <w:r w:rsidR="00C21B2E" w:rsidRPr="00CF3673">
        <w:rPr>
          <w:lang w:val="pt-PT"/>
        </w:rPr>
        <w:t xml:space="preserve"> não </w:t>
      </w:r>
      <w:r w:rsidR="00761AD0" w:rsidRPr="00CF3673">
        <w:rPr>
          <w:lang w:val="pt-PT"/>
        </w:rPr>
        <w:t>bancário</w:t>
      </w:r>
      <w:r w:rsidR="00C21B2E" w:rsidRPr="00CF3673">
        <w:rPr>
          <w:lang w:val="pt-PT"/>
        </w:rPr>
        <w:t xml:space="preserve"> são reportados no painel B.</w:t>
      </w:r>
    </w:p>
    <w:p w:rsidR="00D30E61" w:rsidRPr="00CF3673" w:rsidRDefault="00D30E61" w:rsidP="001E664B">
      <w:pPr>
        <w:pStyle w:val="MainText"/>
        <w:rPr>
          <w:lang w:val="pt-PT"/>
        </w:rPr>
      </w:pPr>
    </w:p>
    <w:p w:rsidR="00D30E61" w:rsidRPr="00CF3673" w:rsidRDefault="00D30E61" w:rsidP="001E664B">
      <w:pPr>
        <w:pStyle w:val="MainText"/>
        <w:rPr>
          <w:lang w:val="pt-PT"/>
        </w:rPr>
      </w:pPr>
    </w:p>
    <w:p w:rsidR="00D30E61" w:rsidRPr="00CF3673" w:rsidRDefault="00D30E61" w:rsidP="001E664B">
      <w:pPr>
        <w:pStyle w:val="MainText"/>
        <w:rPr>
          <w:lang w:val="pt-PT"/>
        </w:rPr>
      </w:pPr>
    </w:p>
    <w:p w:rsidR="003721C4" w:rsidRPr="00CF3673" w:rsidRDefault="0066585E" w:rsidP="0050045A">
      <w:pPr>
        <w:pStyle w:val="FigureTitle"/>
        <w:rPr>
          <w:lang w:val="pt-PT"/>
        </w:rPr>
      </w:pPr>
      <w:bookmarkStart w:id="79" w:name="_Toc360720525"/>
      <w:r w:rsidRPr="00CF3673">
        <w:rPr>
          <w:lang w:val="pt-PT"/>
        </w:rPr>
        <w:lastRenderedPageBreak/>
        <w:t>Figur</w:t>
      </w:r>
      <w:r w:rsidR="00C21B2E" w:rsidRPr="00CF3673">
        <w:rPr>
          <w:lang w:val="pt-PT"/>
        </w:rPr>
        <w:t>a</w:t>
      </w:r>
      <w:r w:rsidRPr="00CF3673">
        <w:rPr>
          <w:lang w:val="pt-PT"/>
        </w:rPr>
        <w:t xml:space="preserve"> </w:t>
      </w:r>
      <w:r w:rsidR="006102AC" w:rsidRPr="00CF3673">
        <w:rPr>
          <w:lang w:val="pt-PT"/>
        </w:rPr>
        <w:t>9</w:t>
      </w:r>
      <w:r w:rsidRPr="00CF3673">
        <w:rPr>
          <w:lang w:val="pt-PT"/>
        </w:rPr>
        <w:t>.</w:t>
      </w:r>
      <w:r w:rsidR="00C91C42" w:rsidRPr="00CF3673">
        <w:rPr>
          <w:lang w:val="pt-PT"/>
        </w:rPr>
        <w:t>1</w:t>
      </w:r>
      <w:r w:rsidR="00FC006B" w:rsidRPr="00CF3673">
        <w:rPr>
          <w:lang w:val="pt-PT"/>
        </w:rPr>
        <w:t xml:space="preserve">: </w:t>
      </w:r>
      <w:r w:rsidR="00D30E61" w:rsidRPr="00CF3673">
        <w:rPr>
          <w:lang w:val="pt-PT"/>
        </w:rPr>
        <w:t>Fonte do credito por tipo de credito, %</w:t>
      </w:r>
      <w:r w:rsidR="003721C4" w:rsidRPr="00CF3673">
        <w:rPr>
          <w:lang w:val="pt-PT"/>
        </w:rPr>
        <w:t>.</w:t>
      </w:r>
      <w:bookmarkEnd w:id="79"/>
    </w:p>
    <w:bookmarkStart w:id="80" w:name="_Toc350974774"/>
    <w:p w:rsidR="003721C4" w:rsidRPr="00CF3673" w:rsidRDefault="004A7E21" w:rsidP="001E664B">
      <w:pPr>
        <w:pStyle w:val="MainText"/>
        <w:rPr>
          <w:lang w:val="pt-PT"/>
        </w:rPr>
      </w:pPr>
      <w:r w:rsidRPr="00CF3673">
        <w:rPr>
          <w:noProof/>
        </w:rPr>
        <mc:AlternateContent>
          <mc:Choice Requires="wpg">
            <w:drawing>
              <wp:inline distT="0" distB="0" distL="0" distR="0" wp14:anchorId="66B17827" wp14:editId="415B64FC">
                <wp:extent cx="6071870" cy="2591435"/>
                <wp:effectExtent l="0" t="0" r="24130" b="18415"/>
                <wp:docPr id="28" name="Group 4"/>
                <wp:cNvGraphicFramePr/>
                <a:graphic xmlns:a="http://schemas.openxmlformats.org/drawingml/2006/main">
                  <a:graphicData uri="http://schemas.microsoft.com/office/word/2010/wordprocessingGroup">
                    <wpg:wgp>
                      <wpg:cNvGrpSpPr/>
                      <wpg:grpSpPr>
                        <a:xfrm>
                          <a:off x="0" y="0"/>
                          <a:ext cx="6071870" cy="2591435"/>
                          <a:chOff x="0" y="0"/>
                          <a:chExt cx="6072000" cy="2592001"/>
                        </a:xfrm>
                      </wpg:grpSpPr>
                      <wpg:graphicFrame>
                        <wpg:cNvPr id="47" name="Chart 47"/>
                        <wpg:cNvFrPr>
                          <a:graphicFrameLocks noChangeAspect="1"/>
                        </wpg:cNvFrPr>
                        <wpg:xfrm>
                          <a:off x="0" y="0"/>
                          <a:ext cx="3059999" cy="2592000"/>
                        </wpg:xfrm>
                        <a:graphic>
                          <a:graphicData uri="http://schemas.openxmlformats.org/drawingml/2006/chart">
                            <c:chart xmlns:c="http://schemas.openxmlformats.org/drawingml/2006/chart" xmlns:r="http://schemas.openxmlformats.org/officeDocument/2006/relationships" r:id="rId38"/>
                          </a:graphicData>
                        </a:graphic>
                      </wpg:graphicFrame>
                      <wpg:graphicFrame>
                        <wpg:cNvPr id="48" name="Chart 48"/>
                        <wpg:cNvFrPr>
                          <a:graphicFrameLocks noChangeAspect="1"/>
                        </wpg:cNvFrPr>
                        <wpg:xfrm>
                          <a:off x="3048000" y="1"/>
                          <a:ext cx="3024000" cy="2592000"/>
                        </wpg:xfrm>
                        <a:graphic>
                          <a:graphicData uri="http://schemas.openxmlformats.org/drawingml/2006/chart">
                            <c:chart xmlns:c="http://schemas.openxmlformats.org/drawingml/2006/chart" xmlns:r="http://schemas.openxmlformats.org/officeDocument/2006/relationships" r:id="rId39"/>
                          </a:graphicData>
                        </a:graphic>
                      </wpg:graphicFrame>
                    </wpg:wgp>
                  </a:graphicData>
                </a:graphic>
              </wp:inline>
            </w:drawing>
          </mc:Choice>
          <mc:Fallback>
            <w:pict>
              <v:group id="Group 4" o:spid="_x0000_s1026" style="width:478.1pt;height:204.05pt;mso-position-horizontal-relative:char;mso-position-vertical-relative:line" coordsize="60720,25920"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">
                <v:shape id="Chart 47" o:spid="_x0000_s1027" type="#_x0000_t75" style="position:absolute;left:-60;top:-60;width:30723;height:260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">
                  <v:imagedata r:id="rId40" o:title=""/>
                </v:shape>
                <v:shape id="Chart 48" o:spid="_x0000_s1028" type="#_x0000_t75" style="position:absolute;left:30419;top:-60;width:30359;height:2603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">
                  <v:imagedata r:id="rId41" o:title=""/>
                </v:shape>
                <w10:anchorlock/>
              </v:group>
            </w:pict>
          </mc:Fallback>
        </mc:AlternateContent>
      </w:r>
      <w:bookmarkEnd w:id="80"/>
    </w:p>
    <w:tbl>
      <w:tblPr>
        <w:tblStyle w:val="StandardTable"/>
        <w:tblpPr w:leftFromText="141" w:rightFromText="141" w:vertAnchor="text" w:horzAnchor="margin" w:tblpY="91"/>
        <w:tblW w:w="0" w:type="auto"/>
        <w:tblBorders>
          <w:top w:val="none" w:sz="0" w:space="0" w:color="auto"/>
          <w:bottom w:val="none" w:sz="0" w:space="0" w:color="auto"/>
        </w:tblBorders>
        <w:tblLayout w:type="fixed"/>
        <w:tblLook w:val="04A0" w:firstRow="1" w:lastRow="0" w:firstColumn="1" w:lastColumn="0" w:noHBand="0" w:noVBand="1"/>
      </w:tblPr>
      <w:tblGrid>
        <w:gridCol w:w="7773"/>
      </w:tblGrid>
      <w:tr w:rsidR="003721C4" w:rsidRPr="00CF3673" w:rsidTr="003721C4">
        <w:trPr>
          <w:cnfStyle w:val="100000000000" w:firstRow="1" w:lastRow="0" w:firstColumn="0" w:lastColumn="0" w:oddVBand="0" w:evenVBand="0" w:oddHBand="0" w:evenHBand="0" w:firstRowFirstColumn="0" w:firstRowLastColumn="0" w:lastRowFirstColumn="0" w:lastRowLastColumn="0"/>
          <w:trHeight w:val="300"/>
        </w:trPr>
        <w:tc>
          <w:tcPr>
            <w:tcW w:w="7773" w:type="dxa"/>
            <w:tcBorders>
              <w:top w:val="none" w:sz="0" w:space="0" w:color="auto"/>
              <w:left w:val="none" w:sz="0" w:space="0" w:color="auto"/>
              <w:bottom w:val="none" w:sz="0" w:space="0" w:color="auto"/>
              <w:right w:val="none" w:sz="0" w:space="0" w:color="auto"/>
            </w:tcBorders>
            <w:noWrap/>
          </w:tcPr>
          <w:p w:rsidR="003721C4" w:rsidRPr="00CF3673" w:rsidRDefault="003721C4" w:rsidP="002A5127">
            <w:pPr>
              <w:pStyle w:val="Tablenote"/>
              <w:spacing w:before="0"/>
              <w:rPr>
                <w:b/>
                <w:lang w:val="pt-PT"/>
              </w:rPr>
            </w:pPr>
            <w:r w:rsidRPr="00CF3673">
              <w:rPr>
                <w:b/>
                <w:lang w:val="pt-PT"/>
              </w:rPr>
              <w:t>Not</w:t>
            </w:r>
            <w:r w:rsidR="002A5127" w:rsidRPr="00CF3673">
              <w:rPr>
                <w:b/>
                <w:lang w:val="pt-PT"/>
              </w:rPr>
              <w:t>a</w:t>
            </w:r>
            <w:r w:rsidRPr="00CF3673">
              <w:rPr>
                <w:b/>
                <w:lang w:val="pt-PT"/>
              </w:rPr>
              <w:t>:</w:t>
            </w:r>
            <w:r w:rsidRPr="00CF3673">
              <w:rPr>
                <w:lang w:val="pt-PT"/>
              </w:rPr>
              <w:t xml:space="preserve"> </w:t>
            </w:r>
            <w:proofErr w:type="spellStart"/>
            <w:r w:rsidRPr="00CF3673">
              <w:rPr>
                <w:lang w:val="pt-PT"/>
              </w:rPr>
              <w:t>N</w:t>
            </w:r>
            <w:r w:rsidR="002A5127" w:rsidRPr="00CF3673">
              <w:rPr>
                <w:lang w:val="pt-PT"/>
              </w:rPr>
              <w:t>r</w:t>
            </w:r>
            <w:proofErr w:type="spellEnd"/>
            <w:r w:rsidR="002A5127" w:rsidRPr="00CF3673">
              <w:rPr>
                <w:lang w:val="pt-PT"/>
              </w:rPr>
              <w:t xml:space="preserve"> de observações: </w:t>
            </w:r>
            <w:r w:rsidR="00761AD0" w:rsidRPr="00CF3673">
              <w:rPr>
                <w:lang w:val="pt-PT"/>
              </w:rPr>
              <w:t>Bancário</w:t>
            </w:r>
            <w:r w:rsidRPr="00CF3673">
              <w:rPr>
                <w:lang w:val="pt-PT"/>
              </w:rPr>
              <w:t xml:space="preserve">: 107; </w:t>
            </w:r>
            <w:r w:rsidR="002A5127" w:rsidRPr="00CF3673">
              <w:rPr>
                <w:lang w:val="pt-PT"/>
              </w:rPr>
              <w:t>Não-</w:t>
            </w:r>
            <w:r w:rsidR="00761AD0" w:rsidRPr="00CF3673">
              <w:rPr>
                <w:lang w:val="pt-PT"/>
              </w:rPr>
              <w:t>bancário</w:t>
            </w:r>
            <w:r w:rsidRPr="00CF3673">
              <w:rPr>
                <w:lang w:val="pt-PT"/>
              </w:rPr>
              <w:t>: 39.</w:t>
            </w:r>
          </w:p>
        </w:tc>
      </w:tr>
      <w:tr w:rsidR="003721C4" w:rsidRPr="00CF3673" w:rsidTr="003721C4">
        <w:trPr>
          <w:trHeight w:val="300"/>
        </w:trPr>
        <w:tc>
          <w:tcPr>
            <w:tcW w:w="7773" w:type="dxa"/>
            <w:noWrap/>
          </w:tcPr>
          <w:p w:rsidR="003721C4" w:rsidRPr="00CF3673" w:rsidRDefault="002A5127" w:rsidP="002A5127">
            <w:pPr>
              <w:pStyle w:val="Tablenote"/>
              <w:spacing w:before="0"/>
              <w:rPr>
                <w:b/>
                <w:lang w:val="pt-PT"/>
              </w:rPr>
            </w:pPr>
            <w:r w:rsidRPr="00CF3673">
              <w:rPr>
                <w:b/>
                <w:lang w:val="pt-PT"/>
              </w:rPr>
              <w:t>Fonte</w:t>
            </w:r>
            <w:r w:rsidR="003721C4" w:rsidRPr="00CF3673">
              <w:rPr>
                <w:b/>
                <w:lang w:val="pt-PT"/>
              </w:rPr>
              <w:t>:</w:t>
            </w:r>
            <w:r w:rsidR="003721C4" w:rsidRPr="00CF3673">
              <w:rPr>
                <w:lang w:val="pt-PT"/>
              </w:rPr>
              <w:t xml:space="preserve"> </w:t>
            </w:r>
            <w:r w:rsidR="00761AD0" w:rsidRPr="00CF3673">
              <w:rPr>
                <w:lang w:val="pt-PT"/>
              </w:rPr>
              <w:t>Cálculos</w:t>
            </w:r>
            <w:r w:rsidRPr="00CF3673">
              <w:rPr>
                <w:lang w:val="pt-PT"/>
              </w:rPr>
              <w:t xml:space="preserve"> dos autores usando o </w:t>
            </w:r>
            <w:r w:rsidR="003721C4" w:rsidRPr="00CF3673">
              <w:rPr>
                <w:lang w:val="pt-PT"/>
              </w:rPr>
              <w:t>IIM 2012.</w:t>
            </w:r>
          </w:p>
        </w:tc>
      </w:tr>
    </w:tbl>
    <w:p w:rsidR="00A157B9" w:rsidRPr="00CF3673" w:rsidRDefault="00A157B9" w:rsidP="00461403">
      <w:pPr>
        <w:pStyle w:val="FigureTitle"/>
        <w:rPr>
          <w:lang w:val="pt-PT"/>
        </w:rPr>
      </w:pPr>
    </w:p>
    <w:p w:rsidR="00A157B9" w:rsidRPr="00CF3673" w:rsidRDefault="00A157B9">
      <w:pPr>
        <w:rPr>
          <w:b/>
        </w:rPr>
      </w:pPr>
      <w:r w:rsidRPr="00CF3673">
        <w:br w:type="page"/>
      </w:r>
    </w:p>
    <w:p w:rsidR="00255D65" w:rsidRPr="00CF3673" w:rsidRDefault="00761AD0" w:rsidP="001E6DDB">
      <w:pPr>
        <w:pStyle w:val="MainText"/>
        <w:rPr>
          <w:lang w:val="pt-PT"/>
        </w:rPr>
      </w:pPr>
      <w:r w:rsidRPr="00CF3673">
        <w:rPr>
          <w:lang w:val="pt-PT"/>
        </w:rPr>
        <w:lastRenderedPageBreak/>
        <w:t>Três</w:t>
      </w:r>
      <w:r w:rsidR="00255D65" w:rsidRPr="00CF3673">
        <w:rPr>
          <w:lang w:val="pt-PT"/>
        </w:rPr>
        <w:t xml:space="preserve"> grandes bancos (BIM, </w:t>
      </w:r>
      <w:proofErr w:type="spellStart"/>
      <w:r w:rsidR="00255D65" w:rsidRPr="00CF3673">
        <w:rPr>
          <w:lang w:val="pt-PT"/>
        </w:rPr>
        <w:t>Socremo</w:t>
      </w:r>
      <w:proofErr w:type="spellEnd"/>
      <w:r w:rsidR="00255D65" w:rsidRPr="00CF3673">
        <w:rPr>
          <w:lang w:val="pt-PT"/>
        </w:rPr>
        <w:t xml:space="preserve"> e </w:t>
      </w:r>
      <w:proofErr w:type="spellStart"/>
      <w:r w:rsidR="00255D65" w:rsidRPr="00CF3673">
        <w:rPr>
          <w:lang w:val="pt-PT"/>
        </w:rPr>
        <w:t>Procredito</w:t>
      </w:r>
      <w:proofErr w:type="spellEnd"/>
      <w:r w:rsidR="00255D65" w:rsidRPr="00CF3673">
        <w:rPr>
          <w:lang w:val="pt-PT"/>
        </w:rPr>
        <w:t xml:space="preserve">) cada um deles tem 20% dos </w:t>
      </w:r>
      <w:r w:rsidRPr="00CF3673">
        <w:rPr>
          <w:lang w:val="pt-PT"/>
        </w:rPr>
        <w:t>créditos</w:t>
      </w:r>
      <w:r w:rsidR="00255D65" w:rsidRPr="00CF3673">
        <w:rPr>
          <w:lang w:val="pt-PT"/>
        </w:rPr>
        <w:t xml:space="preserve"> bancários na amostra. BCI e Banco </w:t>
      </w:r>
      <w:proofErr w:type="spellStart"/>
      <w:r w:rsidR="00255D65" w:rsidRPr="00CF3673">
        <w:rPr>
          <w:lang w:val="pt-PT"/>
        </w:rPr>
        <w:t>Tchuma</w:t>
      </w:r>
      <w:proofErr w:type="spellEnd"/>
      <w:r w:rsidR="00255D65" w:rsidRPr="00CF3673">
        <w:rPr>
          <w:lang w:val="pt-PT"/>
        </w:rPr>
        <w:t xml:space="preserve"> têm os 16% e os restantes 27% são detidos por outros Bancos. Superficialmente parece existir variadas fontes de </w:t>
      </w:r>
      <w:r w:rsidRPr="00CF3673">
        <w:rPr>
          <w:lang w:val="pt-PT"/>
        </w:rPr>
        <w:t>créditos</w:t>
      </w:r>
      <w:r w:rsidR="00255D65" w:rsidRPr="00CF3673">
        <w:rPr>
          <w:lang w:val="pt-PT"/>
        </w:rPr>
        <w:t xml:space="preserve"> para as empresas manufactureiras em Moçambique para a PMEs. Os </w:t>
      </w:r>
      <w:r w:rsidRPr="00CF3673">
        <w:rPr>
          <w:lang w:val="pt-PT"/>
        </w:rPr>
        <w:t>créditos</w:t>
      </w:r>
      <w:r w:rsidR="00255D65" w:rsidRPr="00CF3673">
        <w:rPr>
          <w:lang w:val="pt-PT"/>
        </w:rPr>
        <w:t xml:space="preserve"> não-bancários vêm predominantemente dos credores do sector privado (44% dos </w:t>
      </w:r>
      <w:r w:rsidRPr="00CF3673">
        <w:rPr>
          <w:lang w:val="pt-PT"/>
        </w:rPr>
        <w:t>créditos</w:t>
      </w:r>
      <w:r w:rsidR="00255D65" w:rsidRPr="00CF3673">
        <w:rPr>
          <w:lang w:val="pt-PT"/>
        </w:rPr>
        <w:t xml:space="preserve">) e amigos e famílias (28% dos </w:t>
      </w:r>
      <w:r w:rsidRPr="00CF3673">
        <w:rPr>
          <w:lang w:val="pt-PT"/>
        </w:rPr>
        <w:t>créditos</w:t>
      </w:r>
      <w:r w:rsidR="00255D65" w:rsidRPr="00CF3673">
        <w:rPr>
          <w:lang w:val="pt-PT"/>
        </w:rPr>
        <w:t>).</w:t>
      </w:r>
    </w:p>
    <w:p w:rsidR="00255D65" w:rsidRPr="00CF3673" w:rsidRDefault="00CB3FC1" w:rsidP="001E664B">
      <w:pPr>
        <w:pStyle w:val="MainText"/>
        <w:rPr>
          <w:lang w:val="pt-PT"/>
        </w:rPr>
      </w:pPr>
      <w:r w:rsidRPr="00CF3673">
        <w:rPr>
          <w:lang w:val="pt-PT"/>
        </w:rPr>
        <w:t xml:space="preserve">O </w:t>
      </w:r>
      <w:r w:rsidR="005E2DFC" w:rsidRPr="00CF3673">
        <w:rPr>
          <w:lang w:val="pt-PT"/>
        </w:rPr>
        <w:t>número</w:t>
      </w:r>
      <w:r w:rsidRPr="00CF3673">
        <w:rPr>
          <w:lang w:val="pt-PT"/>
        </w:rPr>
        <w:t xml:space="preserve"> de bancos terá aumentado desde que feita a </w:t>
      </w:r>
      <w:proofErr w:type="spellStart"/>
      <w:r w:rsidRPr="00CF3673">
        <w:rPr>
          <w:lang w:val="pt-PT"/>
        </w:rPr>
        <w:t>primera</w:t>
      </w:r>
      <w:proofErr w:type="spellEnd"/>
      <w:r w:rsidRPr="00CF3673">
        <w:rPr>
          <w:lang w:val="pt-PT"/>
        </w:rPr>
        <w:t xml:space="preserve"> avaliação sobre o clima de investimento (RPED, 1999) o que poderá sugerir haver uma competição do lado da oferta, o que poderá ser bom para as empresas.</w:t>
      </w:r>
      <w:r w:rsidRPr="00CF3673">
        <w:rPr>
          <w:rStyle w:val="FootnoteReference"/>
          <w:lang w:val="pt-PT"/>
        </w:rPr>
        <w:footnoteReference w:id="41"/>
      </w:r>
      <w:r w:rsidRPr="00CF3673">
        <w:rPr>
          <w:lang w:val="pt-PT"/>
        </w:rPr>
        <w:t xml:space="preserve"> Por outro lado, enquanto o Banco Central reduziu as taxas de juro de 15 para 10.5% durante o ano de 2012, não houve baixa das taxas de juros nos bancos comerciais (Agencia de Informação de Informação, Novembro 7, 2012)</w:t>
      </w:r>
      <w:r w:rsidR="004B7779" w:rsidRPr="00CF3673">
        <w:rPr>
          <w:lang w:val="pt-PT"/>
        </w:rPr>
        <w:t>. Isto significa que a competição entre os Bancos irá melhorar.</w:t>
      </w:r>
    </w:p>
    <w:p w:rsidR="004B7779" w:rsidRPr="00CF3673" w:rsidRDefault="004B7779" w:rsidP="001E664B">
      <w:pPr>
        <w:pStyle w:val="MainText"/>
        <w:rPr>
          <w:lang w:val="pt-PT"/>
        </w:rPr>
      </w:pPr>
      <w:r w:rsidRPr="00CF3673">
        <w:rPr>
          <w:lang w:val="pt-PT"/>
        </w:rPr>
        <w:t xml:space="preserve">A tabela 9.3 compara </w:t>
      </w:r>
      <w:r w:rsidR="00761AD0" w:rsidRPr="00CF3673">
        <w:rPr>
          <w:lang w:val="pt-PT"/>
        </w:rPr>
        <w:t>empréstimos</w:t>
      </w:r>
      <w:r w:rsidRPr="00CF3673">
        <w:rPr>
          <w:lang w:val="pt-PT"/>
        </w:rPr>
        <w:t xml:space="preserve"> </w:t>
      </w:r>
      <w:r w:rsidR="00761AD0" w:rsidRPr="00CF3673">
        <w:rPr>
          <w:lang w:val="pt-PT"/>
        </w:rPr>
        <w:t>bancários</w:t>
      </w:r>
      <w:r w:rsidRPr="00CF3673">
        <w:rPr>
          <w:lang w:val="pt-PT"/>
        </w:rPr>
        <w:t xml:space="preserve"> e não bancários. </w:t>
      </w:r>
      <w:r w:rsidR="00535A4E" w:rsidRPr="00CF3673">
        <w:rPr>
          <w:lang w:val="pt-PT"/>
        </w:rPr>
        <w:t>A média e mediana dos montantes do crédito são três vezes maiores que os credito não-</w:t>
      </w:r>
      <w:r w:rsidR="00761AD0" w:rsidRPr="00CF3673">
        <w:rPr>
          <w:lang w:val="pt-PT"/>
        </w:rPr>
        <w:t>bancários</w:t>
      </w:r>
      <w:r w:rsidR="00535A4E" w:rsidRPr="00CF3673">
        <w:rPr>
          <w:lang w:val="pt-PT"/>
        </w:rPr>
        <w:t xml:space="preserve">. Mas os </w:t>
      </w:r>
      <w:r w:rsidR="00761AD0" w:rsidRPr="00CF3673">
        <w:rPr>
          <w:lang w:val="pt-PT"/>
        </w:rPr>
        <w:t>créditos</w:t>
      </w:r>
      <w:r w:rsidR="00535A4E" w:rsidRPr="00CF3673">
        <w:rPr>
          <w:lang w:val="pt-PT"/>
        </w:rPr>
        <w:t xml:space="preserve"> bancários parecem sujeitos </w:t>
      </w:r>
      <w:r w:rsidR="00761AD0" w:rsidRPr="00CF3673">
        <w:rPr>
          <w:lang w:val="pt-PT"/>
        </w:rPr>
        <w:t>há</w:t>
      </w:r>
      <w:r w:rsidR="00535A4E" w:rsidRPr="00CF3673">
        <w:rPr>
          <w:lang w:val="pt-PT"/>
        </w:rPr>
        <w:t xml:space="preserve"> elevadas taxas de juros, sendo a mediana de 10% acima por ano, </w:t>
      </w:r>
      <w:r w:rsidR="00761AD0" w:rsidRPr="00CF3673">
        <w:rPr>
          <w:lang w:val="pt-PT"/>
        </w:rPr>
        <w:t>talvez</w:t>
      </w:r>
      <w:r w:rsidR="00535A4E" w:rsidRPr="00CF3673">
        <w:rPr>
          <w:lang w:val="pt-PT"/>
        </w:rPr>
        <w:t xml:space="preserve"> porque os bancos podem fazer uso do conhecimento menos tácito do devedor. </w:t>
      </w:r>
    </w:p>
    <w:p w:rsidR="00D4743B" w:rsidRPr="00CF3673" w:rsidRDefault="00E333A2" w:rsidP="00461403">
      <w:pPr>
        <w:pStyle w:val="TableTitle"/>
        <w:rPr>
          <w:lang w:val="pt-PT"/>
        </w:rPr>
      </w:pPr>
      <w:bookmarkStart w:id="81" w:name="_Toc360720498"/>
      <w:r w:rsidRPr="00CF3673">
        <w:rPr>
          <w:lang w:val="pt-PT"/>
        </w:rPr>
        <w:t>Tab</w:t>
      </w:r>
      <w:r w:rsidR="00535A4E" w:rsidRPr="00CF3673">
        <w:rPr>
          <w:lang w:val="pt-PT"/>
        </w:rPr>
        <w:t>ela</w:t>
      </w:r>
      <w:r w:rsidR="00D4743B" w:rsidRPr="00CF3673">
        <w:rPr>
          <w:lang w:val="pt-PT"/>
        </w:rPr>
        <w:t xml:space="preserve"> </w:t>
      </w:r>
      <w:r w:rsidR="006102AC" w:rsidRPr="00CF3673">
        <w:rPr>
          <w:lang w:val="pt-PT"/>
        </w:rPr>
        <w:t>9</w:t>
      </w:r>
      <w:r w:rsidR="00D4743B" w:rsidRPr="00CF3673">
        <w:rPr>
          <w:lang w:val="pt-PT"/>
        </w:rPr>
        <w:t>.</w:t>
      </w:r>
      <w:r w:rsidR="00455BE8" w:rsidRPr="00CF3673">
        <w:rPr>
          <w:lang w:val="pt-PT"/>
        </w:rPr>
        <w:t>3</w:t>
      </w:r>
      <w:r w:rsidR="00EC1070" w:rsidRPr="00CF3673">
        <w:rPr>
          <w:lang w:val="pt-PT"/>
        </w:rPr>
        <w:t xml:space="preserve">: </w:t>
      </w:r>
      <w:r w:rsidR="00535A4E" w:rsidRPr="00CF3673">
        <w:rPr>
          <w:lang w:val="pt-PT"/>
        </w:rPr>
        <w:t xml:space="preserve">Características do </w:t>
      </w:r>
      <w:r w:rsidR="00761AD0" w:rsidRPr="00CF3673">
        <w:rPr>
          <w:lang w:val="pt-PT"/>
        </w:rPr>
        <w:t>empréstimo</w:t>
      </w:r>
      <w:r w:rsidR="00535A4E" w:rsidRPr="00CF3673">
        <w:rPr>
          <w:lang w:val="pt-PT"/>
        </w:rPr>
        <w:t xml:space="preserve"> por tipo de </w:t>
      </w:r>
      <w:bookmarkEnd w:id="81"/>
      <w:r w:rsidR="00761AD0" w:rsidRPr="00CF3673">
        <w:rPr>
          <w:lang w:val="pt-PT"/>
        </w:rPr>
        <w:t>empréstimo</w:t>
      </w:r>
    </w:p>
    <w:tbl>
      <w:tblPr>
        <w:tblStyle w:val="StandardTable"/>
        <w:tblW w:w="0" w:type="auto"/>
        <w:jc w:val="center"/>
        <w:tblInd w:w="-606" w:type="dxa"/>
        <w:tblLayout w:type="fixed"/>
        <w:tblLook w:val="04A0" w:firstRow="1" w:lastRow="0" w:firstColumn="1" w:lastColumn="0" w:noHBand="0" w:noVBand="1"/>
      </w:tblPr>
      <w:tblGrid>
        <w:gridCol w:w="2526"/>
        <w:gridCol w:w="1026"/>
        <w:gridCol w:w="2069"/>
      </w:tblGrid>
      <w:tr w:rsidR="00EC1070" w:rsidRPr="00CF3673" w:rsidTr="008B3FDD">
        <w:trPr>
          <w:cnfStyle w:val="100000000000" w:firstRow="1" w:lastRow="0" w:firstColumn="0" w:lastColumn="0" w:oddVBand="0" w:evenVBand="0" w:oddHBand="0" w:evenHBand="0" w:firstRowFirstColumn="0" w:firstRowLastColumn="0" w:lastRowFirstColumn="0" w:lastRowLastColumn="0"/>
          <w:trHeight w:val="300"/>
          <w:jc w:val="center"/>
        </w:trPr>
        <w:tc>
          <w:tcPr>
            <w:tcW w:w="2526" w:type="dxa"/>
            <w:noWrap/>
            <w:hideMark/>
          </w:tcPr>
          <w:p w:rsidR="00EC1070" w:rsidRPr="00CF3673" w:rsidRDefault="00EC1070" w:rsidP="00DF73B0">
            <w:pPr>
              <w:rPr>
                <w:rFonts w:ascii="Calibri" w:eastAsia="Times New Roman" w:hAnsi="Calibri" w:cs="Times New Roman"/>
                <w:lang w:eastAsia="zh-CN"/>
              </w:rPr>
            </w:pPr>
          </w:p>
        </w:tc>
        <w:tc>
          <w:tcPr>
            <w:tcW w:w="1026" w:type="dxa"/>
            <w:noWrap/>
            <w:hideMark/>
          </w:tcPr>
          <w:p w:rsidR="00EC1070" w:rsidRPr="00CF3673" w:rsidRDefault="00535A4E" w:rsidP="00DF73B0">
            <w:pPr>
              <w:jc w:val="center"/>
              <w:rPr>
                <w:rFonts w:ascii="Calibri" w:eastAsia="Times New Roman" w:hAnsi="Calibri" w:cs="Times New Roman"/>
                <w:lang w:eastAsia="zh-CN"/>
              </w:rPr>
            </w:pPr>
            <w:r w:rsidRPr="00CF3673">
              <w:rPr>
                <w:rFonts w:ascii="Calibri" w:eastAsia="Times New Roman" w:hAnsi="Calibri" w:cs="Times New Roman"/>
                <w:lang w:eastAsia="zh-CN"/>
              </w:rPr>
              <w:t xml:space="preserve">Credito </w:t>
            </w:r>
            <w:r w:rsidR="00761AD0" w:rsidRPr="00CF3673">
              <w:rPr>
                <w:rFonts w:ascii="Calibri" w:eastAsia="Times New Roman" w:hAnsi="Calibri" w:cs="Times New Roman"/>
                <w:lang w:eastAsia="zh-CN"/>
              </w:rPr>
              <w:t>bancário</w:t>
            </w:r>
          </w:p>
        </w:tc>
        <w:tc>
          <w:tcPr>
            <w:tcW w:w="2069" w:type="dxa"/>
            <w:noWrap/>
            <w:hideMark/>
          </w:tcPr>
          <w:p w:rsidR="00EC1070" w:rsidRPr="00CF3673" w:rsidRDefault="00535A4E" w:rsidP="00DF73B0">
            <w:pPr>
              <w:jc w:val="center"/>
              <w:rPr>
                <w:rFonts w:ascii="Calibri" w:eastAsia="Times New Roman" w:hAnsi="Calibri" w:cs="Times New Roman"/>
                <w:lang w:eastAsia="zh-CN"/>
              </w:rPr>
            </w:pPr>
            <w:r w:rsidRPr="00CF3673">
              <w:rPr>
                <w:rFonts w:ascii="Calibri" w:eastAsia="Times New Roman" w:hAnsi="Calibri" w:cs="Times New Roman"/>
                <w:lang w:eastAsia="zh-CN"/>
              </w:rPr>
              <w:t>Credito não-</w:t>
            </w:r>
            <w:r w:rsidR="00761AD0" w:rsidRPr="00CF3673">
              <w:rPr>
                <w:rFonts w:ascii="Calibri" w:eastAsia="Times New Roman" w:hAnsi="Calibri" w:cs="Times New Roman"/>
                <w:lang w:eastAsia="zh-CN"/>
              </w:rPr>
              <w:t>bancário</w:t>
            </w:r>
          </w:p>
        </w:tc>
      </w:tr>
      <w:tr w:rsidR="00582B04" w:rsidRPr="00CF3673" w:rsidTr="008B3FDD">
        <w:trPr>
          <w:trHeight w:val="300"/>
          <w:jc w:val="center"/>
        </w:trPr>
        <w:tc>
          <w:tcPr>
            <w:tcW w:w="2526" w:type="dxa"/>
            <w:noWrap/>
            <w:hideMark/>
          </w:tcPr>
          <w:p w:rsidR="00582B04" w:rsidRPr="00CF3673" w:rsidRDefault="00761AD0" w:rsidP="00DF73B0">
            <w:pPr>
              <w:rPr>
                <w:rFonts w:ascii="Calibri" w:eastAsia="Times New Roman" w:hAnsi="Calibri" w:cs="Times New Roman"/>
                <w:lang w:eastAsia="zh-CN"/>
              </w:rPr>
            </w:pPr>
            <w:r w:rsidRPr="00CF3673">
              <w:rPr>
                <w:rFonts w:ascii="Calibri" w:eastAsia="Times New Roman" w:hAnsi="Calibri" w:cs="Times New Roman"/>
                <w:lang w:eastAsia="zh-CN"/>
              </w:rPr>
              <w:t>Média</w:t>
            </w:r>
            <w:r w:rsidR="00535A4E" w:rsidRPr="00CF3673">
              <w:rPr>
                <w:rFonts w:ascii="Calibri" w:eastAsia="Times New Roman" w:hAnsi="Calibri" w:cs="Times New Roman"/>
                <w:lang w:eastAsia="zh-CN"/>
              </w:rPr>
              <w:t xml:space="preserve"> do montante do </w:t>
            </w:r>
            <w:r w:rsidRPr="00CF3673">
              <w:rPr>
                <w:rFonts w:ascii="Calibri" w:eastAsia="Times New Roman" w:hAnsi="Calibri" w:cs="Times New Roman"/>
                <w:lang w:eastAsia="zh-CN"/>
              </w:rPr>
              <w:t>crédito</w:t>
            </w:r>
            <w:r w:rsidR="00535A4E" w:rsidRPr="00CF3673">
              <w:rPr>
                <w:rFonts w:ascii="Calibri" w:eastAsia="Times New Roman" w:hAnsi="Calibri" w:cs="Times New Roman"/>
                <w:lang w:eastAsia="zh-CN"/>
              </w:rPr>
              <w:t xml:space="preserve"> </w:t>
            </w:r>
          </w:p>
        </w:tc>
        <w:tc>
          <w:tcPr>
            <w:tcW w:w="1026" w:type="dxa"/>
            <w:noWrap/>
            <w:hideMark/>
          </w:tcPr>
          <w:p w:rsidR="00582B04" w:rsidRPr="00CF3673" w:rsidRDefault="00582B04" w:rsidP="00582B04">
            <w:pPr>
              <w:jc w:val="center"/>
            </w:pPr>
            <w:r w:rsidRPr="00CF3673">
              <w:t>2,862,183</w:t>
            </w:r>
          </w:p>
        </w:tc>
        <w:tc>
          <w:tcPr>
            <w:tcW w:w="2069" w:type="dxa"/>
            <w:noWrap/>
            <w:hideMark/>
          </w:tcPr>
          <w:p w:rsidR="00582B04" w:rsidRPr="00CF3673" w:rsidRDefault="00582B04" w:rsidP="00582B04">
            <w:pPr>
              <w:jc w:val="center"/>
            </w:pPr>
            <w:r w:rsidRPr="00CF3673">
              <w:t>942,767</w:t>
            </w:r>
          </w:p>
        </w:tc>
      </w:tr>
      <w:tr w:rsidR="00582B04" w:rsidRPr="00CF3673" w:rsidTr="008B3FDD">
        <w:trPr>
          <w:trHeight w:val="300"/>
          <w:jc w:val="center"/>
        </w:trPr>
        <w:tc>
          <w:tcPr>
            <w:tcW w:w="2526" w:type="dxa"/>
            <w:noWrap/>
            <w:hideMark/>
          </w:tcPr>
          <w:p w:rsidR="00582B04" w:rsidRPr="00CF3673" w:rsidRDefault="00582B04" w:rsidP="00535A4E">
            <w:pPr>
              <w:rPr>
                <w:rFonts w:ascii="Calibri" w:eastAsia="Times New Roman" w:hAnsi="Calibri" w:cs="Times New Roman"/>
                <w:lang w:eastAsia="zh-CN"/>
              </w:rPr>
            </w:pPr>
            <w:r w:rsidRPr="00CF3673">
              <w:rPr>
                <w:rFonts w:ascii="Calibri" w:eastAsia="Times New Roman" w:hAnsi="Calibri" w:cs="Times New Roman"/>
                <w:lang w:eastAsia="zh-CN"/>
              </w:rPr>
              <w:t>Median</w:t>
            </w:r>
            <w:r w:rsidR="00535A4E" w:rsidRPr="00CF3673">
              <w:rPr>
                <w:rFonts w:ascii="Calibri" w:eastAsia="Times New Roman" w:hAnsi="Calibri" w:cs="Times New Roman"/>
                <w:lang w:eastAsia="zh-CN"/>
              </w:rPr>
              <w:t>a</w:t>
            </w:r>
            <w:r w:rsidRPr="00CF3673">
              <w:rPr>
                <w:rFonts w:ascii="Calibri" w:eastAsia="Times New Roman" w:hAnsi="Calibri" w:cs="Times New Roman"/>
                <w:lang w:eastAsia="zh-CN"/>
              </w:rPr>
              <w:t xml:space="preserve"> </w:t>
            </w:r>
            <w:r w:rsidR="00535A4E" w:rsidRPr="00CF3673">
              <w:rPr>
                <w:rFonts w:ascii="Calibri" w:eastAsia="Times New Roman" w:hAnsi="Calibri" w:cs="Times New Roman"/>
                <w:lang w:eastAsia="zh-CN"/>
              </w:rPr>
              <w:t xml:space="preserve">do montante do </w:t>
            </w:r>
            <w:r w:rsidR="00761AD0" w:rsidRPr="00CF3673">
              <w:rPr>
                <w:rFonts w:ascii="Calibri" w:eastAsia="Times New Roman" w:hAnsi="Calibri" w:cs="Times New Roman"/>
                <w:lang w:eastAsia="zh-CN"/>
              </w:rPr>
              <w:t>crédito</w:t>
            </w:r>
          </w:p>
        </w:tc>
        <w:tc>
          <w:tcPr>
            <w:tcW w:w="1026" w:type="dxa"/>
            <w:noWrap/>
            <w:hideMark/>
          </w:tcPr>
          <w:p w:rsidR="00582B04" w:rsidRPr="00CF3673" w:rsidRDefault="00582B04" w:rsidP="00582B04">
            <w:pPr>
              <w:jc w:val="center"/>
            </w:pPr>
            <w:r w:rsidRPr="00CF3673">
              <w:t>100,000</w:t>
            </w:r>
          </w:p>
        </w:tc>
        <w:tc>
          <w:tcPr>
            <w:tcW w:w="2069" w:type="dxa"/>
            <w:noWrap/>
            <w:hideMark/>
          </w:tcPr>
          <w:p w:rsidR="00582B04" w:rsidRPr="00CF3673" w:rsidRDefault="00582B04" w:rsidP="00582B04">
            <w:pPr>
              <w:jc w:val="center"/>
            </w:pPr>
            <w:r w:rsidRPr="00CF3673">
              <w:t>30,000</w:t>
            </w:r>
          </w:p>
        </w:tc>
      </w:tr>
      <w:tr w:rsidR="00582B04" w:rsidRPr="00CF3673" w:rsidTr="008B3FDD">
        <w:trPr>
          <w:trHeight w:val="300"/>
          <w:jc w:val="center"/>
        </w:trPr>
        <w:tc>
          <w:tcPr>
            <w:tcW w:w="2526" w:type="dxa"/>
            <w:tcBorders>
              <w:bottom w:val="nil"/>
            </w:tcBorders>
            <w:noWrap/>
            <w:hideMark/>
          </w:tcPr>
          <w:p w:rsidR="00582B04" w:rsidRPr="00CF3673" w:rsidRDefault="00761AD0" w:rsidP="00535A4E">
            <w:pPr>
              <w:rPr>
                <w:rFonts w:ascii="Calibri" w:eastAsia="Times New Roman" w:hAnsi="Calibri" w:cs="Times New Roman"/>
                <w:lang w:eastAsia="zh-CN"/>
              </w:rPr>
            </w:pPr>
            <w:r w:rsidRPr="00CF3673">
              <w:rPr>
                <w:rFonts w:ascii="Calibri" w:eastAsia="Times New Roman" w:hAnsi="Calibri" w:cs="Times New Roman"/>
                <w:lang w:eastAsia="zh-CN"/>
              </w:rPr>
              <w:t>Média</w:t>
            </w:r>
            <w:r w:rsidR="00535A4E" w:rsidRPr="00CF3673">
              <w:rPr>
                <w:rFonts w:ascii="Calibri" w:eastAsia="Times New Roman" w:hAnsi="Calibri" w:cs="Times New Roman"/>
                <w:lang w:eastAsia="zh-CN"/>
              </w:rPr>
              <w:t xml:space="preserve"> da taxa de juro/ano</w:t>
            </w:r>
          </w:p>
        </w:tc>
        <w:tc>
          <w:tcPr>
            <w:tcW w:w="1026" w:type="dxa"/>
            <w:tcBorders>
              <w:bottom w:val="nil"/>
            </w:tcBorders>
            <w:noWrap/>
            <w:hideMark/>
          </w:tcPr>
          <w:p w:rsidR="00582B04" w:rsidRPr="00CF3673" w:rsidRDefault="00582B04" w:rsidP="00582B04">
            <w:pPr>
              <w:jc w:val="center"/>
            </w:pPr>
            <w:r w:rsidRPr="00CF3673">
              <w:t>18.3</w:t>
            </w:r>
          </w:p>
        </w:tc>
        <w:tc>
          <w:tcPr>
            <w:tcW w:w="2069" w:type="dxa"/>
            <w:tcBorders>
              <w:bottom w:val="nil"/>
            </w:tcBorders>
            <w:noWrap/>
            <w:hideMark/>
          </w:tcPr>
          <w:p w:rsidR="00582B04" w:rsidRPr="00CF3673" w:rsidRDefault="00582B04" w:rsidP="00582B04">
            <w:pPr>
              <w:jc w:val="center"/>
            </w:pPr>
            <w:r w:rsidRPr="00CF3673">
              <w:t>13.4</w:t>
            </w:r>
          </w:p>
        </w:tc>
      </w:tr>
      <w:tr w:rsidR="00582B04" w:rsidRPr="00CF3673" w:rsidTr="008B3FDD">
        <w:trPr>
          <w:trHeight w:val="300"/>
          <w:jc w:val="center"/>
        </w:trPr>
        <w:tc>
          <w:tcPr>
            <w:tcW w:w="2526" w:type="dxa"/>
            <w:tcBorders>
              <w:top w:val="nil"/>
              <w:bottom w:val="single" w:sz="4" w:space="0" w:color="auto"/>
            </w:tcBorders>
            <w:noWrap/>
            <w:hideMark/>
          </w:tcPr>
          <w:p w:rsidR="00582B04" w:rsidRPr="00CF3673" w:rsidRDefault="00582B04" w:rsidP="00535A4E">
            <w:pPr>
              <w:rPr>
                <w:rFonts w:ascii="Calibri" w:eastAsia="Times New Roman" w:hAnsi="Calibri" w:cs="Times New Roman"/>
                <w:lang w:eastAsia="zh-CN"/>
              </w:rPr>
            </w:pPr>
            <w:r w:rsidRPr="00CF3673">
              <w:rPr>
                <w:rFonts w:ascii="Calibri" w:eastAsia="Times New Roman" w:hAnsi="Calibri" w:cs="Times New Roman"/>
                <w:lang w:eastAsia="zh-CN"/>
              </w:rPr>
              <w:t>Median</w:t>
            </w:r>
            <w:r w:rsidR="00535A4E" w:rsidRPr="00CF3673">
              <w:rPr>
                <w:rFonts w:ascii="Calibri" w:eastAsia="Times New Roman" w:hAnsi="Calibri" w:cs="Times New Roman"/>
                <w:lang w:eastAsia="zh-CN"/>
              </w:rPr>
              <w:t>a da taxa de juro/ano</w:t>
            </w:r>
          </w:p>
        </w:tc>
        <w:tc>
          <w:tcPr>
            <w:tcW w:w="1026" w:type="dxa"/>
            <w:tcBorders>
              <w:top w:val="nil"/>
              <w:bottom w:val="single" w:sz="4" w:space="0" w:color="auto"/>
            </w:tcBorders>
            <w:noWrap/>
            <w:hideMark/>
          </w:tcPr>
          <w:p w:rsidR="00582B04" w:rsidRPr="00CF3673" w:rsidRDefault="00582B04" w:rsidP="00582B04">
            <w:pPr>
              <w:jc w:val="center"/>
            </w:pPr>
            <w:r w:rsidRPr="00CF3673">
              <w:t>15.0</w:t>
            </w:r>
          </w:p>
        </w:tc>
        <w:tc>
          <w:tcPr>
            <w:tcW w:w="2069" w:type="dxa"/>
            <w:tcBorders>
              <w:top w:val="nil"/>
              <w:bottom w:val="single" w:sz="4" w:space="0" w:color="auto"/>
            </w:tcBorders>
            <w:noWrap/>
            <w:hideMark/>
          </w:tcPr>
          <w:p w:rsidR="00582B04" w:rsidRPr="00CF3673" w:rsidRDefault="00582B04" w:rsidP="00582B04">
            <w:pPr>
              <w:jc w:val="center"/>
            </w:pPr>
            <w:r w:rsidRPr="00CF3673">
              <w:t>5.0</w:t>
            </w:r>
          </w:p>
        </w:tc>
      </w:tr>
      <w:tr w:rsidR="00582B04" w:rsidRPr="00CF3673" w:rsidTr="008B3FDD">
        <w:trPr>
          <w:trHeight w:val="300"/>
          <w:jc w:val="center"/>
        </w:trPr>
        <w:tc>
          <w:tcPr>
            <w:tcW w:w="2526" w:type="dxa"/>
            <w:tcBorders>
              <w:top w:val="single" w:sz="4" w:space="0" w:color="auto"/>
              <w:bottom w:val="double" w:sz="4" w:space="0" w:color="auto"/>
            </w:tcBorders>
            <w:noWrap/>
            <w:hideMark/>
          </w:tcPr>
          <w:p w:rsidR="00582B04" w:rsidRPr="00CF3673" w:rsidRDefault="00356A0A" w:rsidP="00535A4E">
            <w:pPr>
              <w:rPr>
                <w:rFonts w:ascii="Calibri" w:eastAsia="Times New Roman" w:hAnsi="Calibri" w:cs="Times New Roman"/>
                <w:lang w:eastAsia="zh-CN"/>
              </w:rPr>
            </w:pPr>
            <w:r w:rsidRPr="00CF3673">
              <w:rPr>
                <w:rFonts w:ascii="Calibri" w:eastAsia="Times New Roman" w:hAnsi="Calibri" w:cs="Times New Roman"/>
                <w:lang w:eastAsia="zh-CN"/>
              </w:rPr>
              <w:t xml:space="preserve">No. </w:t>
            </w:r>
            <w:r w:rsidR="00535A4E" w:rsidRPr="00CF3673">
              <w:rPr>
                <w:rFonts w:ascii="Calibri" w:eastAsia="Times New Roman" w:hAnsi="Calibri" w:cs="Times New Roman"/>
                <w:lang w:eastAsia="zh-CN"/>
              </w:rPr>
              <w:t>de</w:t>
            </w:r>
            <w:r w:rsidRPr="00CF3673">
              <w:rPr>
                <w:rFonts w:ascii="Calibri" w:eastAsia="Times New Roman" w:hAnsi="Calibri" w:cs="Times New Roman"/>
                <w:lang w:eastAsia="zh-CN"/>
              </w:rPr>
              <w:t xml:space="preserve"> o</w:t>
            </w:r>
            <w:r w:rsidR="00582B04" w:rsidRPr="00CF3673">
              <w:rPr>
                <w:rFonts w:ascii="Calibri" w:eastAsia="Times New Roman" w:hAnsi="Calibri" w:cs="Times New Roman"/>
                <w:lang w:eastAsia="zh-CN"/>
              </w:rPr>
              <w:t>bs.</w:t>
            </w:r>
          </w:p>
        </w:tc>
        <w:tc>
          <w:tcPr>
            <w:tcW w:w="1026" w:type="dxa"/>
            <w:tcBorders>
              <w:top w:val="single" w:sz="4" w:space="0" w:color="auto"/>
              <w:bottom w:val="double" w:sz="4" w:space="0" w:color="auto"/>
            </w:tcBorders>
            <w:noWrap/>
            <w:hideMark/>
          </w:tcPr>
          <w:p w:rsidR="00582B04" w:rsidRPr="00CF3673" w:rsidRDefault="00582B04" w:rsidP="00582B04">
            <w:pPr>
              <w:jc w:val="center"/>
            </w:pPr>
            <w:r w:rsidRPr="00CF3673">
              <w:t>92</w:t>
            </w:r>
          </w:p>
        </w:tc>
        <w:tc>
          <w:tcPr>
            <w:tcW w:w="2069" w:type="dxa"/>
            <w:tcBorders>
              <w:top w:val="single" w:sz="4" w:space="0" w:color="auto"/>
              <w:bottom w:val="double" w:sz="4" w:space="0" w:color="auto"/>
            </w:tcBorders>
            <w:noWrap/>
            <w:hideMark/>
          </w:tcPr>
          <w:p w:rsidR="00582B04" w:rsidRPr="00CF3673" w:rsidRDefault="00582B04" w:rsidP="00582B04">
            <w:pPr>
              <w:jc w:val="center"/>
            </w:pPr>
            <w:r w:rsidRPr="00CF3673">
              <w:t>24</w:t>
            </w:r>
          </w:p>
        </w:tc>
      </w:tr>
      <w:tr w:rsidR="00582B04" w:rsidRPr="00CF3673" w:rsidTr="008B3FDD">
        <w:trPr>
          <w:trHeight w:val="300"/>
          <w:jc w:val="center"/>
        </w:trPr>
        <w:tc>
          <w:tcPr>
            <w:tcW w:w="5621" w:type="dxa"/>
            <w:gridSpan w:val="3"/>
            <w:tcBorders>
              <w:top w:val="double" w:sz="4" w:space="0" w:color="auto"/>
              <w:bottom w:val="nil"/>
            </w:tcBorders>
            <w:noWrap/>
          </w:tcPr>
          <w:p w:rsidR="00582B04" w:rsidRPr="00CF3673" w:rsidRDefault="00582B04" w:rsidP="005E2DFC">
            <w:pPr>
              <w:pStyle w:val="Tablenote"/>
              <w:rPr>
                <w:b/>
                <w:lang w:val="pt-PT"/>
              </w:rPr>
            </w:pPr>
            <w:r w:rsidRPr="00CF3673">
              <w:rPr>
                <w:b/>
                <w:lang w:val="pt-PT"/>
              </w:rPr>
              <w:t xml:space="preserve">Note: </w:t>
            </w:r>
            <w:r w:rsidR="005E2DFC" w:rsidRPr="00CF3673">
              <w:rPr>
                <w:b/>
                <w:lang w:val="pt-PT"/>
              </w:rPr>
              <w:t xml:space="preserve">Montantes dos </w:t>
            </w:r>
            <w:r w:rsidR="00761AD0" w:rsidRPr="00CF3673">
              <w:rPr>
                <w:b/>
                <w:lang w:val="pt-PT"/>
              </w:rPr>
              <w:t>empréstimos</w:t>
            </w:r>
            <w:r w:rsidR="005E2DFC" w:rsidRPr="00CF3673">
              <w:rPr>
                <w:b/>
                <w:lang w:val="pt-PT"/>
              </w:rPr>
              <w:t xml:space="preserve"> em meticais</w:t>
            </w:r>
            <w:r w:rsidRPr="00CF3673">
              <w:rPr>
                <w:lang w:val="pt-PT"/>
              </w:rPr>
              <w:t>,</w:t>
            </w:r>
            <w:r w:rsidR="005E2DFC" w:rsidRPr="00CF3673">
              <w:rPr>
                <w:lang w:val="pt-PT"/>
              </w:rPr>
              <w:t xml:space="preserve"> taxas de cambio em %. Valores do </w:t>
            </w:r>
            <w:r w:rsidR="00761AD0" w:rsidRPr="00CF3673">
              <w:rPr>
                <w:lang w:val="pt-PT"/>
              </w:rPr>
              <w:t>empréstimo</w:t>
            </w:r>
            <w:r w:rsidR="005E2DFC" w:rsidRPr="00CF3673">
              <w:rPr>
                <w:lang w:val="pt-PT"/>
              </w:rPr>
              <w:t xml:space="preserve"> acima de 50 vezes acima das receitas anuais não </w:t>
            </w:r>
            <w:r w:rsidR="00761AD0" w:rsidRPr="00CF3673">
              <w:rPr>
                <w:lang w:val="pt-PT"/>
              </w:rPr>
              <w:t>incluído</w:t>
            </w:r>
            <w:r w:rsidR="005E2DFC" w:rsidRPr="00CF3673">
              <w:rPr>
                <w:lang w:val="pt-PT"/>
              </w:rPr>
              <w:t xml:space="preserve"> nos </w:t>
            </w:r>
            <w:r w:rsidR="00761AD0" w:rsidRPr="00CF3673">
              <w:rPr>
                <w:lang w:val="pt-PT"/>
              </w:rPr>
              <w:t>cálculos</w:t>
            </w:r>
            <w:r w:rsidR="005E2DFC" w:rsidRPr="00CF3673">
              <w:rPr>
                <w:lang w:val="pt-PT"/>
              </w:rPr>
              <w:t xml:space="preserve"> da </w:t>
            </w:r>
            <w:r w:rsidR="00761AD0" w:rsidRPr="00CF3673">
              <w:rPr>
                <w:lang w:val="pt-PT"/>
              </w:rPr>
              <w:t>média</w:t>
            </w:r>
            <w:r w:rsidR="005E2DFC" w:rsidRPr="00CF3673">
              <w:rPr>
                <w:lang w:val="pt-PT"/>
              </w:rPr>
              <w:t xml:space="preserve"> da taxa de juro</w:t>
            </w:r>
          </w:p>
        </w:tc>
      </w:tr>
      <w:tr w:rsidR="00582B04" w:rsidRPr="00CF3673" w:rsidTr="008B3FDD">
        <w:trPr>
          <w:trHeight w:val="300"/>
          <w:jc w:val="center"/>
        </w:trPr>
        <w:tc>
          <w:tcPr>
            <w:tcW w:w="5621" w:type="dxa"/>
            <w:gridSpan w:val="3"/>
            <w:tcBorders>
              <w:top w:val="nil"/>
              <w:bottom w:val="nil"/>
            </w:tcBorders>
            <w:noWrap/>
          </w:tcPr>
          <w:p w:rsidR="00582B04" w:rsidRPr="00CF3673" w:rsidRDefault="005E2DFC" w:rsidP="005E2DFC">
            <w:pPr>
              <w:pStyle w:val="Tablenote"/>
              <w:rPr>
                <w:b/>
                <w:lang w:val="pt-PT"/>
              </w:rPr>
            </w:pPr>
            <w:r w:rsidRPr="00CF3673">
              <w:rPr>
                <w:b/>
                <w:lang w:val="pt-PT"/>
              </w:rPr>
              <w:t>Fonte</w:t>
            </w:r>
            <w:r w:rsidR="00582B04" w:rsidRPr="00CF3673">
              <w:rPr>
                <w:b/>
                <w:lang w:val="pt-PT"/>
              </w:rPr>
              <w:t>:</w:t>
            </w:r>
            <w:r w:rsidR="00582B04" w:rsidRPr="00CF3673">
              <w:rPr>
                <w:lang w:val="pt-PT"/>
              </w:rPr>
              <w:t xml:space="preserve"> </w:t>
            </w:r>
            <w:r w:rsidR="00761AD0" w:rsidRPr="00CF3673">
              <w:rPr>
                <w:lang w:val="pt-PT"/>
              </w:rPr>
              <w:t>Cálculos</w:t>
            </w:r>
            <w:r w:rsidRPr="00CF3673">
              <w:rPr>
                <w:lang w:val="pt-PT"/>
              </w:rPr>
              <w:t xml:space="preserve"> dos autores usando</w:t>
            </w:r>
            <w:r w:rsidR="00582B04" w:rsidRPr="00CF3673">
              <w:rPr>
                <w:lang w:val="pt-PT"/>
              </w:rPr>
              <w:t xml:space="preserve"> IIM 2012.</w:t>
            </w:r>
          </w:p>
        </w:tc>
      </w:tr>
    </w:tbl>
    <w:p w:rsidR="008B4CB7" w:rsidRPr="00CF3673" w:rsidRDefault="008B4CB7" w:rsidP="00B01775"/>
    <w:p w:rsidR="001E6DDB" w:rsidRPr="00CF3673" w:rsidRDefault="001E6DDB">
      <w:pPr>
        <w:rPr>
          <w:b/>
          <w:u w:val="single"/>
        </w:rPr>
      </w:pPr>
      <w:r w:rsidRPr="00CF3673">
        <w:br w:type="page"/>
      </w:r>
    </w:p>
    <w:p w:rsidR="00530A44" w:rsidRPr="00CF3673" w:rsidRDefault="006102AC" w:rsidP="001E664B">
      <w:pPr>
        <w:pStyle w:val="SectionTitle"/>
        <w:rPr>
          <w:lang w:val="pt-PT"/>
        </w:rPr>
      </w:pPr>
      <w:bookmarkStart w:id="82" w:name="_Toc360720407"/>
      <w:r w:rsidRPr="00CF3673">
        <w:rPr>
          <w:lang w:val="pt-PT"/>
        </w:rPr>
        <w:lastRenderedPageBreak/>
        <w:t>9</w:t>
      </w:r>
      <w:r w:rsidR="00343E0A" w:rsidRPr="00CF3673">
        <w:rPr>
          <w:lang w:val="pt-PT"/>
        </w:rPr>
        <w:t>.2</w:t>
      </w:r>
      <w:r w:rsidR="00215639" w:rsidRPr="00CF3673">
        <w:rPr>
          <w:lang w:val="pt-PT"/>
        </w:rPr>
        <w:t>.</w:t>
      </w:r>
      <w:r w:rsidR="0029468C" w:rsidRPr="00CF3673">
        <w:rPr>
          <w:lang w:val="pt-PT"/>
        </w:rPr>
        <w:t xml:space="preserve"> </w:t>
      </w:r>
      <w:r w:rsidR="00530A44" w:rsidRPr="00CF3673">
        <w:rPr>
          <w:lang w:val="pt-PT"/>
        </w:rPr>
        <w:t xml:space="preserve">Demanda ao financiamento externo e constrangimento do </w:t>
      </w:r>
      <w:r w:rsidR="00761AD0" w:rsidRPr="00CF3673">
        <w:rPr>
          <w:lang w:val="pt-PT"/>
        </w:rPr>
        <w:t>crédito</w:t>
      </w:r>
    </w:p>
    <w:bookmarkEnd w:id="82"/>
    <w:p w:rsidR="00681F0D" w:rsidRPr="00CF3673" w:rsidRDefault="00530A44" w:rsidP="001E664B">
      <w:pPr>
        <w:pStyle w:val="MainText"/>
        <w:rPr>
          <w:lang w:val="pt-PT"/>
        </w:rPr>
      </w:pPr>
      <w:r w:rsidRPr="00CF3673">
        <w:rPr>
          <w:lang w:val="pt-PT"/>
        </w:rPr>
        <w:t xml:space="preserve">Esta secção analisa com profundidade a demanda pelo </w:t>
      </w:r>
      <w:r w:rsidR="00681F0D" w:rsidRPr="00CF3673">
        <w:rPr>
          <w:lang w:val="pt-PT"/>
        </w:rPr>
        <w:t>crédito</w:t>
      </w:r>
      <w:r w:rsidRPr="00CF3673">
        <w:rPr>
          <w:lang w:val="pt-PT"/>
        </w:rPr>
        <w:t xml:space="preserve"> e os constrangimentos.</w:t>
      </w:r>
      <w:r w:rsidR="00681F0D" w:rsidRPr="00CF3673">
        <w:rPr>
          <w:lang w:val="pt-PT"/>
        </w:rPr>
        <w:t xml:space="preserve"> Primeiro uma medição da demanda do crédito e duas medidas de constrangimento do crédito são desenvolvidos. Depois são investigadas as características de empresas com demanda e constrangimentos no acesso ao crédito. Finalmente as medidas construídas são comparadas com a avaliação subjectiva do constrangimento ao crédito descrita no capítulo 3.</w:t>
      </w:r>
    </w:p>
    <w:p w:rsidR="00681F0D" w:rsidRPr="00CF3673" w:rsidRDefault="007B4070" w:rsidP="001E664B">
      <w:pPr>
        <w:pStyle w:val="MainText"/>
        <w:rPr>
          <w:lang w:val="pt-PT"/>
        </w:rPr>
      </w:pPr>
      <w:r w:rsidRPr="00CF3673">
        <w:rPr>
          <w:lang w:val="pt-PT"/>
        </w:rPr>
        <w:t xml:space="preserve">A empresa é definida como tendo demanda ao </w:t>
      </w:r>
      <w:r w:rsidR="00761AD0" w:rsidRPr="00CF3673">
        <w:rPr>
          <w:lang w:val="pt-PT"/>
        </w:rPr>
        <w:t>crédito</w:t>
      </w:r>
      <w:r w:rsidRPr="00CF3673">
        <w:rPr>
          <w:lang w:val="pt-PT"/>
        </w:rPr>
        <w:t xml:space="preserve"> em todos os casos em que ela não indica “não necessitar de </w:t>
      </w:r>
      <w:r w:rsidR="00761AD0" w:rsidRPr="00CF3673">
        <w:rPr>
          <w:lang w:val="pt-PT"/>
        </w:rPr>
        <w:t>crédito</w:t>
      </w:r>
      <w:r w:rsidRPr="00CF3673">
        <w:rPr>
          <w:lang w:val="pt-PT"/>
        </w:rPr>
        <w:t xml:space="preserve">”. O constrangimento ao </w:t>
      </w:r>
      <w:r w:rsidR="00761AD0" w:rsidRPr="00CF3673">
        <w:rPr>
          <w:lang w:val="pt-PT"/>
        </w:rPr>
        <w:t>crédito</w:t>
      </w:r>
      <w:r w:rsidRPr="00CF3673">
        <w:rPr>
          <w:lang w:val="pt-PT"/>
        </w:rPr>
        <w:t xml:space="preserve"> é menos directo na sua definição. Primeiro, o mais simples indicador </w:t>
      </w:r>
      <w:r w:rsidR="00761AD0" w:rsidRPr="00CF3673">
        <w:rPr>
          <w:lang w:val="pt-PT"/>
        </w:rPr>
        <w:t>possível</w:t>
      </w:r>
      <w:r w:rsidRPr="00CF3673">
        <w:rPr>
          <w:lang w:val="pt-PT"/>
        </w:rPr>
        <w:t xml:space="preserve"> </w:t>
      </w:r>
      <w:r w:rsidR="006D637D" w:rsidRPr="00CF3673">
        <w:rPr>
          <w:lang w:val="pt-PT"/>
        </w:rPr>
        <w:t xml:space="preserve">é usado: na definição 1, uma empresa é constrangida pelo </w:t>
      </w:r>
      <w:r w:rsidR="00761AD0" w:rsidRPr="00CF3673">
        <w:rPr>
          <w:lang w:val="pt-PT"/>
        </w:rPr>
        <w:t>crédito</w:t>
      </w:r>
      <w:r w:rsidR="006D637D" w:rsidRPr="00CF3673">
        <w:rPr>
          <w:lang w:val="pt-PT"/>
        </w:rPr>
        <w:t xml:space="preserve"> se tiver feito uma aplicação ao empréstimo e aplicação não é aprovada</w:t>
      </w:r>
      <w:r w:rsidR="006D637D" w:rsidRPr="00CF3673">
        <w:rPr>
          <w:rStyle w:val="FootnoteReference"/>
          <w:lang w:val="pt-PT"/>
        </w:rPr>
        <w:footnoteReference w:id="42"/>
      </w:r>
      <w:r w:rsidR="006D637D" w:rsidRPr="00CF3673">
        <w:rPr>
          <w:lang w:val="pt-PT"/>
        </w:rPr>
        <w:t xml:space="preserve"> e não tem credito não bancário</w:t>
      </w:r>
    </w:p>
    <w:p w:rsidR="00DA6DD0" w:rsidRPr="00CF3673" w:rsidRDefault="00DA6DD0" w:rsidP="001E664B">
      <w:pPr>
        <w:pStyle w:val="MainText"/>
        <w:rPr>
          <w:lang w:val="pt-PT"/>
        </w:rPr>
      </w:pPr>
      <w:r w:rsidRPr="00CF3673">
        <w:rPr>
          <w:lang w:val="pt-PT"/>
        </w:rPr>
        <w:t xml:space="preserve">Na definição 2, a empresa é constrangida pelo </w:t>
      </w:r>
      <w:r w:rsidR="00761AD0" w:rsidRPr="00CF3673">
        <w:rPr>
          <w:lang w:val="pt-PT"/>
        </w:rPr>
        <w:t>crédito</w:t>
      </w:r>
      <w:r w:rsidRPr="00CF3673">
        <w:rPr>
          <w:lang w:val="pt-PT"/>
        </w:rPr>
        <w:t xml:space="preserve"> se 1) tiver feito Aplicação e recusada e não tem credito não-</w:t>
      </w:r>
      <w:r w:rsidR="00761AD0" w:rsidRPr="00CF3673">
        <w:rPr>
          <w:lang w:val="pt-PT"/>
        </w:rPr>
        <w:t>bancário</w:t>
      </w:r>
      <w:r w:rsidRPr="00CF3673">
        <w:rPr>
          <w:lang w:val="pt-PT"/>
        </w:rPr>
        <w:t xml:space="preserve"> (o mesmo que definição 1) ou 2) não aplicou para </w:t>
      </w:r>
      <w:r w:rsidR="00761AD0" w:rsidRPr="00CF3673">
        <w:rPr>
          <w:lang w:val="pt-PT"/>
        </w:rPr>
        <w:t>crédito</w:t>
      </w:r>
      <w:r w:rsidRPr="00CF3673">
        <w:rPr>
          <w:lang w:val="pt-PT"/>
        </w:rPr>
        <w:t xml:space="preserve"> devido a razão “os procedimentos de candidaturas complexos”, “</w:t>
      </w:r>
      <w:r w:rsidR="00761AD0" w:rsidRPr="00CF3673">
        <w:rPr>
          <w:lang w:val="pt-PT"/>
        </w:rPr>
        <w:t>exigência</w:t>
      </w:r>
      <w:r w:rsidRPr="00CF3673">
        <w:rPr>
          <w:lang w:val="pt-PT"/>
        </w:rPr>
        <w:t xml:space="preserve"> de garantias muito restritivas”, e “corrupção na alocação do </w:t>
      </w:r>
      <w:r w:rsidR="00761AD0" w:rsidRPr="00CF3673">
        <w:rPr>
          <w:lang w:val="pt-PT"/>
        </w:rPr>
        <w:t>crédito</w:t>
      </w:r>
      <w:r w:rsidRPr="00CF3673">
        <w:rPr>
          <w:lang w:val="pt-PT"/>
        </w:rPr>
        <w:t xml:space="preserve">”. Neste caso a empresa poderia necessitar do </w:t>
      </w:r>
      <w:r w:rsidR="00761AD0" w:rsidRPr="00CF3673">
        <w:rPr>
          <w:lang w:val="pt-PT"/>
        </w:rPr>
        <w:t>crédito</w:t>
      </w:r>
      <w:r w:rsidRPr="00CF3673">
        <w:rPr>
          <w:lang w:val="pt-PT"/>
        </w:rPr>
        <w:t xml:space="preserve"> mas não encontra a razão para fazer aplicação.</w:t>
      </w:r>
    </w:p>
    <w:p w:rsidR="00DA6DD0" w:rsidRPr="00CF3673" w:rsidRDefault="00DA6DD0" w:rsidP="001E664B">
      <w:pPr>
        <w:pStyle w:val="MainText"/>
        <w:rPr>
          <w:lang w:val="pt-PT"/>
        </w:rPr>
      </w:pPr>
      <w:r w:rsidRPr="00CF3673">
        <w:rPr>
          <w:lang w:val="pt-PT"/>
        </w:rPr>
        <w:t>A tabela 9.4 apresenta</w:t>
      </w:r>
      <w:r w:rsidR="00FC2329" w:rsidRPr="00CF3673">
        <w:rPr>
          <w:lang w:val="pt-PT"/>
        </w:rPr>
        <w:t xml:space="preserve"> a contribuição das empresas com necessidade de </w:t>
      </w:r>
      <w:r w:rsidR="00761AD0" w:rsidRPr="00CF3673">
        <w:rPr>
          <w:lang w:val="pt-PT"/>
        </w:rPr>
        <w:t>crédito</w:t>
      </w:r>
      <w:r w:rsidR="00FC2329" w:rsidRPr="00CF3673">
        <w:rPr>
          <w:lang w:val="pt-PT"/>
        </w:rPr>
        <w:t xml:space="preserve">, que aplicaram para um </w:t>
      </w:r>
      <w:r w:rsidR="00761AD0" w:rsidRPr="00CF3673">
        <w:rPr>
          <w:lang w:val="pt-PT"/>
        </w:rPr>
        <w:t>crédito</w:t>
      </w:r>
      <w:r w:rsidR="00FC2329" w:rsidRPr="00CF3673">
        <w:rPr>
          <w:lang w:val="pt-PT"/>
        </w:rPr>
        <w:t xml:space="preserve"> e que estão constrangidos sob definição 1 e 2. Mostra que 62% das empresas na amostra tem necessidade de </w:t>
      </w:r>
      <w:r w:rsidR="00761AD0" w:rsidRPr="00CF3673">
        <w:rPr>
          <w:lang w:val="pt-PT"/>
        </w:rPr>
        <w:t>crédito</w:t>
      </w:r>
      <w:r w:rsidR="00FC2329" w:rsidRPr="00CF3673">
        <w:rPr>
          <w:rStyle w:val="FootnoteReference"/>
          <w:lang w:val="pt-PT"/>
        </w:rPr>
        <w:footnoteReference w:id="43"/>
      </w:r>
      <w:r w:rsidR="00FC2329" w:rsidRPr="00CF3673">
        <w:rPr>
          <w:lang w:val="pt-PT"/>
        </w:rPr>
        <w:t xml:space="preserve"> e 22% aplicaram para um </w:t>
      </w:r>
      <w:r w:rsidR="00761AD0" w:rsidRPr="00CF3673">
        <w:rPr>
          <w:lang w:val="pt-PT"/>
        </w:rPr>
        <w:t>crédito</w:t>
      </w:r>
      <w:r w:rsidR="00FC2329" w:rsidRPr="00CF3673">
        <w:rPr>
          <w:lang w:val="pt-PT"/>
        </w:rPr>
        <w:t xml:space="preserve">. </w:t>
      </w:r>
    </w:p>
    <w:p w:rsidR="00932DDB" w:rsidRPr="00CF3673" w:rsidRDefault="00E333A2" w:rsidP="00215639">
      <w:pPr>
        <w:pStyle w:val="TableTitle"/>
        <w:rPr>
          <w:lang w:val="pt-PT"/>
        </w:rPr>
      </w:pPr>
      <w:bookmarkStart w:id="83" w:name="_Toc360720499"/>
      <w:r w:rsidRPr="00CF3673">
        <w:rPr>
          <w:lang w:val="pt-PT"/>
        </w:rPr>
        <w:t>Tab</w:t>
      </w:r>
      <w:r w:rsidR="00FC2329" w:rsidRPr="00CF3673">
        <w:rPr>
          <w:lang w:val="pt-PT"/>
        </w:rPr>
        <w:t>ela</w:t>
      </w:r>
      <w:r w:rsidR="00932DDB" w:rsidRPr="00CF3673">
        <w:rPr>
          <w:lang w:val="pt-PT"/>
        </w:rPr>
        <w:t xml:space="preserve"> </w:t>
      </w:r>
      <w:r w:rsidR="006102AC" w:rsidRPr="00CF3673">
        <w:rPr>
          <w:lang w:val="pt-PT"/>
        </w:rPr>
        <w:t>9</w:t>
      </w:r>
      <w:r w:rsidR="00932DDB" w:rsidRPr="00CF3673">
        <w:rPr>
          <w:lang w:val="pt-PT"/>
        </w:rPr>
        <w:t>.</w:t>
      </w:r>
      <w:r w:rsidR="00455BE8" w:rsidRPr="00CF3673">
        <w:rPr>
          <w:lang w:val="pt-PT"/>
        </w:rPr>
        <w:t>4</w:t>
      </w:r>
      <w:r w:rsidR="00277B2E" w:rsidRPr="00CF3673">
        <w:rPr>
          <w:lang w:val="pt-PT"/>
        </w:rPr>
        <w:t xml:space="preserve">: </w:t>
      </w:r>
      <w:r w:rsidR="00FC2329" w:rsidRPr="00CF3673">
        <w:rPr>
          <w:lang w:val="pt-PT"/>
        </w:rPr>
        <w:t xml:space="preserve">Empresas constrangidas e </w:t>
      </w:r>
      <w:r w:rsidR="004469F0" w:rsidRPr="00CF3673">
        <w:rPr>
          <w:lang w:val="pt-PT"/>
        </w:rPr>
        <w:t>com</w:t>
      </w:r>
      <w:r w:rsidR="00FC2329" w:rsidRPr="00CF3673">
        <w:rPr>
          <w:lang w:val="pt-PT"/>
        </w:rPr>
        <w:t xml:space="preserve"> demanda de credito, %</w:t>
      </w:r>
      <w:bookmarkEnd w:id="83"/>
    </w:p>
    <w:tbl>
      <w:tblPr>
        <w:tblStyle w:val="StandardTable"/>
        <w:tblW w:w="0" w:type="auto"/>
        <w:jc w:val="center"/>
        <w:tblInd w:w="-273" w:type="dxa"/>
        <w:tblLayout w:type="fixed"/>
        <w:tblLook w:val="04E0" w:firstRow="1" w:lastRow="1" w:firstColumn="1" w:lastColumn="0" w:noHBand="0" w:noVBand="1"/>
      </w:tblPr>
      <w:tblGrid>
        <w:gridCol w:w="2132"/>
        <w:gridCol w:w="571"/>
        <w:gridCol w:w="1089"/>
        <w:gridCol w:w="571"/>
        <w:gridCol w:w="1089"/>
        <w:gridCol w:w="571"/>
        <w:gridCol w:w="1212"/>
      </w:tblGrid>
      <w:tr w:rsidR="00932DDB" w:rsidRPr="00CF3673" w:rsidTr="00F34125">
        <w:trPr>
          <w:cnfStyle w:val="100000000000" w:firstRow="1" w:lastRow="0" w:firstColumn="0" w:lastColumn="0" w:oddVBand="0" w:evenVBand="0" w:oddHBand="0" w:evenHBand="0" w:firstRowFirstColumn="0" w:firstRowLastColumn="0" w:lastRowFirstColumn="0" w:lastRowLastColumn="0"/>
          <w:trHeight w:val="300"/>
          <w:jc w:val="center"/>
        </w:trPr>
        <w:tc>
          <w:tcPr>
            <w:tcW w:w="2132" w:type="dxa"/>
            <w:tcBorders>
              <w:bottom w:val="nil"/>
            </w:tcBorders>
            <w:noWrap/>
            <w:hideMark/>
          </w:tcPr>
          <w:p w:rsidR="00932DDB" w:rsidRPr="00CF3673" w:rsidRDefault="00932DDB" w:rsidP="001926A6">
            <w:pPr>
              <w:rPr>
                <w:rFonts w:ascii="Calibri" w:eastAsia="Times New Roman" w:hAnsi="Calibri" w:cs="Calibri"/>
                <w:color w:val="000000"/>
                <w:lang w:eastAsia="zh-CN"/>
              </w:rPr>
            </w:pPr>
          </w:p>
        </w:tc>
        <w:tc>
          <w:tcPr>
            <w:tcW w:w="1660" w:type="dxa"/>
            <w:gridSpan w:val="2"/>
            <w:tcBorders>
              <w:bottom w:val="nil"/>
            </w:tcBorders>
            <w:noWrap/>
            <w:hideMark/>
          </w:tcPr>
          <w:p w:rsidR="00932DDB" w:rsidRPr="00CF3673" w:rsidRDefault="00113734" w:rsidP="00113734">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Toda amostra</w:t>
            </w:r>
          </w:p>
        </w:tc>
        <w:tc>
          <w:tcPr>
            <w:tcW w:w="1660" w:type="dxa"/>
            <w:gridSpan w:val="2"/>
            <w:tcBorders>
              <w:bottom w:val="nil"/>
            </w:tcBorders>
            <w:noWrap/>
            <w:hideMark/>
          </w:tcPr>
          <w:p w:rsidR="00932DDB" w:rsidRPr="00CF3673" w:rsidRDefault="00932DDB" w:rsidP="00113734">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Micro </w:t>
            </w:r>
            <w:r w:rsidR="00113734" w:rsidRPr="00CF3673">
              <w:rPr>
                <w:rFonts w:ascii="Calibri" w:eastAsia="Times New Roman" w:hAnsi="Calibri" w:cs="Calibri"/>
                <w:color w:val="000000"/>
                <w:lang w:eastAsia="zh-CN"/>
              </w:rPr>
              <w:t>apenas</w:t>
            </w:r>
          </w:p>
        </w:tc>
        <w:tc>
          <w:tcPr>
            <w:tcW w:w="1783" w:type="dxa"/>
            <w:gridSpan w:val="2"/>
            <w:tcBorders>
              <w:bottom w:val="nil"/>
            </w:tcBorders>
            <w:noWrap/>
            <w:hideMark/>
          </w:tcPr>
          <w:p w:rsidR="00932DDB" w:rsidRPr="00CF3673" w:rsidRDefault="00113734" w:rsidP="00113734">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Pequenas e Medias</w:t>
            </w:r>
          </w:p>
        </w:tc>
      </w:tr>
      <w:tr w:rsidR="00932DDB" w:rsidRPr="00CF3673" w:rsidTr="00F34125">
        <w:trPr>
          <w:trHeight w:val="300"/>
          <w:jc w:val="center"/>
        </w:trPr>
        <w:tc>
          <w:tcPr>
            <w:tcW w:w="2132" w:type="dxa"/>
            <w:tcBorders>
              <w:top w:val="nil"/>
              <w:bottom w:val="single" w:sz="4" w:space="0" w:color="auto"/>
            </w:tcBorders>
            <w:noWrap/>
            <w:hideMark/>
          </w:tcPr>
          <w:p w:rsidR="00932DDB" w:rsidRPr="00CF3673" w:rsidRDefault="00932DDB" w:rsidP="001926A6">
            <w:pPr>
              <w:rPr>
                <w:rFonts w:ascii="Calibri" w:eastAsia="Times New Roman" w:hAnsi="Calibri" w:cs="Calibri"/>
                <w:color w:val="000000"/>
                <w:lang w:eastAsia="zh-CN"/>
              </w:rPr>
            </w:pPr>
          </w:p>
        </w:tc>
        <w:tc>
          <w:tcPr>
            <w:tcW w:w="571" w:type="dxa"/>
            <w:tcBorders>
              <w:top w:val="nil"/>
              <w:bottom w:val="single" w:sz="4" w:space="0" w:color="auto"/>
            </w:tcBorders>
            <w:noWrap/>
            <w:hideMark/>
          </w:tcPr>
          <w:p w:rsidR="00932DDB" w:rsidRPr="00CF3673" w:rsidRDefault="00113734" w:rsidP="00113734">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Todas</w:t>
            </w:r>
          </w:p>
        </w:tc>
        <w:tc>
          <w:tcPr>
            <w:tcW w:w="1089" w:type="dxa"/>
            <w:tcBorders>
              <w:top w:val="nil"/>
              <w:bottom w:val="single" w:sz="4" w:space="0" w:color="auto"/>
            </w:tcBorders>
            <w:noWrap/>
            <w:hideMark/>
          </w:tcPr>
          <w:p w:rsidR="00932DDB" w:rsidRPr="00CF3673" w:rsidRDefault="00113734" w:rsidP="00113734">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Necessidade de </w:t>
            </w:r>
            <w:proofErr w:type="spellStart"/>
            <w:r w:rsidR="00932DDB" w:rsidRPr="00CF3673">
              <w:rPr>
                <w:rFonts w:ascii="Calibri" w:eastAsia="Times New Roman" w:hAnsi="Calibri" w:cs="Calibri"/>
                <w:color w:val="000000"/>
                <w:lang w:eastAsia="zh-CN"/>
              </w:rPr>
              <w:t>C</w:t>
            </w:r>
            <w:r w:rsidRPr="00CF3673">
              <w:rPr>
                <w:rFonts w:ascii="Calibri" w:eastAsia="Times New Roman" w:hAnsi="Calibri" w:cs="Calibri"/>
                <w:color w:val="000000"/>
                <w:lang w:eastAsia="zh-CN"/>
              </w:rPr>
              <w:t>rd</w:t>
            </w:r>
            <w:proofErr w:type="spellEnd"/>
          </w:p>
        </w:tc>
        <w:tc>
          <w:tcPr>
            <w:tcW w:w="571" w:type="dxa"/>
            <w:tcBorders>
              <w:top w:val="nil"/>
              <w:bottom w:val="single" w:sz="4" w:space="0" w:color="auto"/>
            </w:tcBorders>
            <w:noWrap/>
            <w:hideMark/>
          </w:tcPr>
          <w:p w:rsidR="00932DDB" w:rsidRPr="00CF3673" w:rsidRDefault="00113734" w:rsidP="00113734">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Todas</w:t>
            </w:r>
          </w:p>
        </w:tc>
        <w:tc>
          <w:tcPr>
            <w:tcW w:w="1089" w:type="dxa"/>
            <w:tcBorders>
              <w:top w:val="nil"/>
              <w:bottom w:val="single" w:sz="4" w:space="0" w:color="auto"/>
            </w:tcBorders>
            <w:noWrap/>
            <w:hideMark/>
          </w:tcPr>
          <w:p w:rsidR="00932DDB" w:rsidRPr="00CF3673" w:rsidRDefault="00113734" w:rsidP="00113734">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Necessidade de </w:t>
            </w:r>
            <w:proofErr w:type="spellStart"/>
            <w:r w:rsidRPr="00CF3673">
              <w:rPr>
                <w:rFonts w:ascii="Calibri" w:eastAsia="Times New Roman" w:hAnsi="Calibri" w:cs="Calibri"/>
                <w:color w:val="000000"/>
                <w:lang w:eastAsia="zh-CN"/>
              </w:rPr>
              <w:t>Crdt</w:t>
            </w:r>
            <w:proofErr w:type="spellEnd"/>
          </w:p>
        </w:tc>
        <w:tc>
          <w:tcPr>
            <w:tcW w:w="571" w:type="dxa"/>
            <w:tcBorders>
              <w:top w:val="nil"/>
              <w:bottom w:val="single" w:sz="4" w:space="0" w:color="auto"/>
            </w:tcBorders>
            <w:noWrap/>
            <w:hideMark/>
          </w:tcPr>
          <w:p w:rsidR="00932DDB" w:rsidRPr="00CF3673" w:rsidRDefault="00113734" w:rsidP="00113734">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Todas</w:t>
            </w:r>
          </w:p>
        </w:tc>
        <w:tc>
          <w:tcPr>
            <w:tcW w:w="1212" w:type="dxa"/>
            <w:tcBorders>
              <w:top w:val="nil"/>
              <w:bottom w:val="single" w:sz="4" w:space="0" w:color="auto"/>
            </w:tcBorders>
            <w:noWrap/>
            <w:hideMark/>
          </w:tcPr>
          <w:p w:rsidR="00932DDB" w:rsidRPr="00CF3673" w:rsidRDefault="00113734" w:rsidP="00113734">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Necessidade de </w:t>
            </w:r>
            <w:proofErr w:type="spellStart"/>
            <w:r w:rsidRPr="00CF3673">
              <w:rPr>
                <w:rFonts w:ascii="Calibri" w:eastAsia="Times New Roman" w:hAnsi="Calibri" w:cs="Calibri"/>
                <w:color w:val="000000"/>
                <w:lang w:eastAsia="zh-CN"/>
              </w:rPr>
              <w:t>Crdt</w:t>
            </w:r>
            <w:proofErr w:type="spellEnd"/>
          </w:p>
        </w:tc>
      </w:tr>
      <w:tr w:rsidR="00F34125" w:rsidRPr="00CF3673" w:rsidTr="00F34125">
        <w:trPr>
          <w:trHeight w:val="300"/>
          <w:jc w:val="center"/>
        </w:trPr>
        <w:tc>
          <w:tcPr>
            <w:tcW w:w="2132" w:type="dxa"/>
            <w:tcBorders>
              <w:top w:val="single" w:sz="4" w:space="0" w:color="auto"/>
            </w:tcBorders>
            <w:noWrap/>
            <w:hideMark/>
          </w:tcPr>
          <w:p w:rsidR="00F34125" w:rsidRPr="00CF3673" w:rsidRDefault="00113734" w:rsidP="00113734">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Aplicou para </w:t>
            </w:r>
            <w:r w:rsidR="00761AD0" w:rsidRPr="00CF3673">
              <w:rPr>
                <w:rFonts w:ascii="Calibri" w:eastAsia="Times New Roman" w:hAnsi="Calibri" w:cs="Calibri"/>
                <w:color w:val="000000"/>
                <w:lang w:eastAsia="zh-CN"/>
              </w:rPr>
              <w:t>crédito</w:t>
            </w:r>
          </w:p>
        </w:tc>
        <w:tc>
          <w:tcPr>
            <w:tcW w:w="571" w:type="dxa"/>
            <w:tcBorders>
              <w:top w:val="single" w:sz="4" w:space="0" w:color="auto"/>
            </w:tcBorders>
            <w:noWrap/>
            <w:hideMark/>
          </w:tcPr>
          <w:p w:rsidR="00F34125" w:rsidRPr="00CF3673" w:rsidRDefault="00F34125" w:rsidP="00F34125">
            <w:pPr>
              <w:jc w:val="center"/>
            </w:pPr>
            <w:r w:rsidRPr="00CF3673">
              <w:t>21.9</w:t>
            </w:r>
          </w:p>
        </w:tc>
        <w:tc>
          <w:tcPr>
            <w:tcW w:w="1089" w:type="dxa"/>
            <w:tcBorders>
              <w:top w:val="single" w:sz="4" w:space="0" w:color="auto"/>
            </w:tcBorders>
            <w:noWrap/>
            <w:hideMark/>
          </w:tcPr>
          <w:p w:rsidR="00F34125" w:rsidRPr="00CF3673" w:rsidRDefault="00F34125" w:rsidP="00F34125">
            <w:pPr>
              <w:jc w:val="center"/>
            </w:pPr>
            <w:r w:rsidRPr="00CF3673">
              <w:t>34.7</w:t>
            </w:r>
          </w:p>
        </w:tc>
        <w:tc>
          <w:tcPr>
            <w:tcW w:w="571" w:type="dxa"/>
            <w:tcBorders>
              <w:top w:val="single" w:sz="4" w:space="0" w:color="auto"/>
            </w:tcBorders>
            <w:noWrap/>
            <w:hideMark/>
          </w:tcPr>
          <w:p w:rsidR="00F34125" w:rsidRPr="00CF3673" w:rsidRDefault="00F34125" w:rsidP="00F34125">
            <w:pPr>
              <w:jc w:val="center"/>
            </w:pPr>
            <w:r w:rsidRPr="00CF3673">
              <w:t>21.1</w:t>
            </w:r>
          </w:p>
        </w:tc>
        <w:tc>
          <w:tcPr>
            <w:tcW w:w="1089" w:type="dxa"/>
            <w:tcBorders>
              <w:top w:val="single" w:sz="4" w:space="0" w:color="auto"/>
            </w:tcBorders>
            <w:noWrap/>
            <w:hideMark/>
          </w:tcPr>
          <w:p w:rsidR="00F34125" w:rsidRPr="00CF3673" w:rsidRDefault="00F34125" w:rsidP="00F34125">
            <w:pPr>
              <w:jc w:val="center"/>
            </w:pPr>
            <w:r w:rsidRPr="00CF3673">
              <w:t>32.0</w:t>
            </w:r>
          </w:p>
        </w:tc>
        <w:tc>
          <w:tcPr>
            <w:tcW w:w="571" w:type="dxa"/>
            <w:tcBorders>
              <w:top w:val="single" w:sz="4" w:space="0" w:color="auto"/>
            </w:tcBorders>
            <w:noWrap/>
            <w:hideMark/>
          </w:tcPr>
          <w:p w:rsidR="00F34125" w:rsidRPr="00CF3673" w:rsidRDefault="00F34125" w:rsidP="00F34125">
            <w:pPr>
              <w:jc w:val="center"/>
            </w:pPr>
            <w:r w:rsidRPr="00CF3673">
              <w:t>23.6</w:t>
            </w:r>
          </w:p>
        </w:tc>
        <w:tc>
          <w:tcPr>
            <w:tcW w:w="1212" w:type="dxa"/>
            <w:tcBorders>
              <w:top w:val="single" w:sz="4" w:space="0" w:color="auto"/>
            </w:tcBorders>
            <w:noWrap/>
            <w:hideMark/>
          </w:tcPr>
          <w:p w:rsidR="00F34125" w:rsidRPr="00CF3673" w:rsidRDefault="00F34125" w:rsidP="00F34125">
            <w:pPr>
              <w:jc w:val="center"/>
            </w:pPr>
            <w:r w:rsidRPr="00CF3673">
              <w:t>41.5</w:t>
            </w:r>
          </w:p>
        </w:tc>
      </w:tr>
      <w:tr w:rsidR="00F34125" w:rsidRPr="00CF3673" w:rsidTr="00F34125">
        <w:trPr>
          <w:trHeight w:val="300"/>
          <w:jc w:val="center"/>
        </w:trPr>
        <w:tc>
          <w:tcPr>
            <w:tcW w:w="2132" w:type="dxa"/>
            <w:noWrap/>
            <w:hideMark/>
          </w:tcPr>
          <w:p w:rsidR="00F34125" w:rsidRPr="00CF3673" w:rsidRDefault="00761AD0" w:rsidP="00113734">
            <w:pPr>
              <w:rPr>
                <w:rFonts w:ascii="Calibri" w:eastAsia="Times New Roman" w:hAnsi="Calibri" w:cs="Calibri"/>
                <w:color w:val="000000"/>
                <w:lang w:eastAsia="zh-CN"/>
              </w:rPr>
            </w:pPr>
            <w:r w:rsidRPr="00CF3673">
              <w:rPr>
                <w:rFonts w:ascii="Calibri" w:eastAsia="Times New Roman" w:hAnsi="Calibri" w:cs="Calibri"/>
                <w:color w:val="000000"/>
                <w:lang w:eastAsia="zh-CN"/>
              </w:rPr>
              <w:t>Constrangido</w:t>
            </w:r>
            <w:r w:rsidR="00F34125" w:rsidRPr="00CF3673">
              <w:rPr>
                <w:rFonts w:ascii="Calibri" w:eastAsia="Times New Roman" w:hAnsi="Calibri" w:cs="Calibri"/>
                <w:color w:val="000000"/>
                <w:lang w:eastAsia="zh-CN"/>
              </w:rPr>
              <w:t xml:space="preserve"> </w:t>
            </w:r>
            <w:proofErr w:type="spellStart"/>
            <w:r w:rsidR="00F34125" w:rsidRPr="00CF3673">
              <w:rPr>
                <w:rFonts w:ascii="Calibri" w:eastAsia="Times New Roman" w:hAnsi="Calibri" w:cs="Calibri"/>
                <w:color w:val="000000"/>
                <w:lang w:eastAsia="zh-CN"/>
              </w:rPr>
              <w:t>def</w:t>
            </w:r>
            <w:proofErr w:type="spellEnd"/>
            <w:r w:rsidR="00F34125" w:rsidRPr="00CF3673">
              <w:rPr>
                <w:rFonts w:ascii="Calibri" w:eastAsia="Times New Roman" w:hAnsi="Calibri" w:cs="Calibri"/>
                <w:color w:val="000000"/>
                <w:lang w:eastAsia="zh-CN"/>
              </w:rPr>
              <w:t>. 1</w:t>
            </w:r>
          </w:p>
        </w:tc>
        <w:tc>
          <w:tcPr>
            <w:tcW w:w="571" w:type="dxa"/>
            <w:noWrap/>
            <w:hideMark/>
          </w:tcPr>
          <w:p w:rsidR="00F34125" w:rsidRPr="00CF3673" w:rsidRDefault="00F34125" w:rsidP="00F34125">
            <w:pPr>
              <w:jc w:val="center"/>
            </w:pPr>
            <w:r w:rsidRPr="00CF3673">
              <w:t>5.4</w:t>
            </w:r>
          </w:p>
        </w:tc>
        <w:tc>
          <w:tcPr>
            <w:tcW w:w="1089" w:type="dxa"/>
            <w:noWrap/>
            <w:hideMark/>
          </w:tcPr>
          <w:p w:rsidR="00F34125" w:rsidRPr="00CF3673" w:rsidRDefault="00F34125" w:rsidP="00F34125">
            <w:pPr>
              <w:jc w:val="center"/>
            </w:pPr>
            <w:r w:rsidRPr="00CF3673">
              <w:t>8.7</w:t>
            </w:r>
          </w:p>
        </w:tc>
        <w:tc>
          <w:tcPr>
            <w:tcW w:w="571" w:type="dxa"/>
            <w:noWrap/>
            <w:hideMark/>
          </w:tcPr>
          <w:p w:rsidR="00F34125" w:rsidRPr="00CF3673" w:rsidRDefault="00F34125" w:rsidP="00F34125">
            <w:pPr>
              <w:jc w:val="center"/>
            </w:pPr>
            <w:r w:rsidRPr="00CF3673">
              <w:t>7.4</w:t>
            </w:r>
          </w:p>
        </w:tc>
        <w:tc>
          <w:tcPr>
            <w:tcW w:w="1089" w:type="dxa"/>
            <w:noWrap/>
            <w:hideMark/>
          </w:tcPr>
          <w:p w:rsidR="00F34125" w:rsidRPr="00CF3673" w:rsidRDefault="00F34125" w:rsidP="00F34125">
            <w:pPr>
              <w:jc w:val="center"/>
            </w:pPr>
            <w:r w:rsidRPr="00CF3673">
              <w:t>11.3</w:t>
            </w:r>
          </w:p>
        </w:tc>
        <w:tc>
          <w:tcPr>
            <w:tcW w:w="571" w:type="dxa"/>
            <w:noWrap/>
            <w:hideMark/>
          </w:tcPr>
          <w:p w:rsidR="00F34125" w:rsidRPr="00CF3673" w:rsidRDefault="00F34125" w:rsidP="00F34125">
            <w:pPr>
              <w:jc w:val="center"/>
            </w:pPr>
            <w:r w:rsidRPr="00CF3673">
              <w:t>1.3</w:t>
            </w:r>
          </w:p>
        </w:tc>
        <w:tc>
          <w:tcPr>
            <w:tcW w:w="1212" w:type="dxa"/>
            <w:noWrap/>
            <w:hideMark/>
          </w:tcPr>
          <w:p w:rsidR="00F34125" w:rsidRPr="00CF3673" w:rsidRDefault="00F34125" w:rsidP="00F34125">
            <w:pPr>
              <w:jc w:val="center"/>
            </w:pPr>
            <w:r w:rsidRPr="00CF3673">
              <w:t>2.3</w:t>
            </w:r>
          </w:p>
        </w:tc>
      </w:tr>
      <w:tr w:rsidR="00F34125" w:rsidRPr="00CF3673" w:rsidTr="00F37F37">
        <w:trPr>
          <w:trHeight w:val="300"/>
          <w:jc w:val="center"/>
        </w:trPr>
        <w:tc>
          <w:tcPr>
            <w:tcW w:w="2132" w:type="dxa"/>
            <w:tcBorders>
              <w:bottom w:val="nil"/>
            </w:tcBorders>
            <w:noWrap/>
            <w:hideMark/>
          </w:tcPr>
          <w:p w:rsidR="00F34125" w:rsidRPr="00CF3673" w:rsidRDefault="00761AD0" w:rsidP="00113734">
            <w:pPr>
              <w:rPr>
                <w:rFonts w:ascii="Calibri" w:eastAsia="Times New Roman" w:hAnsi="Calibri" w:cs="Calibri"/>
                <w:color w:val="000000"/>
                <w:lang w:eastAsia="zh-CN"/>
              </w:rPr>
            </w:pPr>
            <w:r w:rsidRPr="00CF3673">
              <w:rPr>
                <w:rFonts w:ascii="Calibri" w:eastAsia="Times New Roman" w:hAnsi="Calibri" w:cs="Calibri"/>
                <w:color w:val="000000"/>
                <w:lang w:eastAsia="zh-CN"/>
              </w:rPr>
              <w:t>Constrangido</w:t>
            </w:r>
            <w:r w:rsidR="00F34125" w:rsidRPr="00CF3673">
              <w:rPr>
                <w:rFonts w:ascii="Calibri" w:eastAsia="Times New Roman" w:hAnsi="Calibri" w:cs="Calibri"/>
                <w:color w:val="000000"/>
                <w:lang w:eastAsia="zh-CN"/>
              </w:rPr>
              <w:t xml:space="preserve"> </w:t>
            </w:r>
            <w:proofErr w:type="spellStart"/>
            <w:r w:rsidR="00F34125" w:rsidRPr="00CF3673">
              <w:rPr>
                <w:rFonts w:ascii="Calibri" w:eastAsia="Times New Roman" w:hAnsi="Calibri" w:cs="Calibri"/>
                <w:color w:val="000000"/>
                <w:lang w:eastAsia="zh-CN"/>
              </w:rPr>
              <w:t>def</w:t>
            </w:r>
            <w:proofErr w:type="spellEnd"/>
            <w:r w:rsidR="00F34125" w:rsidRPr="00CF3673">
              <w:rPr>
                <w:rFonts w:ascii="Calibri" w:eastAsia="Times New Roman" w:hAnsi="Calibri" w:cs="Calibri"/>
                <w:color w:val="000000"/>
                <w:lang w:eastAsia="zh-CN"/>
              </w:rPr>
              <w:t>. 2</w:t>
            </w:r>
          </w:p>
        </w:tc>
        <w:tc>
          <w:tcPr>
            <w:tcW w:w="571" w:type="dxa"/>
            <w:tcBorders>
              <w:bottom w:val="nil"/>
            </w:tcBorders>
            <w:noWrap/>
            <w:hideMark/>
          </w:tcPr>
          <w:p w:rsidR="00F34125" w:rsidRPr="00CF3673" w:rsidRDefault="00F34125" w:rsidP="00F34125">
            <w:pPr>
              <w:jc w:val="center"/>
            </w:pPr>
            <w:r w:rsidRPr="00CF3673">
              <w:t>23.4</w:t>
            </w:r>
          </w:p>
        </w:tc>
        <w:tc>
          <w:tcPr>
            <w:tcW w:w="1089" w:type="dxa"/>
            <w:tcBorders>
              <w:bottom w:val="nil"/>
            </w:tcBorders>
            <w:noWrap/>
            <w:hideMark/>
          </w:tcPr>
          <w:p w:rsidR="00F34125" w:rsidRPr="00CF3673" w:rsidRDefault="00F34125" w:rsidP="00F34125">
            <w:pPr>
              <w:jc w:val="center"/>
            </w:pPr>
            <w:r w:rsidRPr="00CF3673">
              <w:t>37.6</w:t>
            </w:r>
          </w:p>
        </w:tc>
        <w:tc>
          <w:tcPr>
            <w:tcW w:w="571" w:type="dxa"/>
            <w:tcBorders>
              <w:bottom w:val="nil"/>
            </w:tcBorders>
            <w:noWrap/>
            <w:hideMark/>
          </w:tcPr>
          <w:p w:rsidR="00F34125" w:rsidRPr="00CF3673" w:rsidRDefault="00F34125" w:rsidP="00F34125">
            <w:pPr>
              <w:jc w:val="center"/>
            </w:pPr>
            <w:r w:rsidRPr="00CF3673">
              <w:t>28.1</w:t>
            </w:r>
          </w:p>
        </w:tc>
        <w:tc>
          <w:tcPr>
            <w:tcW w:w="1089" w:type="dxa"/>
            <w:tcBorders>
              <w:bottom w:val="nil"/>
            </w:tcBorders>
            <w:noWrap/>
            <w:hideMark/>
          </w:tcPr>
          <w:p w:rsidR="00F34125" w:rsidRPr="00CF3673" w:rsidRDefault="00F34125" w:rsidP="00F34125">
            <w:pPr>
              <w:jc w:val="center"/>
            </w:pPr>
            <w:r w:rsidRPr="00CF3673">
              <w:t>42.9</w:t>
            </w:r>
          </w:p>
        </w:tc>
        <w:tc>
          <w:tcPr>
            <w:tcW w:w="571" w:type="dxa"/>
            <w:tcBorders>
              <w:bottom w:val="nil"/>
            </w:tcBorders>
            <w:noWrap/>
            <w:hideMark/>
          </w:tcPr>
          <w:p w:rsidR="00F34125" w:rsidRPr="00CF3673" w:rsidRDefault="00F34125" w:rsidP="00F34125">
            <w:pPr>
              <w:jc w:val="center"/>
            </w:pPr>
            <w:r w:rsidRPr="00CF3673">
              <w:t>13.7</w:t>
            </w:r>
          </w:p>
        </w:tc>
        <w:tc>
          <w:tcPr>
            <w:tcW w:w="1212" w:type="dxa"/>
            <w:tcBorders>
              <w:bottom w:val="nil"/>
            </w:tcBorders>
            <w:noWrap/>
            <w:hideMark/>
          </w:tcPr>
          <w:p w:rsidR="00F34125" w:rsidRPr="00CF3673" w:rsidRDefault="00F34125" w:rsidP="00F34125">
            <w:pPr>
              <w:jc w:val="center"/>
            </w:pPr>
            <w:r w:rsidRPr="00CF3673">
              <w:t>24.6</w:t>
            </w:r>
          </w:p>
        </w:tc>
      </w:tr>
      <w:tr w:rsidR="00F34125" w:rsidRPr="00CF3673" w:rsidTr="00F37F37">
        <w:trPr>
          <w:trHeight w:val="300"/>
          <w:jc w:val="center"/>
        </w:trPr>
        <w:tc>
          <w:tcPr>
            <w:tcW w:w="2132" w:type="dxa"/>
            <w:tcBorders>
              <w:top w:val="nil"/>
              <w:bottom w:val="single" w:sz="4" w:space="0" w:color="auto"/>
            </w:tcBorders>
            <w:noWrap/>
            <w:hideMark/>
          </w:tcPr>
          <w:p w:rsidR="00F34125" w:rsidRPr="00CF3673" w:rsidRDefault="00113734" w:rsidP="00113734">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Com </w:t>
            </w:r>
            <w:proofErr w:type="spellStart"/>
            <w:r w:rsidRPr="00CF3673">
              <w:rPr>
                <w:rFonts w:ascii="Calibri" w:eastAsia="Times New Roman" w:hAnsi="Calibri" w:cs="Calibri"/>
                <w:color w:val="000000"/>
                <w:lang w:eastAsia="zh-CN"/>
              </w:rPr>
              <w:t>necess</w:t>
            </w:r>
            <w:proofErr w:type="spellEnd"/>
            <w:r w:rsidRPr="00CF3673">
              <w:rPr>
                <w:rFonts w:ascii="Calibri" w:eastAsia="Times New Roman" w:hAnsi="Calibri" w:cs="Calibri"/>
                <w:color w:val="000000"/>
                <w:lang w:eastAsia="zh-CN"/>
              </w:rPr>
              <w:t xml:space="preserve"> de </w:t>
            </w:r>
            <w:proofErr w:type="spellStart"/>
            <w:r w:rsidRPr="00CF3673">
              <w:rPr>
                <w:rFonts w:ascii="Calibri" w:eastAsia="Times New Roman" w:hAnsi="Calibri" w:cs="Calibri"/>
                <w:color w:val="000000"/>
                <w:lang w:eastAsia="zh-CN"/>
              </w:rPr>
              <w:t>credt</w:t>
            </w:r>
            <w:proofErr w:type="spellEnd"/>
          </w:p>
        </w:tc>
        <w:tc>
          <w:tcPr>
            <w:tcW w:w="571" w:type="dxa"/>
            <w:tcBorders>
              <w:top w:val="nil"/>
              <w:bottom w:val="single" w:sz="4" w:space="0" w:color="auto"/>
            </w:tcBorders>
            <w:noWrap/>
            <w:hideMark/>
          </w:tcPr>
          <w:p w:rsidR="00F34125" w:rsidRPr="00CF3673" w:rsidRDefault="00F34125" w:rsidP="00F34125">
            <w:pPr>
              <w:jc w:val="center"/>
            </w:pPr>
            <w:r w:rsidRPr="00CF3673">
              <w:t>62.3</w:t>
            </w:r>
          </w:p>
        </w:tc>
        <w:tc>
          <w:tcPr>
            <w:tcW w:w="1089" w:type="dxa"/>
            <w:tcBorders>
              <w:top w:val="nil"/>
              <w:bottom w:val="single" w:sz="4" w:space="0" w:color="auto"/>
            </w:tcBorders>
            <w:noWrap/>
            <w:hideMark/>
          </w:tcPr>
          <w:p w:rsidR="00F34125" w:rsidRPr="00CF3673" w:rsidRDefault="00F34125" w:rsidP="00F34125">
            <w:pPr>
              <w:jc w:val="center"/>
            </w:pPr>
            <w:r w:rsidRPr="00CF3673">
              <w:t>100.0</w:t>
            </w:r>
          </w:p>
        </w:tc>
        <w:tc>
          <w:tcPr>
            <w:tcW w:w="571" w:type="dxa"/>
            <w:tcBorders>
              <w:top w:val="nil"/>
              <w:bottom w:val="single" w:sz="4" w:space="0" w:color="auto"/>
            </w:tcBorders>
            <w:noWrap/>
            <w:hideMark/>
          </w:tcPr>
          <w:p w:rsidR="00F34125" w:rsidRPr="00CF3673" w:rsidRDefault="00F34125" w:rsidP="00F34125">
            <w:pPr>
              <w:jc w:val="center"/>
            </w:pPr>
            <w:r w:rsidRPr="00CF3673">
              <w:t>65.4</w:t>
            </w:r>
          </w:p>
        </w:tc>
        <w:tc>
          <w:tcPr>
            <w:tcW w:w="1089" w:type="dxa"/>
            <w:tcBorders>
              <w:top w:val="nil"/>
              <w:bottom w:val="single" w:sz="4" w:space="0" w:color="auto"/>
            </w:tcBorders>
            <w:noWrap/>
            <w:hideMark/>
          </w:tcPr>
          <w:p w:rsidR="00F34125" w:rsidRPr="00CF3673" w:rsidRDefault="00F34125" w:rsidP="00F34125">
            <w:pPr>
              <w:jc w:val="center"/>
            </w:pPr>
            <w:r w:rsidRPr="00CF3673">
              <w:t>100.0</w:t>
            </w:r>
          </w:p>
        </w:tc>
        <w:tc>
          <w:tcPr>
            <w:tcW w:w="571" w:type="dxa"/>
            <w:tcBorders>
              <w:top w:val="nil"/>
              <w:bottom w:val="single" w:sz="4" w:space="0" w:color="auto"/>
            </w:tcBorders>
            <w:noWrap/>
            <w:hideMark/>
          </w:tcPr>
          <w:p w:rsidR="00F34125" w:rsidRPr="00CF3673" w:rsidRDefault="00F34125" w:rsidP="00F34125">
            <w:pPr>
              <w:jc w:val="center"/>
            </w:pPr>
            <w:r w:rsidRPr="00CF3673">
              <w:t>55.8</w:t>
            </w:r>
          </w:p>
        </w:tc>
        <w:tc>
          <w:tcPr>
            <w:tcW w:w="1212" w:type="dxa"/>
            <w:tcBorders>
              <w:top w:val="nil"/>
              <w:bottom w:val="single" w:sz="4" w:space="0" w:color="auto"/>
            </w:tcBorders>
            <w:noWrap/>
            <w:hideMark/>
          </w:tcPr>
          <w:p w:rsidR="00F34125" w:rsidRPr="00CF3673" w:rsidRDefault="00F34125" w:rsidP="00F34125">
            <w:pPr>
              <w:jc w:val="center"/>
            </w:pPr>
            <w:r w:rsidRPr="00CF3673">
              <w:t>100.0</w:t>
            </w:r>
          </w:p>
        </w:tc>
      </w:tr>
      <w:tr w:rsidR="00F34125" w:rsidRPr="00CF3673" w:rsidTr="00F37F37">
        <w:trPr>
          <w:trHeight w:val="300"/>
          <w:jc w:val="center"/>
        </w:trPr>
        <w:tc>
          <w:tcPr>
            <w:tcW w:w="2132" w:type="dxa"/>
            <w:tcBorders>
              <w:top w:val="single" w:sz="4" w:space="0" w:color="auto"/>
              <w:bottom w:val="double" w:sz="4" w:space="0" w:color="auto"/>
            </w:tcBorders>
            <w:noWrap/>
            <w:hideMark/>
          </w:tcPr>
          <w:p w:rsidR="00F34125" w:rsidRPr="00CF3673" w:rsidRDefault="00113734" w:rsidP="00113734">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Nr</w:t>
            </w:r>
            <w:proofErr w:type="spellEnd"/>
            <w:r w:rsidRPr="00CF3673">
              <w:rPr>
                <w:rFonts w:ascii="Calibri" w:eastAsia="Times New Roman" w:hAnsi="Calibri" w:cs="Calibri"/>
                <w:color w:val="000000"/>
                <w:lang w:eastAsia="zh-CN"/>
              </w:rPr>
              <w:t xml:space="preserve"> de </w:t>
            </w:r>
            <w:proofErr w:type="spellStart"/>
            <w:r w:rsidRPr="00CF3673">
              <w:rPr>
                <w:rFonts w:ascii="Calibri" w:eastAsia="Times New Roman" w:hAnsi="Calibri" w:cs="Calibri"/>
                <w:color w:val="000000"/>
                <w:lang w:eastAsia="zh-CN"/>
              </w:rPr>
              <w:t>obs</w:t>
            </w:r>
            <w:proofErr w:type="spellEnd"/>
          </w:p>
        </w:tc>
        <w:tc>
          <w:tcPr>
            <w:tcW w:w="571" w:type="dxa"/>
            <w:tcBorders>
              <w:top w:val="single" w:sz="4" w:space="0" w:color="auto"/>
              <w:bottom w:val="double" w:sz="4" w:space="0" w:color="auto"/>
            </w:tcBorders>
            <w:noWrap/>
            <w:hideMark/>
          </w:tcPr>
          <w:p w:rsidR="00F34125" w:rsidRPr="00CF3673" w:rsidRDefault="00F34125" w:rsidP="00F34125">
            <w:pPr>
              <w:jc w:val="center"/>
            </w:pPr>
            <w:r w:rsidRPr="00CF3673">
              <w:t>721</w:t>
            </w:r>
          </w:p>
        </w:tc>
        <w:tc>
          <w:tcPr>
            <w:tcW w:w="1089" w:type="dxa"/>
            <w:tcBorders>
              <w:top w:val="single" w:sz="4" w:space="0" w:color="auto"/>
              <w:bottom w:val="double" w:sz="4" w:space="0" w:color="auto"/>
            </w:tcBorders>
            <w:noWrap/>
            <w:hideMark/>
          </w:tcPr>
          <w:p w:rsidR="00F34125" w:rsidRPr="00CF3673" w:rsidRDefault="00F34125" w:rsidP="00F34125">
            <w:pPr>
              <w:jc w:val="center"/>
            </w:pPr>
            <w:r w:rsidRPr="00CF3673">
              <w:t>449</w:t>
            </w:r>
          </w:p>
        </w:tc>
        <w:tc>
          <w:tcPr>
            <w:tcW w:w="571" w:type="dxa"/>
            <w:tcBorders>
              <w:top w:val="single" w:sz="4" w:space="0" w:color="auto"/>
              <w:bottom w:val="double" w:sz="4" w:space="0" w:color="auto"/>
            </w:tcBorders>
            <w:noWrap/>
            <w:hideMark/>
          </w:tcPr>
          <w:p w:rsidR="00F34125" w:rsidRPr="00CF3673" w:rsidRDefault="00F34125" w:rsidP="00F34125">
            <w:pPr>
              <w:jc w:val="center"/>
            </w:pPr>
            <w:r w:rsidRPr="00CF3673">
              <w:t>488</w:t>
            </w:r>
          </w:p>
        </w:tc>
        <w:tc>
          <w:tcPr>
            <w:tcW w:w="1089" w:type="dxa"/>
            <w:tcBorders>
              <w:top w:val="single" w:sz="4" w:space="0" w:color="auto"/>
              <w:bottom w:val="double" w:sz="4" w:space="0" w:color="auto"/>
            </w:tcBorders>
            <w:noWrap/>
            <w:hideMark/>
          </w:tcPr>
          <w:p w:rsidR="00F34125" w:rsidRPr="00CF3673" w:rsidRDefault="00F34125" w:rsidP="00F34125">
            <w:pPr>
              <w:jc w:val="center"/>
            </w:pPr>
            <w:r w:rsidRPr="00CF3673">
              <w:t>319</w:t>
            </w:r>
          </w:p>
        </w:tc>
        <w:tc>
          <w:tcPr>
            <w:tcW w:w="571" w:type="dxa"/>
            <w:tcBorders>
              <w:top w:val="single" w:sz="4" w:space="0" w:color="auto"/>
              <w:bottom w:val="double" w:sz="4" w:space="0" w:color="auto"/>
            </w:tcBorders>
            <w:noWrap/>
            <w:hideMark/>
          </w:tcPr>
          <w:p w:rsidR="00F34125" w:rsidRPr="00CF3673" w:rsidRDefault="00F34125" w:rsidP="00F34125">
            <w:pPr>
              <w:jc w:val="center"/>
            </w:pPr>
            <w:r w:rsidRPr="00CF3673">
              <w:t>233</w:t>
            </w:r>
          </w:p>
        </w:tc>
        <w:tc>
          <w:tcPr>
            <w:tcW w:w="1212" w:type="dxa"/>
            <w:tcBorders>
              <w:top w:val="single" w:sz="4" w:space="0" w:color="auto"/>
              <w:bottom w:val="double" w:sz="4" w:space="0" w:color="auto"/>
            </w:tcBorders>
            <w:noWrap/>
            <w:hideMark/>
          </w:tcPr>
          <w:p w:rsidR="00F34125" w:rsidRPr="00CF3673" w:rsidRDefault="00F34125" w:rsidP="00F34125">
            <w:pPr>
              <w:jc w:val="center"/>
            </w:pPr>
            <w:r w:rsidRPr="00CF3673">
              <w:t>130</w:t>
            </w:r>
          </w:p>
        </w:tc>
      </w:tr>
      <w:tr w:rsidR="00F34125" w:rsidRPr="00CF3673" w:rsidTr="00F34125">
        <w:trPr>
          <w:trHeight w:val="300"/>
          <w:jc w:val="center"/>
        </w:trPr>
        <w:tc>
          <w:tcPr>
            <w:tcW w:w="7235" w:type="dxa"/>
            <w:gridSpan w:val="7"/>
            <w:tcBorders>
              <w:top w:val="double" w:sz="4" w:space="0" w:color="auto"/>
              <w:bottom w:val="nil"/>
            </w:tcBorders>
            <w:noWrap/>
          </w:tcPr>
          <w:p w:rsidR="00F34125" w:rsidRPr="00CF3673" w:rsidRDefault="00113734" w:rsidP="00113734">
            <w:pPr>
              <w:pStyle w:val="Tablenote"/>
              <w:rPr>
                <w:b/>
                <w:lang w:val="pt-PT"/>
              </w:rPr>
            </w:pPr>
            <w:r w:rsidRPr="00CF3673">
              <w:rPr>
                <w:b/>
                <w:lang w:val="pt-PT"/>
              </w:rPr>
              <w:t>Nota</w:t>
            </w:r>
            <w:r w:rsidR="00F34125" w:rsidRPr="00CF3673">
              <w:rPr>
                <w:b/>
                <w:lang w:val="pt-PT"/>
              </w:rPr>
              <w:t xml:space="preserve">: </w:t>
            </w:r>
            <w:r w:rsidR="003C0DC7" w:rsidRPr="00CF3673">
              <w:rPr>
                <w:lang w:val="pt-PT"/>
              </w:rPr>
              <w:t xml:space="preserve">40 </w:t>
            </w:r>
            <w:r w:rsidRPr="00CF3673">
              <w:rPr>
                <w:lang w:val="pt-PT"/>
              </w:rPr>
              <w:t>observações em falta</w:t>
            </w:r>
            <w:r w:rsidR="003C0DC7" w:rsidRPr="00CF3673">
              <w:rPr>
                <w:lang w:val="pt-PT"/>
              </w:rPr>
              <w:t xml:space="preserve"> (</w:t>
            </w:r>
            <w:r w:rsidR="00F34125" w:rsidRPr="00CF3673">
              <w:rPr>
                <w:lang w:val="pt-PT"/>
              </w:rPr>
              <w:t>3</w:t>
            </w:r>
            <w:r w:rsidR="003C0DC7" w:rsidRPr="00CF3673">
              <w:rPr>
                <w:lang w:val="pt-PT"/>
              </w:rPr>
              <w:t>7</w:t>
            </w:r>
            <w:r w:rsidR="00F34125" w:rsidRPr="00CF3673">
              <w:rPr>
                <w:lang w:val="pt-PT"/>
              </w:rPr>
              <w:t xml:space="preserve"> observa</w:t>
            </w:r>
            <w:r w:rsidRPr="00CF3673">
              <w:rPr>
                <w:lang w:val="pt-PT"/>
              </w:rPr>
              <w:t xml:space="preserve">ções tem codificação errada sobre a </w:t>
            </w:r>
            <w:r w:rsidR="00761AD0" w:rsidRPr="00CF3673">
              <w:rPr>
                <w:lang w:val="pt-PT"/>
              </w:rPr>
              <w:t>razão</w:t>
            </w:r>
            <w:r w:rsidRPr="00CF3673">
              <w:rPr>
                <w:lang w:val="pt-PT"/>
              </w:rPr>
              <w:t xml:space="preserve"> de não ter credito</w:t>
            </w:r>
            <w:r w:rsidR="003C0DC7" w:rsidRPr="00CF3673">
              <w:rPr>
                <w:lang w:val="pt-PT"/>
              </w:rPr>
              <w:t>)</w:t>
            </w:r>
            <w:r w:rsidR="00F34125" w:rsidRPr="00CF3673">
              <w:rPr>
                <w:lang w:val="pt-PT"/>
              </w:rPr>
              <w:t>.</w:t>
            </w:r>
          </w:p>
        </w:tc>
      </w:tr>
      <w:tr w:rsidR="00F34125" w:rsidRPr="00CF3673" w:rsidTr="00F34125">
        <w:trPr>
          <w:cnfStyle w:val="010000000000" w:firstRow="0" w:lastRow="1" w:firstColumn="0" w:lastColumn="0" w:oddVBand="0" w:evenVBand="0" w:oddHBand="0" w:evenHBand="0" w:firstRowFirstColumn="0" w:firstRowLastColumn="0" w:lastRowFirstColumn="0" w:lastRowLastColumn="0"/>
          <w:trHeight w:val="300"/>
          <w:jc w:val="center"/>
        </w:trPr>
        <w:tc>
          <w:tcPr>
            <w:tcW w:w="7235" w:type="dxa"/>
            <w:gridSpan w:val="7"/>
            <w:tcBorders>
              <w:top w:val="nil"/>
              <w:bottom w:val="nil"/>
            </w:tcBorders>
            <w:noWrap/>
          </w:tcPr>
          <w:p w:rsidR="00F34125" w:rsidRPr="00CF3673" w:rsidRDefault="00113734" w:rsidP="00113734">
            <w:pPr>
              <w:pStyle w:val="Tablenote"/>
              <w:rPr>
                <w:b/>
                <w:lang w:val="pt-PT"/>
              </w:rPr>
            </w:pPr>
            <w:r w:rsidRPr="00CF3673">
              <w:rPr>
                <w:b/>
                <w:lang w:val="pt-PT"/>
              </w:rPr>
              <w:lastRenderedPageBreak/>
              <w:t>Fonte</w:t>
            </w:r>
            <w:r w:rsidR="00F34125" w:rsidRPr="00CF3673">
              <w:rPr>
                <w:b/>
                <w:lang w:val="pt-PT"/>
              </w:rPr>
              <w:t>:</w:t>
            </w:r>
            <w:r w:rsidR="00F34125" w:rsidRPr="00CF3673">
              <w:rPr>
                <w:lang w:val="pt-PT"/>
              </w:rPr>
              <w:t xml:space="preserve"> </w:t>
            </w:r>
            <w:r w:rsidR="00761AD0" w:rsidRPr="00CF3673">
              <w:rPr>
                <w:lang w:val="pt-PT"/>
              </w:rPr>
              <w:t>Cálculos</w:t>
            </w:r>
            <w:r w:rsidRPr="00CF3673">
              <w:rPr>
                <w:lang w:val="pt-PT"/>
              </w:rPr>
              <w:t xml:space="preserve"> dos autores usando</w:t>
            </w:r>
            <w:r w:rsidR="00F34125" w:rsidRPr="00CF3673">
              <w:rPr>
                <w:lang w:val="pt-PT"/>
              </w:rPr>
              <w:t xml:space="preserve"> IIM 2012.</w:t>
            </w:r>
          </w:p>
        </w:tc>
      </w:tr>
    </w:tbl>
    <w:p w:rsidR="007E0505" w:rsidRPr="00CF3673" w:rsidRDefault="007E0505" w:rsidP="001E664B">
      <w:pPr>
        <w:pStyle w:val="MainText"/>
        <w:rPr>
          <w:lang w:val="pt-PT"/>
        </w:rPr>
      </w:pPr>
    </w:p>
    <w:p w:rsidR="00530E92" w:rsidRPr="00CF3673" w:rsidRDefault="00530E92" w:rsidP="001E664B">
      <w:pPr>
        <w:pStyle w:val="MainText"/>
        <w:rPr>
          <w:lang w:val="pt-PT"/>
        </w:rPr>
      </w:pPr>
      <w:r w:rsidRPr="00CF3673">
        <w:rPr>
          <w:lang w:val="pt-PT"/>
        </w:rPr>
        <w:t xml:space="preserve">5% das empresas na amostra </w:t>
      </w:r>
      <w:r w:rsidR="00761AD0" w:rsidRPr="00CF3673">
        <w:rPr>
          <w:lang w:val="pt-PT"/>
        </w:rPr>
        <w:t>estão</w:t>
      </w:r>
      <w:r w:rsidRPr="00CF3673">
        <w:rPr>
          <w:lang w:val="pt-PT"/>
        </w:rPr>
        <w:t xml:space="preserve"> constrangidas com o </w:t>
      </w:r>
      <w:r w:rsidR="00761AD0" w:rsidRPr="00CF3673">
        <w:rPr>
          <w:lang w:val="pt-PT"/>
        </w:rPr>
        <w:t>crédito</w:t>
      </w:r>
      <w:r w:rsidRPr="00CF3673">
        <w:rPr>
          <w:lang w:val="pt-PT"/>
        </w:rPr>
        <w:t xml:space="preserve"> Segundo a definição 1 (9% das empresas com demanda do credito). Este número depende em grande medida do tamanho da empresa- grandes empresas tem menor propensão a serem constrangidas pelo crédito; </w:t>
      </w:r>
      <w:r w:rsidR="00DD78F0" w:rsidRPr="00CF3673">
        <w:rPr>
          <w:lang w:val="pt-PT"/>
        </w:rPr>
        <w:t xml:space="preserve">na definição 1 um total de 3 empresas não-micro são constrangidas pelo </w:t>
      </w:r>
      <w:r w:rsidR="005A5CE5" w:rsidRPr="00CF3673">
        <w:rPr>
          <w:lang w:val="pt-PT"/>
        </w:rPr>
        <w:t>crédito</w:t>
      </w:r>
      <w:r w:rsidR="00DD78F0" w:rsidRPr="00CF3673">
        <w:rPr>
          <w:lang w:val="pt-PT"/>
        </w:rPr>
        <w:t xml:space="preserve">. A estimativa de 5% da amostra como sendo constrangidas pelo </w:t>
      </w:r>
      <w:r w:rsidR="005A5CE5" w:rsidRPr="00CF3673">
        <w:rPr>
          <w:lang w:val="pt-PT"/>
        </w:rPr>
        <w:t>crédito</w:t>
      </w:r>
      <w:r w:rsidR="00DD78F0" w:rsidRPr="00CF3673">
        <w:rPr>
          <w:lang w:val="pt-PT"/>
        </w:rPr>
        <w:t xml:space="preserve"> (definição 1) é similar aos 5% encontrados por </w:t>
      </w:r>
      <w:proofErr w:type="spellStart"/>
      <w:r w:rsidR="00DD78F0" w:rsidRPr="00CF3673">
        <w:rPr>
          <w:lang w:val="pt-PT"/>
        </w:rPr>
        <w:t>Byiers</w:t>
      </w:r>
      <w:proofErr w:type="spellEnd"/>
      <w:r w:rsidR="00DD78F0" w:rsidRPr="00CF3673">
        <w:rPr>
          <w:lang w:val="pt-PT"/>
        </w:rPr>
        <w:t xml:space="preserve"> </w:t>
      </w:r>
      <w:proofErr w:type="spellStart"/>
      <w:r w:rsidR="00DD78F0" w:rsidRPr="00CF3673">
        <w:rPr>
          <w:lang w:val="pt-PT"/>
        </w:rPr>
        <w:t>et</w:t>
      </w:r>
      <w:proofErr w:type="spellEnd"/>
      <w:r w:rsidR="00DD78F0" w:rsidRPr="00CF3673">
        <w:rPr>
          <w:lang w:val="pt-PT"/>
        </w:rPr>
        <w:t xml:space="preserve"> al (2010) usando uma definição comprável.</w:t>
      </w:r>
    </w:p>
    <w:p w:rsidR="00DD78F0" w:rsidRPr="00CF3673" w:rsidRDefault="00DD78F0" w:rsidP="001E664B">
      <w:pPr>
        <w:pStyle w:val="MainText"/>
        <w:rPr>
          <w:lang w:val="pt-PT"/>
        </w:rPr>
      </w:pPr>
      <w:r w:rsidRPr="00CF3673">
        <w:rPr>
          <w:lang w:val="pt-PT"/>
        </w:rPr>
        <w:t>Usando a</w:t>
      </w:r>
      <w:r w:rsidR="005A5CE5" w:rsidRPr="00CF3673">
        <w:rPr>
          <w:lang w:val="pt-PT"/>
        </w:rPr>
        <w:t xml:space="preserve"> segunda definição, a </w:t>
      </w:r>
      <w:r w:rsidR="00761AD0" w:rsidRPr="00CF3673">
        <w:rPr>
          <w:lang w:val="pt-PT"/>
        </w:rPr>
        <w:t>proporção</w:t>
      </w:r>
      <w:r w:rsidR="005A5CE5" w:rsidRPr="00CF3673">
        <w:rPr>
          <w:lang w:val="pt-PT"/>
        </w:rPr>
        <w:t xml:space="preserve"> das empresas que são constrangidas pelo crédito salta de 5 a 23% do total da amostra, indicando que muitas das empresas não recorrem ao crédito porque pensam que não vão poder </w:t>
      </w:r>
      <w:r w:rsidR="00761AD0" w:rsidRPr="00CF3673">
        <w:rPr>
          <w:lang w:val="pt-PT"/>
        </w:rPr>
        <w:t>obtê-lo</w:t>
      </w:r>
      <w:r w:rsidR="005A5CE5" w:rsidRPr="00CF3673">
        <w:rPr>
          <w:lang w:val="pt-PT"/>
        </w:rPr>
        <w:t xml:space="preserve">. 43% das </w:t>
      </w:r>
      <w:r w:rsidR="00761AD0" w:rsidRPr="00CF3673">
        <w:rPr>
          <w:lang w:val="pt-PT"/>
        </w:rPr>
        <w:t>microempresas</w:t>
      </w:r>
      <w:r w:rsidR="005A5CE5" w:rsidRPr="00CF3673">
        <w:rPr>
          <w:lang w:val="pt-PT"/>
        </w:rPr>
        <w:t xml:space="preserve"> com necessidades de </w:t>
      </w:r>
      <w:r w:rsidR="00761AD0" w:rsidRPr="00CF3673">
        <w:rPr>
          <w:lang w:val="pt-PT"/>
        </w:rPr>
        <w:t>crédito</w:t>
      </w:r>
      <w:r w:rsidR="005A5CE5" w:rsidRPr="00CF3673">
        <w:rPr>
          <w:lang w:val="pt-PT"/>
        </w:rPr>
        <w:t xml:space="preserve"> 24% empresas não micro com necessidade de </w:t>
      </w:r>
      <w:r w:rsidR="00761AD0" w:rsidRPr="00CF3673">
        <w:rPr>
          <w:lang w:val="pt-PT"/>
        </w:rPr>
        <w:t>crédito</w:t>
      </w:r>
      <w:r w:rsidR="005A5CE5" w:rsidRPr="00CF3673">
        <w:rPr>
          <w:lang w:val="pt-PT"/>
        </w:rPr>
        <w:t xml:space="preserve"> são constrangidas segundo a definição 2.</w:t>
      </w:r>
    </w:p>
    <w:p w:rsidR="005A5CE5" w:rsidRPr="00CF3673" w:rsidRDefault="005A5CE5" w:rsidP="001E664B">
      <w:pPr>
        <w:pStyle w:val="MainText"/>
        <w:rPr>
          <w:lang w:val="pt-PT"/>
        </w:rPr>
      </w:pPr>
      <w:r w:rsidRPr="00CF3673">
        <w:rPr>
          <w:lang w:val="pt-PT"/>
        </w:rPr>
        <w:t>A lista complete das razoes as empresas optam por</w:t>
      </w:r>
      <w:r w:rsidR="00775E44" w:rsidRPr="00CF3673">
        <w:rPr>
          <w:lang w:val="pt-PT"/>
        </w:rPr>
        <w:t xml:space="preserve"> não </w:t>
      </w:r>
      <w:r w:rsidR="00761AD0" w:rsidRPr="00CF3673">
        <w:rPr>
          <w:lang w:val="pt-PT"/>
        </w:rPr>
        <w:t>recorrer</w:t>
      </w:r>
      <w:r w:rsidR="00775E44" w:rsidRPr="00CF3673">
        <w:rPr>
          <w:lang w:val="pt-PT"/>
        </w:rPr>
        <w:t xml:space="preserve"> ao credito pode ser encontrada na figura 9.5.</w:t>
      </w:r>
      <w:r w:rsidR="00775E44" w:rsidRPr="00CF3673">
        <w:rPr>
          <w:rStyle w:val="FootnoteReference"/>
          <w:lang w:val="pt-PT"/>
        </w:rPr>
        <w:footnoteReference w:id="44"/>
      </w:r>
      <w:r w:rsidR="00775E44" w:rsidRPr="00CF3673">
        <w:rPr>
          <w:lang w:val="pt-PT"/>
        </w:rPr>
        <w:t xml:space="preserve"> </w:t>
      </w:r>
      <w:r w:rsidR="006225E6" w:rsidRPr="00CF3673">
        <w:rPr>
          <w:lang w:val="pt-PT"/>
        </w:rPr>
        <w:t xml:space="preserve">quanto maior for a empresa, menor é a propensão de necessidade de credito: enquanto as media empresas não aplicam para acesso ao </w:t>
      </w:r>
      <w:r w:rsidR="00761AD0" w:rsidRPr="00CF3673">
        <w:rPr>
          <w:lang w:val="pt-PT"/>
        </w:rPr>
        <w:t>crédito</w:t>
      </w:r>
      <w:r w:rsidR="006225E6" w:rsidRPr="00CF3673">
        <w:rPr>
          <w:lang w:val="pt-PT"/>
        </w:rPr>
        <w:t xml:space="preserve"> porque não necessitam, as pequenas empresas evitam porque pensam não irão conseguir obter, muitas vezes porque não capazes de estar a altura das exigências dos procedimentos e garantias. No DNEAP (2006) apenas 22% das empresas sem </w:t>
      </w:r>
      <w:r w:rsidR="00761AD0" w:rsidRPr="00CF3673">
        <w:rPr>
          <w:lang w:val="pt-PT"/>
        </w:rPr>
        <w:t>crédito</w:t>
      </w:r>
      <w:r w:rsidR="006225E6" w:rsidRPr="00CF3673">
        <w:rPr>
          <w:lang w:val="pt-PT"/>
        </w:rPr>
        <w:t xml:space="preserve"> indicaram não necessitar- este número é 42% do total da amostra em 2012.</w:t>
      </w:r>
    </w:p>
    <w:p w:rsidR="006225E6" w:rsidRPr="00CF3673" w:rsidRDefault="00576941" w:rsidP="008518BD">
      <w:pPr>
        <w:pStyle w:val="FigureTitle"/>
        <w:rPr>
          <w:lang w:val="pt-PT"/>
        </w:rPr>
      </w:pPr>
      <w:bookmarkStart w:id="84" w:name="_Toc360720526"/>
      <w:r w:rsidRPr="00CF3673">
        <w:rPr>
          <w:lang w:val="pt-PT"/>
        </w:rPr>
        <w:t>Figur</w:t>
      </w:r>
      <w:r w:rsidR="006225E6" w:rsidRPr="00CF3673">
        <w:rPr>
          <w:lang w:val="pt-PT"/>
        </w:rPr>
        <w:t>a</w:t>
      </w:r>
      <w:r w:rsidRPr="00CF3673">
        <w:rPr>
          <w:lang w:val="pt-PT"/>
        </w:rPr>
        <w:t xml:space="preserve"> </w:t>
      </w:r>
      <w:r w:rsidR="006102AC" w:rsidRPr="00CF3673">
        <w:rPr>
          <w:lang w:val="pt-PT"/>
        </w:rPr>
        <w:t>9</w:t>
      </w:r>
      <w:r w:rsidRPr="00CF3673">
        <w:rPr>
          <w:lang w:val="pt-PT"/>
        </w:rPr>
        <w:t>.</w:t>
      </w:r>
      <w:r w:rsidR="00B01CDA" w:rsidRPr="00CF3673">
        <w:rPr>
          <w:lang w:val="pt-PT"/>
        </w:rPr>
        <w:t>2</w:t>
      </w:r>
      <w:r w:rsidRPr="00CF3673">
        <w:rPr>
          <w:lang w:val="pt-PT"/>
        </w:rPr>
        <w:t xml:space="preserve">: </w:t>
      </w:r>
      <w:r w:rsidR="006225E6" w:rsidRPr="00CF3673">
        <w:rPr>
          <w:lang w:val="pt-PT"/>
        </w:rPr>
        <w:t xml:space="preserve">razoes para </w:t>
      </w:r>
      <w:r w:rsidR="00761AD0" w:rsidRPr="00CF3673">
        <w:rPr>
          <w:lang w:val="pt-PT"/>
        </w:rPr>
        <w:t>não</w:t>
      </w:r>
      <w:r w:rsidR="006225E6" w:rsidRPr="00CF3673">
        <w:rPr>
          <w:lang w:val="pt-PT"/>
        </w:rPr>
        <w:t xml:space="preserve"> aplicar ao credito por tipo, %</w:t>
      </w:r>
    </w:p>
    <w:bookmarkEnd w:id="84"/>
    <w:p w:rsidR="00657DD2" w:rsidRPr="00CF3673" w:rsidRDefault="009B4380" w:rsidP="009B4380">
      <w:pPr>
        <w:pStyle w:val="MainText"/>
        <w:spacing w:after="0"/>
        <w:jc w:val="center"/>
        <w:rPr>
          <w:lang w:val="pt-PT"/>
        </w:rPr>
      </w:pPr>
      <w:r w:rsidRPr="00CF3673">
        <w:rPr>
          <w:noProof/>
        </w:rPr>
        <w:drawing>
          <wp:inline distT="0" distB="0" distL="0" distR="0" wp14:anchorId="6A3DDD4E" wp14:editId="625FD74B">
            <wp:extent cx="4972050" cy="2743200"/>
            <wp:effectExtent l="0" t="0" r="19050" b="19050"/>
            <wp:docPr id="4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bl>
      <w:tblPr>
        <w:tblStyle w:val="StandardTable"/>
        <w:tblpPr w:leftFromText="141" w:rightFromText="141" w:vertAnchor="text" w:horzAnchor="margin" w:tblpXSpec="center" w:tblpY="1"/>
        <w:tblW w:w="0" w:type="auto"/>
        <w:tblBorders>
          <w:top w:val="none" w:sz="0" w:space="0" w:color="auto"/>
          <w:bottom w:val="none" w:sz="0" w:space="0" w:color="auto"/>
        </w:tblBorders>
        <w:tblLayout w:type="fixed"/>
        <w:tblLook w:val="04E0" w:firstRow="1" w:lastRow="1" w:firstColumn="1" w:lastColumn="0" w:noHBand="0" w:noVBand="1"/>
      </w:tblPr>
      <w:tblGrid>
        <w:gridCol w:w="7235"/>
      </w:tblGrid>
      <w:tr w:rsidR="001E6DDB" w:rsidRPr="00CF3673" w:rsidTr="001E6DDB">
        <w:trPr>
          <w:cnfStyle w:val="100000000000" w:firstRow="1" w:lastRow="0" w:firstColumn="0" w:lastColumn="0" w:oddVBand="0" w:evenVBand="0" w:oddHBand="0" w:evenHBand="0" w:firstRowFirstColumn="0" w:firstRowLastColumn="0" w:lastRowFirstColumn="0" w:lastRowLastColumn="0"/>
          <w:trHeight w:val="300"/>
        </w:trPr>
        <w:tc>
          <w:tcPr>
            <w:tcW w:w="7235" w:type="dxa"/>
            <w:tcBorders>
              <w:top w:val="none" w:sz="0" w:space="0" w:color="auto"/>
              <w:left w:val="none" w:sz="0" w:space="0" w:color="auto"/>
              <w:bottom w:val="none" w:sz="0" w:space="0" w:color="auto"/>
              <w:right w:val="none" w:sz="0" w:space="0" w:color="auto"/>
            </w:tcBorders>
            <w:noWrap/>
          </w:tcPr>
          <w:p w:rsidR="001E6DDB" w:rsidRPr="00CF3673" w:rsidRDefault="001E6DDB" w:rsidP="00465065">
            <w:pPr>
              <w:pStyle w:val="Tablenote"/>
              <w:rPr>
                <w:b/>
                <w:lang w:val="pt-PT"/>
              </w:rPr>
            </w:pPr>
            <w:r w:rsidRPr="00CF3673">
              <w:rPr>
                <w:b/>
                <w:lang w:val="pt-PT"/>
              </w:rPr>
              <w:lastRenderedPageBreak/>
              <w:t xml:space="preserve">Note: </w:t>
            </w:r>
            <w:r w:rsidR="00761AD0" w:rsidRPr="00CF3673">
              <w:rPr>
                <w:lang w:val="pt-PT"/>
              </w:rPr>
              <w:t>Número</w:t>
            </w:r>
            <w:r w:rsidR="00465065" w:rsidRPr="00CF3673">
              <w:rPr>
                <w:lang w:val="pt-PT"/>
              </w:rPr>
              <w:t xml:space="preserve"> de </w:t>
            </w:r>
            <w:r w:rsidRPr="00CF3673">
              <w:rPr>
                <w:lang w:val="pt-PT"/>
              </w:rPr>
              <w:t>observa</w:t>
            </w:r>
            <w:r w:rsidR="00465065" w:rsidRPr="00CF3673">
              <w:rPr>
                <w:lang w:val="pt-PT"/>
              </w:rPr>
              <w:t>ções</w:t>
            </w:r>
            <w:r w:rsidRPr="00CF3673">
              <w:rPr>
                <w:lang w:val="pt-PT"/>
              </w:rPr>
              <w:t xml:space="preserve">: 560. </w:t>
            </w:r>
          </w:p>
        </w:tc>
      </w:tr>
      <w:tr w:rsidR="001E6DDB" w:rsidRPr="00CF3673" w:rsidTr="00465065">
        <w:trPr>
          <w:cnfStyle w:val="010000000000" w:firstRow="0" w:lastRow="1" w:firstColumn="0" w:lastColumn="0" w:oddVBand="0" w:evenVBand="0" w:oddHBand="0" w:evenHBand="0" w:firstRowFirstColumn="0" w:firstRowLastColumn="0" w:lastRowFirstColumn="0" w:lastRowLastColumn="0"/>
          <w:trHeight w:val="150"/>
        </w:trPr>
        <w:tc>
          <w:tcPr>
            <w:tcW w:w="7235" w:type="dxa"/>
            <w:tcBorders>
              <w:top w:val="none" w:sz="0" w:space="0" w:color="auto"/>
            </w:tcBorders>
            <w:noWrap/>
          </w:tcPr>
          <w:p w:rsidR="001E6DDB" w:rsidRPr="00CF3673" w:rsidRDefault="00465065" w:rsidP="00465065">
            <w:pPr>
              <w:pStyle w:val="Tablenote"/>
              <w:rPr>
                <w:b/>
                <w:lang w:val="pt-PT"/>
              </w:rPr>
            </w:pPr>
            <w:r w:rsidRPr="00CF3673">
              <w:rPr>
                <w:b/>
                <w:lang w:val="pt-PT"/>
              </w:rPr>
              <w:t>Fonte</w:t>
            </w:r>
            <w:r w:rsidR="001E6DDB" w:rsidRPr="00CF3673">
              <w:rPr>
                <w:b/>
                <w:lang w:val="pt-PT"/>
              </w:rPr>
              <w:t>:</w:t>
            </w:r>
            <w:r w:rsidR="001E6DDB" w:rsidRPr="00CF3673">
              <w:rPr>
                <w:lang w:val="pt-PT"/>
              </w:rPr>
              <w:t xml:space="preserve"> </w:t>
            </w:r>
            <w:r w:rsidR="00761AD0" w:rsidRPr="00CF3673">
              <w:rPr>
                <w:lang w:val="pt-PT"/>
              </w:rPr>
              <w:t>Cálculos</w:t>
            </w:r>
            <w:r w:rsidRPr="00CF3673">
              <w:rPr>
                <w:lang w:val="pt-PT"/>
              </w:rPr>
              <w:t xml:space="preserve"> dos autores usando</w:t>
            </w:r>
            <w:r w:rsidR="001E6DDB" w:rsidRPr="00CF3673">
              <w:rPr>
                <w:lang w:val="pt-PT"/>
              </w:rPr>
              <w:t xml:space="preserve"> IIM 2012.</w:t>
            </w:r>
          </w:p>
        </w:tc>
      </w:tr>
    </w:tbl>
    <w:p w:rsidR="007360EB" w:rsidRPr="00CF3673" w:rsidRDefault="007360EB" w:rsidP="001E664B">
      <w:pPr>
        <w:pStyle w:val="MainText"/>
        <w:rPr>
          <w:lang w:val="pt-PT"/>
        </w:rPr>
      </w:pPr>
    </w:p>
    <w:p w:rsidR="00B01CDA" w:rsidRPr="00CF3673" w:rsidRDefault="00B01CDA" w:rsidP="001E664B">
      <w:pPr>
        <w:pStyle w:val="MainText"/>
        <w:rPr>
          <w:lang w:val="pt-PT"/>
        </w:rPr>
      </w:pPr>
    </w:p>
    <w:p w:rsidR="009F3C29" w:rsidRPr="00CF3673" w:rsidRDefault="009F3C29" w:rsidP="001E664B">
      <w:pPr>
        <w:pStyle w:val="MainText"/>
        <w:rPr>
          <w:lang w:val="pt-PT"/>
        </w:rPr>
      </w:pPr>
      <w:r w:rsidRPr="00CF3673">
        <w:rPr>
          <w:lang w:val="pt-PT"/>
        </w:rPr>
        <w:t xml:space="preserve">Altas taxas de juros sempre figuram como a </w:t>
      </w:r>
      <w:r w:rsidR="00761AD0" w:rsidRPr="00CF3673">
        <w:rPr>
          <w:lang w:val="pt-PT"/>
        </w:rPr>
        <w:t>razão</w:t>
      </w:r>
      <w:r w:rsidRPr="00CF3673">
        <w:rPr>
          <w:lang w:val="pt-PT"/>
        </w:rPr>
        <w:t xml:space="preserve"> comum para não aplicarem ao </w:t>
      </w:r>
      <w:r w:rsidR="00761AD0" w:rsidRPr="00CF3673">
        <w:rPr>
          <w:lang w:val="pt-PT"/>
        </w:rPr>
        <w:t>crédito</w:t>
      </w:r>
      <w:r w:rsidRPr="00CF3673">
        <w:rPr>
          <w:lang w:val="pt-PT"/>
        </w:rPr>
        <w:t xml:space="preserve"> em estudos similares (veja ICA, 2009 onde quase 50% das empresas assim disseram). Vendo as taxas de juros como sendo a questão central em Moçambique (veja Noticiais de Moçambique, 7 de Novembros de 2012), é provável que as pessoas/empresas que respondem “outro” ou “não necessitar de </w:t>
      </w:r>
      <w:r w:rsidR="00761AD0" w:rsidRPr="00CF3673">
        <w:rPr>
          <w:lang w:val="pt-PT"/>
        </w:rPr>
        <w:t>empréstimo</w:t>
      </w:r>
      <w:r w:rsidRPr="00CF3673">
        <w:rPr>
          <w:lang w:val="pt-PT"/>
        </w:rPr>
        <w:t xml:space="preserve">” tenham assim o feito, porque eles entendem que as taxas de juros são elevadas. Note que “custo de financiamento” posicionou-se como a </w:t>
      </w:r>
      <w:r w:rsidR="00761AD0" w:rsidRPr="00CF3673">
        <w:rPr>
          <w:lang w:val="pt-PT"/>
        </w:rPr>
        <w:t>percepção</w:t>
      </w:r>
      <w:r w:rsidRPr="00CF3673">
        <w:rPr>
          <w:lang w:val="pt-PT"/>
        </w:rPr>
        <w:t xml:space="preserve"> dos maiores constrangimentos no capítulo 3.</w:t>
      </w:r>
    </w:p>
    <w:p w:rsidR="009F3C29" w:rsidRPr="00CF3673" w:rsidRDefault="009F3C29" w:rsidP="009B4380">
      <w:pPr>
        <w:pStyle w:val="MainText"/>
        <w:rPr>
          <w:lang w:val="pt-PT"/>
        </w:rPr>
      </w:pPr>
      <w:r w:rsidRPr="00CF3673">
        <w:rPr>
          <w:lang w:val="pt-PT"/>
        </w:rPr>
        <w:t xml:space="preserve">Algumas empresas não aplicam ao </w:t>
      </w:r>
      <w:r w:rsidR="00761AD0" w:rsidRPr="00CF3673">
        <w:rPr>
          <w:lang w:val="pt-PT"/>
        </w:rPr>
        <w:t>empréstimo</w:t>
      </w:r>
      <w:r w:rsidRPr="00CF3673">
        <w:rPr>
          <w:lang w:val="pt-PT"/>
        </w:rPr>
        <w:t xml:space="preserve"> porque as suas aplicações foram chumbadas- tabela 9.5 alista as razões. Falta de garantias é a questão dominante para as aplicações serem chumbadas com mais de 50% a indicarem esta como a principal razão. Cerca de 10% dos casos, a razão de não completar a </w:t>
      </w:r>
      <w:r w:rsidR="00761AD0" w:rsidRPr="00CF3673">
        <w:rPr>
          <w:lang w:val="pt-PT"/>
        </w:rPr>
        <w:t>papel</w:t>
      </w:r>
      <w:r w:rsidRPr="00CF3673">
        <w:rPr>
          <w:lang w:val="pt-PT"/>
        </w:rPr>
        <w:t xml:space="preserve"> da candidatura ou pela facto dos projectos serem tidos como não viáveis. Pobre histórico nos reembolsos de </w:t>
      </w:r>
      <w:r w:rsidR="00761AD0" w:rsidRPr="00CF3673">
        <w:rPr>
          <w:lang w:val="pt-PT"/>
        </w:rPr>
        <w:t>créditos</w:t>
      </w:r>
      <w:r w:rsidRPr="00CF3673">
        <w:rPr>
          <w:lang w:val="pt-PT"/>
        </w:rPr>
        <w:t xml:space="preserve"> configura a principal razão sobre para as empresas no sector informal (38.5%), mas este e apenas 6% dos casos das empresas no sector formal. </w:t>
      </w:r>
    </w:p>
    <w:p w:rsidR="009F3C29" w:rsidRPr="00CF3673" w:rsidRDefault="00E333A2" w:rsidP="00215639">
      <w:pPr>
        <w:pStyle w:val="TableTitle"/>
        <w:rPr>
          <w:lang w:val="pt-PT"/>
        </w:rPr>
      </w:pPr>
      <w:bookmarkStart w:id="85" w:name="_Toc360720500"/>
      <w:r w:rsidRPr="00CF3673">
        <w:rPr>
          <w:lang w:val="pt-PT"/>
        </w:rPr>
        <w:t>Tab</w:t>
      </w:r>
      <w:r w:rsidR="009F3C29" w:rsidRPr="00CF3673">
        <w:rPr>
          <w:lang w:val="pt-PT"/>
        </w:rPr>
        <w:t>ela</w:t>
      </w:r>
      <w:r w:rsidR="00F158F0" w:rsidRPr="00CF3673">
        <w:rPr>
          <w:lang w:val="pt-PT"/>
        </w:rPr>
        <w:t xml:space="preserve"> </w:t>
      </w:r>
      <w:r w:rsidR="006102AC" w:rsidRPr="00CF3673">
        <w:rPr>
          <w:lang w:val="pt-PT"/>
        </w:rPr>
        <w:t>9</w:t>
      </w:r>
      <w:r w:rsidR="00F158F0" w:rsidRPr="00CF3673">
        <w:rPr>
          <w:lang w:val="pt-PT"/>
        </w:rPr>
        <w:t>.</w:t>
      </w:r>
      <w:r w:rsidR="00455BE8" w:rsidRPr="00CF3673">
        <w:rPr>
          <w:lang w:val="pt-PT"/>
        </w:rPr>
        <w:t>5</w:t>
      </w:r>
      <w:r w:rsidR="009F3C29" w:rsidRPr="00CF3673">
        <w:rPr>
          <w:lang w:val="pt-PT"/>
        </w:rPr>
        <w:t>: Razoes de rejeição do crédito</w:t>
      </w:r>
    </w:p>
    <w:bookmarkEnd w:id="85"/>
    <w:p w:rsidR="00F158F0" w:rsidRPr="00CF3673" w:rsidRDefault="00F158F0" w:rsidP="00215639">
      <w:pPr>
        <w:pStyle w:val="TableTitle"/>
        <w:rPr>
          <w:lang w:val="pt-PT"/>
        </w:rPr>
      </w:pPr>
    </w:p>
    <w:tbl>
      <w:tblPr>
        <w:tblStyle w:val="StandardTable"/>
        <w:tblW w:w="0" w:type="auto"/>
        <w:jc w:val="center"/>
        <w:tblLayout w:type="fixed"/>
        <w:tblLook w:val="04E0" w:firstRow="1" w:lastRow="1" w:firstColumn="1" w:lastColumn="0" w:noHBand="0" w:noVBand="1"/>
      </w:tblPr>
      <w:tblGrid>
        <w:gridCol w:w="2920"/>
        <w:gridCol w:w="1220"/>
        <w:gridCol w:w="1220"/>
        <w:gridCol w:w="1121"/>
      </w:tblGrid>
      <w:tr w:rsidR="00F158F0" w:rsidRPr="00CF3673" w:rsidTr="00465065">
        <w:trPr>
          <w:cnfStyle w:val="100000000000" w:firstRow="1" w:lastRow="0" w:firstColumn="0" w:lastColumn="0" w:oddVBand="0" w:evenVBand="0" w:oddHBand="0" w:evenHBand="0" w:firstRowFirstColumn="0" w:firstRowLastColumn="0" w:lastRowFirstColumn="0" w:lastRowLastColumn="0"/>
          <w:trHeight w:val="300"/>
          <w:jc w:val="center"/>
        </w:trPr>
        <w:tc>
          <w:tcPr>
            <w:tcW w:w="2920" w:type="dxa"/>
            <w:noWrap/>
            <w:hideMark/>
          </w:tcPr>
          <w:p w:rsidR="00F158F0" w:rsidRPr="00CF3673" w:rsidRDefault="00F158F0" w:rsidP="00A6150A">
            <w:pPr>
              <w:rPr>
                <w:rFonts w:ascii="Calibri" w:eastAsia="Times New Roman" w:hAnsi="Calibri" w:cs="Calibri"/>
                <w:color w:val="000000"/>
                <w:lang w:eastAsia="zh-CN"/>
              </w:rPr>
            </w:pPr>
          </w:p>
        </w:tc>
        <w:tc>
          <w:tcPr>
            <w:tcW w:w="1220" w:type="dxa"/>
            <w:noWrap/>
            <w:hideMark/>
          </w:tcPr>
          <w:p w:rsidR="00F158F0" w:rsidRPr="00CF3673" w:rsidRDefault="00465065" w:rsidP="00DF73B0">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Todas</w:t>
            </w:r>
          </w:p>
        </w:tc>
        <w:tc>
          <w:tcPr>
            <w:tcW w:w="1220" w:type="dxa"/>
            <w:noWrap/>
            <w:hideMark/>
          </w:tcPr>
          <w:p w:rsidR="00F158F0" w:rsidRPr="00CF3673" w:rsidRDefault="007D7439" w:rsidP="00DF73B0">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Informal</w:t>
            </w:r>
          </w:p>
        </w:tc>
        <w:tc>
          <w:tcPr>
            <w:tcW w:w="1121" w:type="dxa"/>
            <w:noWrap/>
            <w:hideMark/>
          </w:tcPr>
          <w:p w:rsidR="00F158F0" w:rsidRPr="00CF3673" w:rsidRDefault="00E766FF" w:rsidP="00DF73B0">
            <w:pPr>
              <w:jc w:val="center"/>
              <w:rPr>
                <w:rFonts w:ascii="Calibri" w:eastAsia="Times New Roman" w:hAnsi="Calibri" w:cs="Calibri"/>
                <w:color w:val="000000"/>
                <w:lang w:eastAsia="zh-CN"/>
              </w:rPr>
            </w:pPr>
            <w:r w:rsidRPr="00CF3673">
              <w:rPr>
                <w:rFonts w:ascii="Calibri" w:eastAsia="Times New Roman" w:hAnsi="Calibri" w:cs="Times New Roman"/>
                <w:lang w:eastAsia="zh-CN"/>
              </w:rPr>
              <w:t>Formal</w:t>
            </w:r>
          </w:p>
        </w:tc>
      </w:tr>
      <w:tr w:rsidR="00277B2E" w:rsidRPr="00CF3673" w:rsidTr="00465065">
        <w:trPr>
          <w:trHeight w:val="300"/>
          <w:jc w:val="center"/>
        </w:trPr>
        <w:tc>
          <w:tcPr>
            <w:tcW w:w="2920" w:type="dxa"/>
            <w:noWrap/>
            <w:hideMark/>
          </w:tcPr>
          <w:p w:rsidR="00277B2E" w:rsidRPr="00CF3673" w:rsidRDefault="00465065" w:rsidP="002A1A7F">
            <w:pPr>
              <w:rPr>
                <w:rFonts w:ascii="Calibri" w:eastAsia="Times New Roman" w:hAnsi="Calibri" w:cs="Calibri"/>
                <w:color w:val="000000"/>
                <w:lang w:eastAsia="zh-CN"/>
              </w:rPr>
            </w:pPr>
            <w:r w:rsidRPr="00CF3673">
              <w:rPr>
                <w:rFonts w:ascii="Calibri" w:eastAsia="Times New Roman" w:hAnsi="Calibri" w:cs="Calibri"/>
                <w:color w:val="000000"/>
                <w:lang w:eastAsia="zh-CN"/>
              </w:rPr>
              <w:t>Falta de garantia</w:t>
            </w:r>
          </w:p>
        </w:tc>
        <w:tc>
          <w:tcPr>
            <w:tcW w:w="1220" w:type="dxa"/>
            <w:noWrap/>
            <w:hideMark/>
          </w:tcPr>
          <w:p w:rsidR="00277B2E" w:rsidRPr="00CF3673" w:rsidRDefault="00277B2E" w:rsidP="00277B2E">
            <w:pPr>
              <w:jc w:val="center"/>
            </w:pPr>
            <w:r w:rsidRPr="00CF3673">
              <w:t>63.3</w:t>
            </w:r>
          </w:p>
        </w:tc>
        <w:tc>
          <w:tcPr>
            <w:tcW w:w="1220" w:type="dxa"/>
            <w:noWrap/>
            <w:hideMark/>
          </w:tcPr>
          <w:p w:rsidR="00277B2E" w:rsidRPr="00CF3673" w:rsidRDefault="00277B2E" w:rsidP="00277B2E">
            <w:pPr>
              <w:jc w:val="center"/>
            </w:pPr>
            <w:r w:rsidRPr="00CF3673">
              <w:t>53.8</w:t>
            </w:r>
          </w:p>
        </w:tc>
        <w:tc>
          <w:tcPr>
            <w:tcW w:w="1121" w:type="dxa"/>
            <w:noWrap/>
            <w:hideMark/>
          </w:tcPr>
          <w:p w:rsidR="00277B2E" w:rsidRPr="00CF3673" w:rsidRDefault="00277B2E" w:rsidP="00277B2E">
            <w:pPr>
              <w:jc w:val="center"/>
            </w:pPr>
            <w:r w:rsidRPr="00CF3673">
              <w:t>66.7</w:t>
            </w:r>
          </w:p>
        </w:tc>
      </w:tr>
      <w:tr w:rsidR="00277B2E" w:rsidRPr="00CF3673" w:rsidTr="00465065">
        <w:trPr>
          <w:trHeight w:val="300"/>
          <w:jc w:val="center"/>
        </w:trPr>
        <w:tc>
          <w:tcPr>
            <w:tcW w:w="2920" w:type="dxa"/>
            <w:noWrap/>
            <w:hideMark/>
          </w:tcPr>
          <w:p w:rsidR="00277B2E" w:rsidRPr="00CF3673" w:rsidRDefault="00465065" w:rsidP="002A1A7F">
            <w:pPr>
              <w:rPr>
                <w:rFonts w:ascii="Calibri" w:eastAsia="Times New Roman" w:hAnsi="Calibri" w:cs="Calibri"/>
                <w:color w:val="000000"/>
                <w:lang w:eastAsia="zh-CN"/>
              </w:rPr>
            </w:pPr>
            <w:r w:rsidRPr="00CF3673">
              <w:rPr>
                <w:rFonts w:ascii="Calibri" w:eastAsia="Times New Roman" w:hAnsi="Calibri" w:cs="Calibri"/>
                <w:color w:val="000000"/>
                <w:lang w:eastAsia="zh-CN"/>
              </w:rPr>
              <w:t>Candidatura incompleta</w:t>
            </w:r>
          </w:p>
        </w:tc>
        <w:tc>
          <w:tcPr>
            <w:tcW w:w="1220" w:type="dxa"/>
            <w:noWrap/>
            <w:hideMark/>
          </w:tcPr>
          <w:p w:rsidR="00277B2E" w:rsidRPr="00CF3673" w:rsidRDefault="00277B2E" w:rsidP="00277B2E">
            <w:pPr>
              <w:jc w:val="center"/>
            </w:pPr>
            <w:r w:rsidRPr="00CF3673">
              <w:t>8.2</w:t>
            </w:r>
          </w:p>
        </w:tc>
        <w:tc>
          <w:tcPr>
            <w:tcW w:w="1220" w:type="dxa"/>
            <w:noWrap/>
            <w:hideMark/>
          </w:tcPr>
          <w:p w:rsidR="00277B2E" w:rsidRPr="00CF3673" w:rsidRDefault="00277B2E" w:rsidP="00277B2E">
            <w:pPr>
              <w:jc w:val="center"/>
            </w:pPr>
            <w:r w:rsidRPr="00CF3673">
              <w:t>7.7</w:t>
            </w:r>
          </w:p>
        </w:tc>
        <w:tc>
          <w:tcPr>
            <w:tcW w:w="1121" w:type="dxa"/>
            <w:noWrap/>
            <w:hideMark/>
          </w:tcPr>
          <w:p w:rsidR="00277B2E" w:rsidRPr="00CF3673" w:rsidRDefault="00277B2E" w:rsidP="00277B2E">
            <w:pPr>
              <w:jc w:val="center"/>
            </w:pPr>
            <w:r w:rsidRPr="00CF3673">
              <w:t>8.3</w:t>
            </w:r>
          </w:p>
        </w:tc>
      </w:tr>
      <w:tr w:rsidR="00277B2E" w:rsidRPr="00CF3673" w:rsidTr="00465065">
        <w:trPr>
          <w:trHeight w:val="300"/>
          <w:jc w:val="center"/>
        </w:trPr>
        <w:tc>
          <w:tcPr>
            <w:tcW w:w="2920" w:type="dxa"/>
            <w:noWrap/>
            <w:hideMark/>
          </w:tcPr>
          <w:p w:rsidR="00277B2E" w:rsidRPr="00CF3673" w:rsidRDefault="00465065" w:rsidP="002A1A7F">
            <w:pPr>
              <w:rPr>
                <w:rFonts w:ascii="Calibri" w:eastAsia="Times New Roman" w:hAnsi="Calibri" w:cs="Calibri"/>
                <w:color w:val="000000"/>
                <w:lang w:eastAsia="zh-CN"/>
              </w:rPr>
            </w:pPr>
            <w:r w:rsidRPr="00CF3673">
              <w:rPr>
                <w:rFonts w:ascii="Calibri" w:eastAsia="Times New Roman" w:hAnsi="Calibri" w:cs="Calibri"/>
                <w:color w:val="000000"/>
                <w:lang w:eastAsia="zh-CN"/>
              </w:rPr>
              <w:t>Falta de viabilidade</w:t>
            </w:r>
          </w:p>
        </w:tc>
        <w:tc>
          <w:tcPr>
            <w:tcW w:w="1220" w:type="dxa"/>
            <w:noWrap/>
            <w:hideMark/>
          </w:tcPr>
          <w:p w:rsidR="00277B2E" w:rsidRPr="00CF3673" w:rsidRDefault="00277B2E" w:rsidP="00277B2E">
            <w:pPr>
              <w:jc w:val="center"/>
            </w:pPr>
            <w:r w:rsidRPr="00CF3673">
              <w:t>12.2</w:t>
            </w:r>
          </w:p>
        </w:tc>
        <w:tc>
          <w:tcPr>
            <w:tcW w:w="1220" w:type="dxa"/>
            <w:noWrap/>
            <w:hideMark/>
          </w:tcPr>
          <w:p w:rsidR="00277B2E" w:rsidRPr="00CF3673" w:rsidRDefault="00277B2E" w:rsidP="00277B2E">
            <w:pPr>
              <w:jc w:val="center"/>
            </w:pPr>
            <w:r w:rsidRPr="00CF3673">
              <w:t>7.7</w:t>
            </w:r>
          </w:p>
        </w:tc>
        <w:tc>
          <w:tcPr>
            <w:tcW w:w="1121" w:type="dxa"/>
            <w:noWrap/>
            <w:hideMark/>
          </w:tcPr>
          <w:p w:rsidR="00277B2E" w:rsidRPr="00CF3673" w:rsidRDefault="00277B2E" w:rsidP="00277B2E">
            <w:pPr>
              <w:jc w:val="center"/>
            </w:pPr>
            <w:r w:rsidRPr="00CF3673">
              <w:t>13.9</w:t>
            </w:r>
          </w:p>
        </w:tc>
      </w:tr>
      <w:tr w:rsidR="00277B2E" w:rsidRPr="00CF3673" w:rsidTr="00465065">
        <w:trPr>
          <w:trHeight w:val="300"/>
          <w:jc w:val="center"/>
        </w:trPr>
        <w:tc>
          <w:tcPr>
            <w:tcW w:w="2920" w:type="dxa"/>
            <w:tcBorders>
              <w:bottom w:val="nil"/>
            </w:tcBorders>
            <w:noWrap/>
            <w:hideMark/>
          </w:tcPr>
          <w:p w:rsidR="00277B2E" w:rsidRPr="00CF3673" w:rsidRDefault="00465065" w:rsidP="002A1A7F">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Pobre histórico de </w:t>
            </w:r>
            <w:r w:rsidR="001F23D4" w:rsidRPr="00CF3673">
              <w:rPr>
                <w:rFonts w:ascii="Calibri" w:eastAsia="Times New Roman" w:hAnsi="Calibri" w:cs="Calibri"/>
                <w:color w:val="000000"/>
                <w:lang w:eastAsia="zh-CN"/>
              </w:rPr>
              <w:t>crédito</w:t>
            </w:r>
          </w:p>
        </w:tc>
        <w:tc>
          <w:tcPr>
            <w:tcW w:w="1220" w:type="dxa"/>
            <w:tcBorders>
              <w:bottom w:val="nil"/>
            </w:tcBorders>
            <w:noWrap/>
            <w:hideMark/>
          </w:tcPr>
          <w:p w:rsidR="00277B2E" w:rsidRPr="00CF3673" w:rsidRDefault="00277B2E" w:rsidP="00277B2E">
            <w:pPr>
              <w:jc w:val="center"/>
            </w:pPr>
            <w:r w:rsidRPr="00CF3673">
              <w:t>14.3</w:t>
            </w:r>
          </w:p>
        </w:tc>
        <w:tc>
          <w:tcPr>
            <w:tcW w:w="1220" w:type="dxa"/>
            <w:tcBorders>
              <w:bottom w:val="nil"/>
            </w:tcBorders>
            <w:noWrap/>
            <w:hideMark/>
          </w:tcPr>
          <w:p w:rsidR="00277B2E" w:rsidRPr="00CF3673" w:rsidRDefault="00277B2E" w:rsidP="00277B2E">
            <w:pPr>
              <w:jc w:val="center"/>
            </w:pPr>
            <w:r w:rsidRPr="00CF3673">
              <w:t>38.5</w:t>
            </w:r>
          </w:p>
        </w:tc>
        <w:tc>
          <w:tcPr>
            <w:tcW w:w="1121" w:type="dxa"/>
            <w:tcBorders>
              <w:bottom w:val="nil"/>
            </w:tcBorders>
            <w:noWrap/>
            <w:hideMark/>
          </w:tcPr>
          <w:p w:rsidR="00277B2E" w:rsidRPr="00CF3673" w:rsidRDefault="00277B2E" w:rsidP="00277B2E">
            <w:pPr>
              <w:jc w:val="center"/>
            </w:pPr>
            <w:r w:rsidRPr="00CF3673">
              <w:t>5.6</w:t>
            </w:r>
          </w:p>
        </w:tc>
      </w:tr>
      <w:tr w:rsidR="00277B2E" w:rsidRPr="00CF3673" w:rsidTr="00465065">
        <w:trPr>
          <w:trHeight w:val="300"/>
          <w:jc w:val="center"/>
        </w:trPr>
        <w:tc>
          <w:tcPr>
            <w:tcW w:w="2920" w:type="dxa"/>
            <w:tcBorders>
              <w:top w:val="nil"/>
              <w:bottom w:val="single" w:sz="4" w:space="0" w:color="auto"/>
            </w:tcBorders>
            <w:noWrap/>
            <w:hideMark/>
          </w:tcPr>
          <w:p w:rsidR="00277B2E" w:rsidRPr="00CF3673" w:rsidRDefault="00465065" w:rsidP="001F23D4">
            <w:pPr>
              <w:rPr>
                <w:rFonts w:ascii="Calibri" w:eastAsia="Times New Roman" w:hAnsi="Calibri" w:cs="Calibri"/>
                <w:color w:val="000000"/>
                <w:lang w:eastAsia="zh-CN"/>
              </w:rPr>
            </w:pPr>
            <w:r w:rsidRPr="00CF3673">
              <w:rPr>
                <w:rFonts w:ascii="Calibri" w:eastAsia="Times New Roman" w:hAnsi="Calibri" w:cs="Calibri"/>
                <w:color w:val="000000"/>
                <w:lang w:eastAsia="zh-CN"/>
              </w:rPr>
              <w:t>Out</w:t>
            </w:r>
            <w:r w:rsidR="001F23D4" w:rsidRPr="00CF3673">
              <w:rPr>
                <w:rFonts w:ascii="Calibri" w:eastAsia="Times New Roman" w:hAnsi="Calibri" w:cs="Calibri"/>
                <w:color w:val="000000"/>
                <w:lang w:eastAsia="zh-CN"/>
              </w:rPr>
              <w:t>ros</w:t>
            </w:r>
          </w:p>
        </w:tc>
        <w:tc>
          <w:tcPr>
            <w:tcW w:w="1220" w:type="dxa"/>
            <w:tcBorders>
              <w:top w:val="nil"/>
              <w:bottom w:val="single" w:sz="4" w:space="0" w:color="auto"/>
            </w:tcBorders>
            <w:noWrap/>
            <w:hideMark/>
          </w:tcPr>
          <w:p w:rsidR="00277B2E" w:rsidRPr="00CF3673" w:rsidRDefault="00277B2E" w:rsidP="00277B2E">
            <w:pPr>
              <w:jc w:val="center"/>
            </w:pPr>
            <w:r w:rsidRPr="00CF3673">
              <w:t>18.4</w:t>
            </w:r>
          </w:p>
        </w:tc>
        <w:tc>
          <w:tcPr>
            <w:tcW w:w="1220" w:type="dxa"/>
            <w:tcBorders>
              <w:top w:val="nil"/>
              <w:bottom w:val="single" w:sz="4" w:space="0" w:color="auto"/>
            </w:tcBorders>
            <w:noWrap/>
            <w:hideMark/>
          </w:tcPr>
          <w:p w:rsidR="00277B2E" w:rsidRPr="00CF3673" w:rsidRDefault="00277B2E" w:rsidP="00277B2E">
            <w:pPr>
              <w:jc w:val="center"/>
            </w:pPr>
            <w:r w:rsidRPr="00CF3673">
              <w:t>15.4</w:t>
            </w:r>
          </w:p>
        </w:tc>
        <w:tc>
          <w:tcPr>
            <w:tcW w:w="1121" w:type="dxa"/>
            <w:tcBorders>
              <w:top w:val="nil"/>
              <w:bottom w:val="single" w:sz="4" w:space="0" w:color="auto"/>
            </w:tcBorders>
            <w:noWrap/>
            <w:hideMark/>
          </w:tcPr>
          <w:p w:rsidR="00277B2E" w:rsidRPr="00CF3673" w:rsidRDefault="00277B2E" w:rsidP="00277B2E">
            <w:pPr>
              <w:jc w:val="center"/>
            </w:pPr>
            <w:r w:rsidRPr="00CF3673">
              <w:t>19.4</w:t>
            </w:r>
          </w:p>
        </w:tc>
      </w:tr>
      <w:tr w:rsidR="00277B2E" w:rsidRPr="00CF3673" w:rsidTr="00465065">
        <w:trPr>
          <w:trHeight w:val="300"/>
          <w:jc w:val="center"/>
        </w:trPr>
        <w:tc>
          <w:tcPr>
            <w:tcW w:w="2920" w:type="dxa"/>
            <w:tcBorders>
              <w:top w:val="single" w:sz="4" w:space="0" w:color="auto"/>
              <w:bottom w:val="double" w:sz="4" w:space="0" w:color="auto"/>
            </w:tcBorders>
            <w:noWrap/>
            <w:hideMark/>
          </w:tcPr>
          <w:p w:rsidR="00277B2E" w:rsidRPr="00CF3673" w:rsidRDefault="00761AD0" w:rsidP="00465065">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Nr</w:t>
            </w:r>
            <w:proofErr w:type="spellEnd"/>
            <w:r w:rsidR="004A7E21" w:rsidRPr="00CF3673">
              <w:rPr>
                <w:rFonts w:ascii="Calibri" w:eastAsia="Times New Roman" w:hAnsi="Calibri" w:cs="Calibri"/>
                <w:color w:val="000000"/>
                <w:lang w:eastAsia="zh-CN"/>
              </w:rPr>
              <w:t xml:space="preserve">. </w:t>
            </w:r>
            <w:r w:rsidR="00465065" w:rsidRPr="00CF3673">
              <w:rPr>
                <w:rFonts w:ascii="Calibri" w:eastAsia="Times New Roman" w:hAnsi="Calibri" w:cs="Calibri"/>
                <w:color w:val="000000"/>
                <w:lang w:eastAsia="zh-CN"/>
              </w:rPr>
              <w:t>de</w:t>
            </w:r>
            <w:r w:rsidR="004A7E21" w:rsidRPr="00CF3673">
              <w:rPr>
                <w:rFonts w:ascii="Calibri" w:eastAsia="Times New Roman" w:hAnsi="Calibri" w:cs="Calibri"/>
                <w:color w:val="000000"/>
                <w:lang w:eastAsia="zh-CN"/>
              </w:rPr>
              <w:t xml:space="preserve"> obs.</w:t>
            </w:r>
          </w:p>
        </w:tc>
        <w:tc>
          <w:tcPr>
            <w:tcW w:w="1220" w:type="dxa"/>
            <w:tcBorders>
              <w:top w:val="single" w:sz="4" w:space="0" w:color="auto"/>
              <w:bottom w:val="double" w:sz="4" w:space="0" w:color="auto"/>
            </w:tcBorders>
            <w:noWrap/>
            <w:hideMark/>
          </w:tcPr>
          <w:p w:rsidR="00277B2E" w:rsidRPr="00CF3673" w:rsidRDefault="00277B2E" w:rsidP="00277B2E">
            <w:pPr>
              <w:jc w:val="center"/>
            </w:pPr>
            <w:r w:rsidRPr="00CF3673">
              <w:t>49</w:t>
            </w:r>
          </w:p>
        </w:tc>
        <w:tc>
          <w:tcPr>
            <w:tcW w:w="1220" w:type="dxa"/>
            <w:tcBorders>
              <w:top w:val="single" w:sz="4" w:space="0" w:color="auto"/>
              <w:bottom w:val="double" w:sz="4" w:space="0" w:color="auto"/>
            </w:tcBorders>
            <w:noWrap/>
            <w:hideMark/>
          </w:tcPr>
          <w:p w:rsidR="00277B2E" w:rsidRPr="00CF3673" w:rsidRDefault="00277B2E" w:rsidP="00277B2E">
            <w:pPr>
              <w:jc w:val="center"/>
            </w:pPr>
            <w:r w:rsidRPr="00CF3673">
              <w:t>13</w:t>
            </w:r>
          </w:p>
        </w:tc>
        <w:tc>
          <w:tcPr>
            <w:tcW w:w="1121" w:type="dxa"/>
            <w:tcBorders>
              <w:top w:val="single" w:sz="4" w:space="0" w:color="auto"/>
              <w:bottom w:val="double" w:sz="4" w:space="0" w:color="auto"/>
            </w:tcBorders>
            <w:noWrap/>
            <w:hideMark/>
          </w:tcPr>
          <w:p w:rsidR="00277B2E" w:rsidRPr="00CF3673" w:rsidRDefault="00277B2E" w:rsidP="00277B2E">
            <w:pPr>
              <w:jc w:val="center"/>
            </w:pPr>
            <w:r w:rsidRPr="00CF3673">
              <w:t>36</w:t>
            </w:r>
          </w:p>
        </w:tc>
      </w:tr>
      <w:tr w:rsidR="004A7E21" w:rsidRPr="00CF3673" w:rsidTr="00465065">
        <w:trPr>
          <w:trHeight w:val="300"/>
          <w:jc w:val="center"/>
        </w:trPr>
        <w:tc>
          <w:tcPr>
            <w:tcW w:w="6481" w:type="dxa"/>
            <w:gridSpan w:val="4"/>
            <w:tcBorders>
              <w:top w:val="double" w:sz="4" w:space="0" w:color="auto"/>
              <w:bottom w:val="nil"/>
            </w:tcBorders>
            <w:noWrap/>
          </w:tcPr>
          <w:p w:rsidR="004A7E21" w:rsidRPr="00CF3673" w:rsidRDefault="00C07B55" w:rsidP="00465065">
            <w:pPr>
              <w:pStyle w:val="Tablenote"/>
              <w:rPr>
                <w:b/>
                <w:lang w:val="pt-PT"/>
              </w:rPr>
            </w:pPr>
            <w:r w:rsidRPr="00CF3673">
              <w:rPr>
                <w:b/>
                <w:lang w:val="pt-PT"/>
              </w:rPr>
              <w:t>Nota</w:t>
            </w:r>
            <w:r w:rsidR="004A7E21" w:rsidRPr="00CF3673">
              <w:rPr>
                <w:b/>
                <w:lang w:val="pt-PT"/>
              </w:rPr>
              <w:t xml:space="preserve">: </w:t>
            </w:r>
            <w:r w:rsidR="00465065" w:rsidRPr="00CF3673">
              <w:rPr>
                <w:lang w:val="pt-PT"/>
              </w:rPr>
              <w:t xml:space="preserve">Apenas 3 empresas não </w:t>
            </w:r>
            <w:r w:rsidR="00761AD0" w:rsidRPr="00CF3673">
              <w:rPr>
                <w:lang w:val="pt-PT"/>
              </w:rPr>
              <w:t>micro</w:t>
            </w:r>
            <w:r w:rsidR="00465065" w:rsidRPr="00CF3673">
              <w:rPr>
                <w:lang w:val="pt-PT"/>
              </w:rPr>
              <w:t xml:space="preserve"> tiveram </w:t>
            </w:r>
            <w:r w:rsidR="00761AD0" w:rsidRPr="00CF3673">
              <w:rPr>
                <w:lang w:val="pt-PT"/>
              </w:rPr>
              <w:t>chumbado</w:t>
            </w:r>
            <w:r w:rsidR="00465065" w:rsidRPr="00CF3673">
              <w:rPr>
                <w:lang w:val="pt-PT"/>
              </w:rPr>
              <w:t xml:space="preserve"> os seus pedidos de </w:t>
            </w:r>
            <w:r w:rsidR="00761AD0" w:rsidRPr="00CF3673">
              <w:rPr>
                <w:lang w:val="pt-PT"/>
              </w:rPr>
              <w:t>crédito</w:t>
            </w:r>
            <w:r w:rsidR="00465065" w:rsidRPr="00CF3673">
              <w:rPr>
                <w:lang w:val="pt-PT"/>
              </w:rPr>
              <w:t xml:space="preserve">. Algumas empresas citaram mais de uma </w:t>
            </w:r>
            <w:r w:rsidR="00761AD0" w:rsidRPr="00CF3673">
              <w:rPr>
                <w:lang w:val="pt-PT"/>
              </w:rPr>
              <w:t>razão</w:t>
            </w:r>
            <w:r w:rsidR="00465065" w:rsidRPr="00CF3673">
              <w:rPr>
                <w:lang w:val="pt-PT"/>
              </w:rPr>
              <w:t xml:space="preserve"> do chumbo dos seus pedidos, assim a soma das diferentes possibilidades não perfaz</w:t>
            </w:r>
          </w:p>
        </w:tc>
      </w:tr>
      <w:tr w:rsidR="004A7E21" w:rsidRPr="00CF3673" w:rsidTr="00465065">
        <w:trPr>
          <w:cnfStyle w:val="010000000000" w:firstRow="0" w:lastRow="1" w:firstColumn="0" w:lastColumn="0" w:oddVBand="0" w:evenVBand="0" w:oddHBand="0" w:evenHBand="0" w:firstRowFirstColumn="0" w:firstRowLastColumn="0" w:lastRowFirstColumn="0" w:lastRowLastColumn="0"/>
          <w:trHeight w:val="300"/>
          <w:jc w:val="center"/>
        </w:trPr>
        <w:tc>
          <w:tcPr>
            <w:tcW w:w="6481" w:type="dxa"/>
            <w:gridSpan w:val="4"/>
            <w:tcBorders>
              <w:top w:val="nil"/>
              <w:bottom w:val="nil"/>
            </w:tcBorders>
            <w:noWrap/>
          </w:tcPr>
          <w:p w:rsidR="004A7E21" w:rsidRPr="00CF3673" w:rsidRDefault="00C07B55" w:rsidP="00C07B55">
            <w:pPr>
              <w:pStyle w:val="Tablenote"/>
              <w:rPr>
                <w:b/>
                <w:lang w:val="pt-PT"/>
              </w:rPr>
            </w:pPr>
            <w:r w:rsidRPr="00CF3673">
              <w:rPr>
                <w:b/>
                <w:lang w:val="pt-PT"/>
              </w:rPr>
              <w:t>Fonte</w:t>
            </w:r>
            <w:r w:rsidR="004A7E21" w:rsidRPr="00CF3673">
              <w:rPr>
                <w:b/>
                <w:lang w:val="pt-PT"/>
              </w:rPr>
              <w:t>:</w:t>
            </w:r>
            <w:r w:rsidR="004A7E21" w:rsidRPr="00CF3673">
              <w:rPr>
                <w:lang w:val="pt-PT"/>
              </w:rPr>
              <w:t xml:space="preserve"> </w:t>
            </w:r>
            <w:r w:rsidR="00761AD0" w:rsidRPr="00CF3673">
              <w:rPr>
                <w:lang w:val="pt-PT"/>
              </w:rPr>
              <w:t>Cálculos</w:t>
            </w:r>
            <w:r w:rsidRPr="00CF3673">
              <w:rPr>
                <w:lang w:val="pt-PT"/>
              </w:rPr>
              <w:t xml:space="preserve"> dos autores usando </w:t>
            </w:r>
            <w:r w:rsidR="004A7E21" w:rsidRPr="00CF3673">
              <w:rPr>
                <w:lang w:val="pt-PT"/>
              </w:rPr>
              <w:t>IIM 2012.</w:t>
            </w:r>
          </w:p>
        </w:tc>
      </w:tr>
    </w:tbl>
    <w:p w:rsidR="00F158F0" w:rsidRPr="00CF3673" w:rsidRDefault="00F158F0" w:rsidP="001E664B">
      <w:pPr>
        <w:pStyle w:val="MainText"/>
        <w:rPr>
          <w:lang w:val="pt-PT"/>
        </w:rPr>
      </w:pPr>
    </w:p>
    <w:p w:rsidR="009F3C29" w:rsidRPr="00CF3673" w:rsidRDefault="00437C2D" w:rsidP="001E6DDB">
      <w:pPr>
        <w:pStyle w:val="MainText"/>
        <w:rPr>
          <w:lang w:val="pt-PT"/>
        </w:rPr>
      </w:pPr>
      <w:r w:rsidRPr="00CF3673">
        <w:rPr>
          <w:lang w:val="pt-PT"/>
        </w:rPr>
        <w:t xml:space="preserve">Uma breve análise da Pontuação das empresas relativamente a demanda do crédito e definição constrangimento ao crédito pode ser encontrados na tabela 9.6. Grandes empresas tem menos propensão de necessitar de </w:t>
      </w:r>
      <w:r w:rsidR="00761AD0" w:rsidRPr="00CF3673">
        <w:rPr>
          <w:lang w:val="pt-PT"/>
        </w:rPr>
        <w:t>crédito</w:t>
      </w:r>
      <w:r w:rsidRPr="00CF3673">
        <w:rPr>
          <w:lang w:val="pt-PT"/>
        </w:rPr>
        <w:t xml:space="preserve">, e mais propensão a candidatar-se ao </w:t>
      </w:r>
      <w:r w:rsidR="00761AD0" w:rsidRPr="00CF3673">
        <w:rPr>
          <w:lang w:val="pt-PT"/>
        </w:rPr>
        <w:t>crédito</w:t>
      </w:r>
      <w:r w:rsidRPr="00CF3673">
        <w:rPr>
          <w:lang w:val="pt-PT"/>
        </w:rPr>
        <w:t xml:space="preserve"> e menos constrangidas a luz das duas definições. Empresas informais tem mais necessidade de </w:t>
      </w:r>
      <w:r w:rsidR="00761AD0" w:rsidRPr="00CF3673">
        <w:rPr>
          <w:lang w:val="pt-PT"/>
        </w:rPr>
        <w:t>crédito</w:t>
      </w:r>
      <w:r w:rsidRPr="00CF3673">
        <w:rPr>
          <w:lang w:val="pt-PT"/>
        </w:rPr>
        <w:t xml:space="preserve"> e mais de 1/3 das empresas informais são </w:t>
      </w:r>
      <w:r w:rsidRPr="00CF3673">
        <w:rPr>
          <w:lang w:val="pt-PT"/>
        </w:rPr>
        <w:lastRenderedPageBreak/>
        <w:t xml:space="preserve">constrangidas sob definição 2. Empresas </w:t>
      </w:r>
      <w:r w:rsidR="00761AD0" w:rsidRPr="00CF3673">
        <w:rPr>
          <w:lang w:val="pt-PT"/>
        </w:rPr>
        <w:t>estrangeiras parecem</w:t>
      </w:r>
      <w:r w:rsidRPr="00CF3673">
        <w:rPr>
          <w:lang w:val="pt-PT"/>
        </w:rPr>
        <w:t xml:space="preserve"> necessitar menos credito mas apenas 10% são constrangidas sob definição 2 </w:t>
      </w:r>
    </w:p>
    <w:p w:rsidR="00437C2D" w:rsidRPr="00CF3673" w:rsidRDefault="00437C2D" w:rsidP="001E6DDB">
      <w:pPr>
        <w:pStyle w:val="MainText"/>
        <w:rPr>
          <w:lang w:val="pt-PT"/>
        </w:rPr>
      </w:pPr>
      <w:r w:rsidRPr="00CF3673">
        <w:rPr>
          <w:lang w:val="pt-PT"/>
        </w:rPr>
        <w:t xml:space="preserve">As empresas nas </w:t>
      </w:r>
      <w:r w:rsidR="00761AD0" w:rsidRPr="00CF3673">
        <w:rPr>
          <w:lang w:val="pt-PT"/>
        </w:rPr>
        <w:t>áreas</w:t>
      </w:r>
      <w:r w:rsidRPr="00CF3673">
        <w:rPr>
          <w:lang w:val="pt-PT"/>
        </w:rPr>
        <w:t xml:space="preserve"> da capital de Gaza tem menos constrangimento ao </w:t>
      </w:r>
      <w:r w:rsidR="00761AD0" w:rsidRPr="00CF3673">
        <w:rPr>
          <w:lang w:val="pt-PT"/>
        </w:rPr>
        <w:t>crédito</w:t>
      </w:r>
      <w:r w:rsidRPr="00CF3673">
        <w:rPr>
          <w:lang w:val="pt-PT"/>
        </w:rPr>
        <w:t>, enquanto empresas em Nampula e tete parecem mais constrangidas</w:t>
      </w:r>
    </w:p>
    <w:p w:rsidR="00437C2D" w:rsidRPr="00CF3673" w:rsidRDefault="00C97406" w:rsidP="00455BE8">
      <w:pPr>
        <w:pStyle w:val="TableTitle"/>
        <w:rPr>
          <w:lang w:val="pt-PT"/>
        </w:rPr>
      </w:pPr>
      <w:bookmarkStart w:id="86" w:name="_Toc360720501"/>
      <w:r w:rsidRPr="00CF3673">
        <w:rPr>
          <w:lang w:val="pt-PT"/>
        </w:rPr>
        <w:t>Tab</w:t>
      </w:r>
      <w:r w:rsidR="00437C2D" w:rsidRPr="00CF3673">
        <w:rPr>
          <w:lang w:val="pt-PT"/>
        </w:rPr>
        <w:t>ela</w:t>
      </w:r>
      <w:r w:rsidRPr="00CF3673">
        <w:rPr>
          <w:lang w:val="pt-PT"/>
        </w:rPr>
        <w:t xml:space="preserve"> </w:t>
      </w:r>
      <w:r w:rsidR="006102AC" w:rsidRPr="00CF3673">
        <w:rPr>
          <w:lang w:val="pt-PT"/>
        </w:rPr>
        <w:t>9</w:t>
      </w:r>
      <w:r w:rsidRPr="00CF3673">
        <w:rPr>
          <w:lang w:val="pt-PT"/>
        </w:rPr>
        <w:t>.</w:t>
      </w:r>
      <w:r w:rsidR="00455BE8" w:rsidRPr="00CF3673">
        <w:rPr>
          <w:lang w:val="pt-PT"/>
        </w:rPr>
        <w:t>6</w:t>
      </w:r>
      <w:r w:rsidR="00215639" w:rsidRPr="00CF3673">
        <w:rPr>
          <w:lang w:val="pt-PT"/>
        </w:rPr>
        <w:t xml:space="preserve">: </w:t>
      </w:r>
      <w:r w:rsidR="00536966" w:rsidRPr="00CF3673">
        <w:rPr>
          <w:lang w:val="pt-PT"/>
        </w:rPr>
        <w:t>Composição</w:t>
      </w:r>
      <w:r w:rsidR="00437C2D" w:rsidRPr="00CF3673">
        <w:rPr>
          <w:lang w:val="pt-PT"/>
        </w:rPr>
        <w:t xml:space="preserve"> das empresas com necessidade de credito e constrangidas pelo credito, %</w:t>
      </w:r>
    </w:p>
    <w:bookmarkEnd w:id="86"/>
    <w:p w:rsidR="001926A6" w:rsidRPr="00CF3673" w:rsidRDefault="001926A6" w:rsidP="00455BE8">
      <w:pPr>
        <w:pStyle w:val="TableTitle"/>
        <w:rPr>
          <w:lang w:val="pt-PT"/>
        </w:rPr>
      </w:pPr>
    </w:p>
    <w:tbl>
      <w:tblPr>
        <w:tblStyle w:val="StandardTable"/>
        <w:tblW w:w="0" w:type="auto"/>
        <w:jc w:val="center"/>
        <w:tblLook w:val="04A0" w:firstRow="1" w:lastRow="0" w:firstColumn="1" w:lastColumn="0" w:noHBand="0" w:noVBand="1"/>
      </w:tblPr>
      <w:tblGrid>
        <w:gridCol w:w="1445"/>
        <w:gridCol w:w="1829"/>
        <w:gridCol w:w="1974"/>
        <w:gridCol w:w="1765"/>
        <w:gridCol w:w="1765"/>
        <w:gridCol w:w="1076"/>
      </w:tblGrid>
      <w:tr w:rsidR="001F23D4" w:rsidRPr="00CF3673" w:rsidTr="00F37F37">
        <w:trPr>
          <w:cnfStyle w:val="100000000000" w:firstRow="1" w:lastRow="0" w:firstColumn="0" w:lastColumn="0" w:oddVBand="0" w:evenVBand="0" w:oddHBand="0" w:evenHBand="0" w:firstRowFirstColumn="0" w:firstRowLastColumn="0" w:lastRowFirstColumn="0" w:lastRowLastColumn="0"/>
          <w:trHeight w:val="300"/>
          <w:jc w:val="center"/>
        </w:trPr>
        <w:tc>
          <w:tcPr>
            <w:tcW w:w="0" w:type="auto"/>
            <w:noWrap/>
            <w:hideMark/>
          </w:tcPr>
          <w:p w:rsidR="00FB1859" w:rsidRPr="00CF3673" w:rsidRDefault="00FB1859" w:rsidP="00FB1859">
            <w:pPr>
              <w:rPr>
                <w:rFonts w:ascii="Calibri" w:eastAsia="Times New Roman" w:hAnsi="Calibri" w:cs="Calibri"/>
                <w:color w:val="000000"/>
                <w:lang w:eastAsia="zh-CN"/>
              </w:rPr>
            </w:pPr>
            <w:r w:rsidRPr="00CF3673">
              <w:rPr>
                <w:rFonts w:ascii="Calibri" w:eastAsia="Times New Roman" w:hAnsi="Calibri" w:cs="Calibri"/>
                <w:color w:val="000000"/>
                <w:lang w:eastAsia="zh-CN"/>
              </w:rPr>
              <w:t> </w:t>
            </w:r>
          </w:p>
        </w:tc>
        <w:tc>
          <w:tcPr>
            <w:tcW w:w="0" w:type="auto"/>
            <w:noWrap/>
            <w:hideMark/>
          </w:tcPr>
          <w:p w:rsidR="00FB1859" w:rsidRPr="00CF3673" w:rsidRDefault="001F23D4" w:rsidP="00FB1859">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Demanda de </w:t>
            </w:r>
            <w:r w:rsidR="00761AD0" w:rsidRPr="00CF3673">
              <w:rPr>
                <w:rFonts w:ascii="Calibri" w:eastAsia="Times New Roman" w:hAnsi="Calibri" w:cs="Calibri"/>
                <w:color w:val="000000"/>
                <w:lang w:eastAsia="zh-CN"/>
              </w:rPr>
              <w:t>crédito</w:t>
            </w:r>
          </w:p>
        </w:tc>
        <w:tc>
          <w:tcPr>
            <w:tcW w:w="0" w:type="auto"/>
            <w:noWrap/>
            <w:hideMark/>
          </w:tcPr>
          <w:p w:rsidR="00FB1859" w:rsidRPr="00CF3673" w:rsidRDefault="001F23D4" w:rsidP="001F23D4">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Candidatou ao </w:t>
            </w:r>
            <w:r w:rsidR="00761AD0" w:rsidRPr="00CF3673">
              <w:rPr>
                <w:rFonts w:ascii="Calibri" w:eastAsia="Times New Roman" w:hAnsi="Calibri" w:cs="Calibri"/>
                <w:color w:val="000000"/>
                <w:lang w:eastAsia="zh-CN"/>
              </w:rPr>
              <w:t>crédito</w:t>
            </w:r>
          </w:p>
        </w:tc>
        <w:tc>
          <w:tcPr>
            <w:tcW w:w="0" w:type="auto"/>
            <w:noWrap/>
            <w:hideMark/>
          </w:tcPr>
          <w:p w:rsidR="00FB1859" w:rsidRPr="00CF3673" w:rsidRDefault="00761AD0" w:rsidP="001F23D4">
            <w:pPr>
              <w:rPr>
                <w:rFonts w:ascii="Calibri" w:eastAsia="Times New Roman" w:hAnsi="Calibri" w:cs="Calibri"/>
                <w:color w:val="000000"/>
                <w:lang w:eastAsia="zh-CN"/>
              </w:rPr>
            </w:pPr>
            <w:r w:rsidRPr="00CF3673">
              <w:rPr>
                <w:rFonts w:ascii="Calibri" w:eastAsia="Times New Roman" w:hAnsi="Calibri" w:cs="Calibri"/>
                <w:color w:val="000000"/>
                <w:lang w:eastAsia="zh-CN"/>
              </w:rPr>
              <w:t>Constrangido</w:t>
            </w:r>
            <w:r w:rsidR="001A3B39" w:rsidRPr="00CF3673">
              <w:rPr>
                <w:rFonts w:ascii="Calibri" w:eastAsia="Times New Roman" w:hAnsi="Calibri" w:cs="Calibri"/>
                <w:color w:val="000000"/>
                <w:lang w:eastAsia="zh-CN"/>
              </w:rPr>
              <w:t xml:space="preserve"> </w:t>
            </w:r>
            <w:proofErr w:type="spellStart"/>
            <w:r w:rsidR="001A3B39" w:rsidRPr="00CF3673">
              <w:rPr>
                <w:rFonts w:ascii="Calibri" w:eastAsia="Times New Roman" w:hAnsi="Calibri" w:cs="Calibri"/>
                <w:color w:val="000000"/>
                <w:lang w:eastAsia="zh-CN"/>
              </w:rPr>
              <w:t>def</w:t>
            </w:r>
            <w:proofErr w:type="spellEnd"/>
            <w:r w:rsidR="001A3B39" w:rsidRPr="00CF3673">
              <w:rPr>
                <w:rFonts w:ascii="Calibri" w:eastAsia="Times New Roman" w:hAnsi="Calibri" w:cs="Calibri"/>
                <w:color w:val="000000"/>
                <w:lang w:eastAsia="zh-CN"/>
              </w:rPr>
              <w:t xml:space="preserve">. </w:t>
            </w:r>
            <w:r w:rsidR="00B46E41" w:rsidRPr="00CF3673">
              <w:rPr>
                <w:rFonts w:ascii="Calibri" w:eastAsia="Times New Roman" w:hAnsi="Calibri" w:cs="Calibri"/>
                <w:color w:val="000000"/>
                <w:lang w:eastAsia="zh-CN"/>
              </w:rPr>
              <w:t>1</w:t>
            </w:r>
          </w:p>
        </w:tc>
        <w:tc>
          <w:tcPr>
            <w:tcW w:w="0" w:type="auto"/>
            <w:noWrap/>
            <w:hideMark/>
          </w:tcPr>
          <w:p w:rsidR="00FB1859" w:rsidRPr="00CF3673" w:rsidRDefault="00761AD0" w:rsidP="001F23D4">
            <w:pPr>
              <w:rPr>
                <w:rFonts w:ascii="Calibri" w:eastAsia="Times New Roman" w:hAnsi="Calibri" w:cs="Calibri"/>
                <w:color w:val="000000"/>
                <w:lang w:eastAsia="zh-CN"/>
              </w:rPr>
            </w:pPr>
            <w:r w:rsidRPr="00CF3673">
              <w:rPr>
                <w:rFonts w:ascii="Calibri" w:eastAsia="Times New Roman" w:hAnsi="Calibri" w:cs="Calibri"/>
                <w:color w:val="000000"/>
                <w:lang w:eastAsia="zh-CN"/>
              </w:rPr>
              <w:t>Constrangido</w:t>
            </w:r>
            <w:r w:rsidR="001A3B39" w:rsidRPr="00CF3673">
              <w:rPr>
                <w:rFonts w:ascii="Calibri" w:eastAsia="Times New Roman" w:hAnsi="Calibri" w:cs="Calibri"/>
                <w:color w:val="000000"/>
                <w:lang w:eastAsia="zh-CN"/>
              </w:rPr>
              <w:t xml:space="preserve"> </w:t>
            </w:r>
            <w:proofErr w:type="spellStart"/>
            <w:r w:rsidR="001A3B39" w:rsidRPr="00CF3673">
              <w:rPr>
                <w:rFonts w:ascii="Calibri" w:eastAsia="Times New Roman" w:hAnsi="Calibri" w:cs="Calibri"/>
                <w:color w:val="000000"/>
                <w:lang w:eastAsia="zh-CN"/>
              </w:rPr>
              <w:t>def</w:t>
            </w:r>
            <w:proofErr w:type="spellEnd"/>
            <w:r w:rsidR="001A3B39" w:rsidRPr="00CF3673">
              <w:rPr>
                <w:rFonts w:ascii="Calibri" w:eastAsia="Times New Roman" w:hAnsi="Calibri" w:cs="Calibri"/>
                <w:color w:val="000000"/>
                <w:lang w:eastAsia="zh-CN"/>
              </w:rPr>
              <w:t xml:space="preserve">. </w:t>
            </w:r>
            <w:r w:rsidR="00B46E41" w:rsidRPr="00CF3673">
              <w:rPr>
                <w:rFonts w:ascii="Calibri" w:eastAsia="Times New Roman" w:hAnsi="Calibri" w:cs="Calibri"/>
                <w:color w:val="000000"/>
                <w:lang w:eastAsia="zh-CN"/>
              </w:rPr>
              <w:t>2</w:t>
            </w:r>
          </w:p>
        </w:tc>
        <w:tc>
          <w:tcPr>
            <w:tcW w:w="0" w:type="auto"/>
            <w:noWrap/>
            <w:hideMark/>
          </w:tcPr>
          <w:p w:rsidR="00FB1859" w:rsidRPr="00CF3673" w:rsidRDefault="001F23D4" w:rsidP="001F23D4">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Nr</w:t>
            </w:r>
            <w:proofErr w:type="spellEnd"/>
            <w:r w:rsidR="00F37F37" w:rsidRPr="00CF3673">
              <w:rPr>
                <w:rFonts w:ascii="Calibri" w:eastAsia="Times New Roman" w:hAnsi="Calibri" w:cs="Calibri"/>
                <w:color w:val="000000"/>
                <w:lang w:eastAsia="zh-CN"/>
              </w:rPr>
              <w:t xml:space="preserve">. </w:t>
            </w:r>
            <w:r w:rsidRPr="00CF3673">
              <w:rPr>
                <w:rFonts w:ascii="Calibri" w:eastAsia="Times New Roman" w:hAnsi="Calibri" w:cs="Calibri"/>
                <w:color w:val="000000"/>
                <w:lang w:eastAsia="zh-CN"/>
              </w:rPr>
              <w:t>de</w:t>
            </w:r>
            <w:r w:rsidR="00F37F37" w:rsidRPr="00CF3673">
              <w:rPr>
                <w:rFonts w:ascii="Calibri" w:eastAsia="Times New Roman" w:hAnsi="Calibri" w:cs="Calibri"/>
                <w:color w:val="000000"/>
                <w:lang w:eastAsia="zh-CN"/>
              </w:rPr>
              <w:t xml:space="preserve"> o</w:t>
            </w:r>
            <w:r w:rsidR="001A3B39" w:rsidRPr="00CF3673">
              <w:rPr>
                <w:rFonts w:ascii="Calibri" w:eastAsia="Times New Roman" w:hAnsi="Calibri" w:cs="Calibri"/>
                <w:color w:val="000000"/>
                <w:lang w:eastAsia="zh-CN"/>
              </w:rPr>
              <w:t>bs.</w:t>
            </w:r>
          </w:p>
        </w:tc>
      </w:tr>
      <w:tr w:rsidR="001F23D4" w:rsidRPr="00CF3673" w:rsidTr="00F37F37">
        <w:trPr>
          <w:trHeight w:val="300"/>
          <w:jc w:val="center"/>
        </w:trPr>
        <w:tc>
          <w:tcPr>
            <w:tcW w:w="0" w:type="auto"/>
            <w:noWrap/>
            <w:hideMark/>
          </w:tcPr>
          <w:p w:rsidR="00455BE8" w:rsidRPr="00CF3673" w:rsidRDefault="00761AD0" w:rsidP="0046782E">
            <w:pPr>
              <w:rPr>
                <w:rFonts w:ascii="Calibri" w:eastAsia="Times New Roman" w:hAnsi="Calibri" w:cs="Calibri"/>
                <w:color w:val="000000"/>
                <w:lang w:eastAsia="zh-CN"/>
              </w:rPr>
            </w:pPr>
            <w:proofErr w:type="spellStart"/>
            <w:r w:rsidRPr="00CF3673">
              <w:rPr>
                <w:rFonts w:ascii="Calibri" w:eastAsia="Times New Roman" w:hAnsi="Calibri" w:cs="Calibri"/>
                <w:color w:val="000000"/>
                <w:lang w:val="en-US" w:eastAsia="zh-CN"/>
              </w:rPr>
              <w:t>Todas</w:t>
            </w:r>
            <w:proofErr w:type="spellEnd"/>
          </w:p>
        </w:tc>
        <w:tc>
          <w:tcPr>
            <w:tcW w:w="0" w:type="auto"/>
            <w:noWrap/>
            <w:hideMark/>
          </w:tcPr>
          <w:p w:rsidR="00455BE8" w:rsidRPr="00CF3673" w:rsidRDefault="00455BE8" w:rsidP="00455BE8">
            <w:pPr>
              <w:ind w:left="2608" w:hanging="2608"/>
              <w:jc w:val="center"/>
            </w:pPr>
            <w:r w:rsidRPr="00CF3673">
              <w:t>62.3</w:t>
            </w:r>
          </w:p>
        </w:tc>
        <w:tc>
          <w:tcPr>
            <w:tcW w:w="0" w:type="auto"/>
            <w:noWrap/>
            <w:hideMark/>
          </w:tcPr>
          <w:p w:rsidR="00455BE8" w:rsidRPr="00CF3673" w:rsidRDefault="00455BE8" w:rsidP="00455BE8">
            <w:pPr>
              <w:ind w:left="2608" w:hanging="2608"/>
              <w:jc w:val="center"/>
            </w:pPr>
            <w:r w:rsidRPr="00CF3673">
              <w:t>21.9</w:t>
            </w:r>
          </w:p>
        </w:tc>
        <w:tc>
          <w:tcPr>
            <w:tcW w:w="0" w:type="auto"/>
            <w:noWrap/>
            <w:hideMark/>
          </w:tcPr>
          <w:p w:rsidR="00455BE8" w:rsidRPr="00CF3673" w:rsidRDefault="00455BE8" w:rsidP="00455BE8">
            <w:pPr>
              <w:ind w:left="2608" w:hanging="2608"/>
              <w:jc w:val="center"/>
            </w:pPr>
            <w:r w:rsidRPr="00CF3673">
              <w:t>5.4</w:t>
            </w:r>
          </w:p>
        </w:tc>
        <w:tc>
          <w:tcPr>
            <w:tcW w:w="0" w:type="auto"/>
            <w:noWrap/>
            <w:hideMark/>
          </w:tcPr>
          <w:p w:rsidR="00455BE8" w:rsidRPr="00CF3673" w:rsidRDefault="00455BE8" w:rsidP="00455BE8">
            <w:pPr>
              <w:ind w:left="2608" w:hanging="2608"/>
              <w:jc w:val="center"/>
            </w:pPr>
            <w:r w:rsidRPr="00CF3673">
              <w:t>23.4</w:t>
            </w:r>
          </w:p>
        </w:tc>
        <w:tc>
          <w:tcPr>
            <w:tcW w:w="0" w:type="auto"/>
            <w:noWrap/>
            <w:hideMark/>
          </w:tcPr>
          <w:p w:rsidR="00455BE8" w:rsidRPr="00CF3673" w:rsidRDefault="00455BE8" w:rsidP="00455BE8">
            <w:pPr>
              <w:ind w:left="2608" w:hanging="2608"/>
              <w:jc w:val="center"/>
            </w:pPr>
            <w:r w:rsidRPr="00CF3673">
              <w:t>721</w:t>
            </w:r>
          </w:p>
        </w:tc>
      </w:tr>
      <w:tr w:rsidR="001F23D4" w:rsidRPr="00CF3673" w:rsidTr="00F37F37">
        <w:trPr>
          <w:trHeight w:val="300"/>
          <w:jc w:val="center"/>
        </w:trPr>
        <w:tc>
          <w:tcPr>
            <w:tcW w:w="0" w:type="auto"/>
            <w:noWrap/>
            <w:hideMark/>
          </w:tcPr>
          <w:p w:rsidR="00455BE8" w:rsidRPr="00CF3673" w:rsidRDefault="00455BE8"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0" w:type="auto"/>
            <w:noWrap/>
            <w:hideMark/>
          </w:tcPr>
          <w:p w:rsidR="00455BE8" w:rsidRPr="00CF3673" w:rsidRDefault="00455BE8" w:rsidP="00455BE8">
            <w:pPr>
              <w:ind w:left="2608" w:hanging="2608"/>
              <w:jc w:val="center"/>
            </w:pPr>
            <w:r w:rsidRPr="00CF3673">
              <w:t>65.4</w:t>
            </w:r>
          </w:p>
        </w:tc>
        <w:tc>
          <w:tcPr>
            <w:tcW w:w="0" w:type="auto"/>
            <w:noWrap/>
            <w:hideMark/>
          </w:tcPr>
          <w:p w:rsidR="00455BE8" w:rsidRPr="00CF3673" w:rsidRDefault="00455BE8" w:rsidP="00455BE8">
            <w:pPr>
              <w:ind w:left="2608" w:hanging="2608"/>
              <w:jc w:val="center"/>
            </w:pPr>
            <w:r w:rsidRPr="00CF3673">
              <w:t>21.1</w:t>
            </w:r>
          </w:p>
        </w:tc>
        <w:tc>
          <w:tcPr>
            <w:tcW w:w="0" w:type="auto"/>
            <w:noWrap/>
            <w:hideMark/>
          </w:tcPr>
          <w:p w:rsidR="00455BE8" w:rsidRPr="00CF3673" w:rsidRDefault="00455BE8" w:rsidP="00455BE8">
            <w:pPr>
              <w:ind w:left="2608" w:hanging="2608"/>
              <w:jc w:val="center"/>
            </w:pPr>
            <w:r w:rsidRPr="00CF3673">
              <w:t>7.4</w:t>
            </w:r>
          </w:p>
        </w:tc>
        <w:tc>
          <w:tcPr>
            <w:tcW w:w="0" w:type="auto"/>
            <w:noWrap/>
            <w:hideMark/>
          </w:tcPr>
          <w:p w:rsidR="00455BE8" w:rsidRPr="00CF3673" w:rsidRDefault="00455BE8" w:rsidP="00455BE8">
            <w:pPr>
              <w:ind w:left="2608" w:hanging="2608"/>
              <w:jc w:val="center"/>
            </w:pPr>
            <w:r w:rsidRPr="00CF3673">
              <w:t>28.1</w:t>
            </w:r>
          </w:p>
        </w:tc>
        <w:tc>
          <w:tcPr>
            <w:tcW w:w="0" w:type="auto"/>
            <w:noWrap/>
            <w:hideMark/>
          </w:tcPr>
          <w:p w:rsidR="00455BE8" w:rsidRPr="00CF3673" w:rsidRDefault="00455BE8" w:rsidP="00455BE8">
            <w:pPr>
              <w:ind w:left="2608" w:hanging="2608"/>
              <w:jc w:val="center"/>
            </w:pPr>
            <w:r w:rsidRPr="00CF3673">
              <w:t>488</w:t>
            </w:r>
          </w:p>
        </w:tc>
      </w:tr>
      <w:tr w:rsidR="001F23D4" w:rsidRPr="00CF3673" w:rsidTr="00F37F37">
        <w:trPr>
          <w:trHeight w:val="300"/>
          <w:jc w:val="center"/>
        </w:trPr>
        <w:tc>
          <w:tcPr>
            <w:tcW w:w="0" w:type="auto"/>
            <w:tcBorders>
              <w:bottom w:val="nil"/>
            </w:tcBorders>
            <w:noWrap/>
            <w:hideMark/>
          </w:tcPr>
          <w:p w:rsidR="00455BE8" w:rsidRPr="00CF3673" w:rsidRDefault="00761AD0"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Pequena</w:t>
            </w:r>
          </w:p>
        </w:tc>
        <w:tc>
          <w:tcPr>
            <w:tcW w:w="0" w:type="auto"/>
            <w:tcBorders>
              <w:bottom w:val="nil"/>
            </w:tcBorders>
            <w:noWrap/>
            <w:hideMark/>
          </w:tcPr>
          <w:p w:rsidR="00455BE8" w:rsidRPr="00CF3673" w:rsidRDefault="00455BE8" w:rsidP="00455BE8">
            <w:pPr>
              <w:ind w:left="2608" w:hanging="2608"/>
              <w:jc w:val="center"/>
            </w:pPr>
            <w:r w:rsidRPr="00CF3673">
              <w:t>55.6</w:t>
            </w:r>
          </w:p>
        </w:tc>
        <w:tc>
          <w:tcPr>
            <w:tcW w:w="0" w:type="auto"/>
            <w:tcBorders>
              <w:bottom w:val="nil"/>
            </w:tcBorders>
            <w:noWrap/>
            <w:hideMark/>
          </w:tcPr>
          <w:p w:rsidR="00455BE8" w:rsidRPr="00CF3673" w:rsidRDefault="00455BE8" w:rsidP="00455BE8">
            <w:pPr>
              <w:ind w:left="2608" w:hanging="2608"/>
              <w:jc w:val="center"/>
            </w:pPr>
            <w:r w:rsidRPr="00CF3673">
              <w:t>18.3</w:t>
            </w:r>
          </w:p>
        </w:tc>
        <w:tc>
          <w:tcPr>
            <w:tcW w:w="0" w:type="auto"/>
            <w:tcBorders>
              <w:bottom w:val="nil"/>
            </w:tcBorders>
            <w:noWrap/>
            <w:hideMark/>
          </w:tcPr>
          <w:p w:rsidR="00455BE8" w:rsidRPr="00CF3673" w:rsidRDefault="00455BE8" w:rsidP="00455BE8">
            <w:pPr>
              <w:ind w:left="2608" w:hanging="2608"/>
              <w:jc w:val="center"/>
            </w:pPr>
            <w:r w:rsidRPr="00CF3673">
              <w:t>1.8</w:t>
            </w:r>
          </w:p>
        </w:tc>
        <w:tc>
          <w:tcPr>
            <w:tcW w:w="0" w:type="auto"/>
            <w:tcBorders>
              <w:bottom w:val="nil"/>
            </w:tcBorders>
            <w:noWrap/>
            <w:hideMark/>
          </w:tcPr>
          <w:p w:rsidR="00455BE8" w:rsidRPr="00CF3673" w:rsidRDefault="00455BE8" w:rsidP="00455BE8">
            <w:pPr>
              <w:ind w:left="2608" w:hanging="2608"/>
              <w:jc w:val="center"/>
            </w:pPr>
            <w:r w:rsidRPr="00CF3673">
              <w:t>14.2</w:t>
            </w:r>
          </w:p>
        </w:tc>
        <w:tc>
          <w:tcPr>
            <w:tcW w:w="0" w:type="auto"/>
            <w:tcBorders>
              <w:bottom w:val="nil"/>
            </w:tcBorders>
            <w:noWrap/>
            <w:hideMark/>
          </w:tcPr>
          <w:p w:rsidR="00455BE8" w:rsidRPr="00CF3673" w:rsidRDefault="00455BE8" w:rsidP="00455BE8">
            <w:pPr>
              <w:ind w:left="2608" w:hanging="2608"/>
              <w:jc w:val="center"/>
            </w:pPr>
            <w:r w:rsidRPr="00CF3673">
              <w:t>169</w:t>
            </w:r>
          </w:p>
        </w:tc>
      </w:tr>
      <w:tr w:rsidR="001F23D4" w:rsidRPr="00CF3673" w:rsidTr="00F37F37">
        <w:trPr>
          <w:trHeight w:val="300"/>
          <w:jc w:val="center"/>
        </w:trPr>
        <w:tc>
          <w:tcPr>
            <w:tcW w:w="0" w:type="auto"/>
            <w:tcBorders>
              <w:top w:val="nil"/>
              <w:bottom w:val="single" w:sz="4" w:space="0" w:color="auto"/>
            </w:tcBorders>
            <w:noWrap/>
            <w:hideMark/>
          </w:tcPr>
          <w:p w:rsidR="00455BE8" w:rsidRPr="00CF3673" w:rsidRDefault="001F23D4"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Media</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56.3</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37.5</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0.0</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12.5</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64</w:t>
            </w:r>
          </w:p>
        </w:tc>
      </w:tr>
      <w:tr w:rsidR="001F23D4" w:rsidRPr="00CF3673" w:rsidTr="00F37F37">
        <w:trPr>
          <w:trHeight w:val="300"/>
          <w:jc w:val="center"/>
        </w:trPr>
        <w:tc>
          <w:tcPr>
            <w:tcW w:w="0" w:type="auto"/>
            <w:tcBorders>
              <w:top w:val="single" w:sz="4" w:space="0" w:color="auto"/>
              <w:bottom w:val="nil"/>
            </w:tcBorders>
            <w:noWrap/>
            <w:hideMark/>
          </w:tcPr>
          <w:p w:rsidR="00455BE8" w:rsidRPr="00CF3673" w:rsidRDefault="00455BE8"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Informal</w:t>
            </w:r>
          </w:p>
        </w:tc>
        <w:tc>
          <w:tcPr>
            <w:tcW w:w="0" w:type="auto"/>
            <w:tcBorders>
              <w:top w:val="single" w:sz="4" w:space="0" w:color="auto"/>
              <w:bottom w:val="nil"/>
            </w:tcBorders>
            <w:noWrap/>
            <w:hideMark/>
          </w:tcPr>
          <w:p w:rsidR="00455BE8" w:rsidRPr="00CF3673" w:rsidRDefault="00455BE8" w:rsidP="00455BE8">
            <w:pPr>
              <w:ind w:left="2608" w:hanging="2608"/>
              <w:jc w:val="center"/>
            </w:pPr>
            <w:r w:rsidRPr="00CF3673">
              <w:t>74.4</w:t>
            </w:r>
          </w:p>
        </w:tc>
        <w:tc>
          <w:tcPr>
            <w:tcW w:w="0" w:type="auto"/>
            <w:tcBorders>
              <w:top w:val="single" w:sz="4" w:space="0" w:color="auto"/>
              <w:bottom w:val="nil"/>
            </w:tcBorders>
            <w:noWrap/>
            <w:hideMark/>
          </w:tcPr>
          <w:p w:rsidR="00455BE8" w:rsidRPr="00CF3673" w:rsidRDefault="00455BE8" w:rsidP="00455BE8">
            <w:pPr>
              <w:ind w:left="2608" w:hanging="2608"/>
              <w:jc w:val="center"/>
            </w:pPr>
            <w:r w:rsidRPr="00CF3673">
              <w:t>14.4</w:t>
            </w:r>
          </w:p>
        </w:tc>
        <w:tc>
          <w:tcPr>
            <w:tcW w:w="0" w:type="auto"/>
            <w:tcBorders>
              <w:top w:val="single" w:sz="4" w:space="0" w:color="auto"/>
              <w:bottom w:val="nil"/>
            </w:tcBorders>
            <w:noWrap/>
            <w:hideMark/>
          </w:tcPr>
          <w:p w:rsidR="00455BE8" w:rsidRPr="00CF3673" w:rsidRDefault="00455BE8" w:rsidP="00455BE8">
            <w:pPr>
              <w:ind w:left="2608" w:hanging="2608"/>
              <w:jc w:val="center"/>
            </w:pPr>
            <w:r w:rsidRPr="00CF3673">
              <w:t>6.3</w:t>
            </w:r>
          </w:p>
        </w:tc>
        <w:tc>
          <w:tcPr>
            <w:tcW w:w="0" w:type="auto"/>
            <w:tcBorders>
              <w:top w:val="single" w:sz="4" w:space="0" w:color="auto"/>
              <w:bottom w:val="nil"/>
            </w:tcBorders>
            <w:noWrap/>
            <w:hideMark/>
          </w:tcPr>
          <w:p w:rsidR="00455BE8" w:rsidRPr="00CF3673" w:rsidRDefault="00455BE8" w:rsidP="00455BE8">
            <w:pPr>
              <w:ind w:left="2608" w:hanging="2608"/>
              <w:jc w:val="center"/>
            </w:pPr>
            <w:r w:rsidRPr="00CF3673">
              <w:t>36.3</w:t>
            </w:r>
          </w:p>
        </w:tc>
        <w:tc>
          <w:tcPr>
            <w:tcW w:w="0" w:type="auto"/>
            <w:tcBorders>
              <w:top w:val="single" w:sz="4" w:space="0" w:color="auto"/>
              <w:bottom w:val="nil"/>
            </w:tcBorders>
            <w:noWrap/>
            <w:hideMark/>
          </w:tcPr>
          <w:p w:rsidR="00455BE8" w:rsidRPr="00CF3673" w:rsidRDefault="00455BE8" w:rsidP="00455BE8">
            <w:pPr>
              <w:ind w:left="2608" w:hanging="2608"/>
              <w:jc w:val="center"/>
            </w:pPr>
            <w:r w:rsidRPr="00CF3673">
              <w:t>160</w:t>
            </w:r>
          </w:p>
        </w:tc>
      </w:tr>
      <w:tr w:rsidR="001F23D4" w:rsidRPr="00CF3673" w:rsidTr="00F37F37">
        <w:trPr>
          <w:trHeight w:val="300"/>
          <w:jc w:val="center"/>
        </w:trPr>
        <w:tc>
          <w:tcPr>
            <w:tcW w:w="0" w:type="auto"/>
            <w:tcBorders>
              <w:top w:val="nil"/>
              <w:bottom w:val="single" w:sz="4" w:space="0" w:color="auto"/>
            </w:tcBorders>
            <w:noWrap/>
            <w:hideMark/>
          </w:tcPr>
          <w:p w:rsidR="00455BE8" w:rsidRPr="00CF3673" w:rsidRDefault="00455BE8" w:rsidP="0046782E">
            <w:pPr>
              <w:rPr>
                <w:rFonts w:ascii="Calibri" w:eastAsia="Times New Roman" w:hAnsi="Calibri" w:cs="Calibri"/>
                <w:color w:val="000000"/>
                <w:lang w:eastAsia="zh-CN"/>
              </w:rPr>
            </w:pPr>
            <w:r w:rsidRPr="00CF3673">
              <w:rPr>
                <w:rFonts w:ascii="Calibri" w:eastAsia="Times New Roman" w:hAnsi="Calibri" w:cs="Times New Roman"/>
                <w:lang w:eastAsia="zh-CN"/>
              </w:rPr>
              <w:t>Formal</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58.8</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24.1</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5.2</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19.8</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561</w:t>
            </w:r>
          </w:p>
        </w:tc>
      </w:tr>
      <w:tr w:rsidR="001F23D4" w:rsidRPr="00CF3673" w:rsidTr="00F37F37">
        <w:trPr>
          <w:trHeight w:val="300"/>
          <w:jc w:val="center"/>
        </w:trPr>
        <w:tc>
          <w:tcPr>
            <w:tcW w:w="0" w:type="auto"/>
            <w:tcBorders>
              <w:top w:val="single" w:sz="4" w:space="0" w:color="auto"/>
              <w:bottom w:val="nil"/>
            </w:tcBorders>
            <w:noWrap/>
            <w:hideMark/>
          </w:tcPr>
          <w:p w:rsidR="00455BE8" w:rsidRPr="00CF3673" w:rsidRDefault="001F23D4"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Detida por </w:t>
            </w:r>
            <w:proofErr w:type="spellStart"/>
            <w:r w:rsidRPr="00CF3673">
              <w:rPr>
                <w:rFonts w:ascii="Calibri" w:eastAsia="Times New Roman" w:hAnsi="Calibri" w:cs="Calibri"/>
                <w:color w:val="000000"/>
                <w:lang w:eastAsia="zh-CN"/>
              </w:rPr>
              <w:t>Moz</w:t>
            </w:r>
            <w:proofErr w:type="spellEnd"/>
          </w:p>
        </w:tc>
        <w:tc>
          <w:tcPr>
            <w:tcW w:w="0" w:type="auto"/>
            <w:tcBorders>
              <w:top w:val="single" w:sz="4" w:space="0" w:color="auto"/>
              <w:bottom w:val="nil"/>
            </w:tcBorders>
            <w:noWrap/>
            <w:hideMark/>
          </w:tcPr>
          <w:p w:rsidR="00455BE8" w:rsidRPr="00CF3673" w:rsidRDefault="00455BE8" w:rsidP="00455BE8">
            <w:pPr>
              <w:ind w:left="2608" w:hanging="2608"/>
              <w:jc w:val="center"/>
            </w:pPr>
            <w:r w:rsidRPr="00CF3673">
              <w:t>63.5</w:t>
            </w:r>
          </w:p>
        </w:tc>
        <w:tc>
          <w:tcPr>
            <w:tcW w:w="0" w:type="auto"/>
            <w:tcBorders>
              <w:top w:val="single" w:sz="4" w:space="0" w:color="auto"/>
              <w:bottom w:val="nil"/>
            </w:tcBorders>
            <w:noWrap/>
            <w:hideMark/>
          </w:tcPr>
          <w:p w:rsidR="00455BE8" w:rsidRPr="00CF3673" w:rsidRDefault="00455BE8" w:rsidP="00455BE8">
            <w:pPr>
              <w:ind w:left="2608" w:hanging="2608"/>
              <w:jc w:val="center"/>
            </w:pPr>
            <w:r w:rsidRPr="00CF3673">
              <w:t>21.1</w:t>
            </w:r>
          </w:p>
        </w:tc>
        <w:tc>
          <w:tcPr>
            <w:tcW w:w="0" w:type="auto"/>
            <w:tcBorders>
              <w:top w:val="single" w:sz="4" w:space="0" w:color="auto"/>
              <w:bottom w:val="nil"/>
            </w:tcBorders>
            <w:noWrap/>
            <w:hideMark/>
          </w:tcPr>
          <w:p w:rsidR="00455BE8" w:rsidRPr="00CF3673" w:rsidRDefault="00455BE8" w:rsidP="00455BE8">
            <w:pPr>
              <w:ind w:left="2608" w:hanging="2608"/>
              <w:jc w:val="center"/>
            </w:pPr>
            <w:r w:rsidRPr="00CF3673">
              <w:t>5.9</w:t>
            </w:r>
          </w:p>
        </w:tc>
        <w:tc>
          <w:tcPr>
            <w:tcW w:w="0" w:type="auto"/>
            <w:tcBorders>
              <w:top w:val="single" w:sz="4" w:space="0" w:color="auto"/>
              <w:bottom w:val="nil"/>
            </w:tcBorders>
            <w:noWrap/>
            <w:hideMark/>
          </w:tcPr>
          <w:p w:rsidR="00455BE8" w:rsidRPr="00CF3673" w:rsidRDefault="00455BE8" w:rsidP="00455BE8">
            <w:pPr>
              <w:ind w:left="2608" w:hanging="2608"/>
              <w:jc w:val="center"/>
            </w:pPr>
            <w:r w:rsidRPr="00CF3673">
              <w:t>25.0</w:t>
            </w:r>
          </w:p>
        </w:tc>
        <w:tc>
          <w:tcPr>
            <w:tcW w:w="0" w:type="auto"/>
            <w:tcBorders>
              <w:top w:val="single" w:sz="4" w:space="0" w:color="auto"/>
              <w:bottom w:val="nil"/>
            </w:tcBorders>
            <w:noWrap/>
            <w:hideMark/>
          </w:tcPr>
          <w:p w:rsidR="00455BE8" w:rsidRPr="00CF3673" w:rsidRDefault="00455BE8" w:rsidP="00455BE8">
            <w:pPr>
              <w:ind w:left="2608" w:hanging="2608"/>
              <w:jc w:val="center"/>
            </w:pPr>
            <w:r w:rsidRPr="00CF3673">
              <w:t>641</w:t>
            </w:r>
          </w:p>
        </w:tc>
      </w:tr>
      <w:tr w:rsidR="001F23D4" w:rsidRPr="00CF3673" w:rsidTr="00F37F37">
        <w:trPr>
          <w:trHeight w:val="300"/>
          <w:jc w:val="center"/>
        </w:trPr>
        <w:tc>
          <w:tcPr>
            <w:tcW w:w="0" w:type="auto"/>
            <w:tcBorders>
              <w:top w:val="nil"/>
              <w:bottom w:val="single" w:sz="4" w:space="0" w:color="auto"/>
            </w:tcBorders>
            <w:noWrap/>
            <w:hideMark/>
          </w:tcPr>
          <w:p w:rsidR="00455BE8" w:rsidRPr="00CF3673" w:rsidRDefault="001F23D4" w:rsidP="001F23D4">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Detida </w:t>
            </w:r>
            <w:proofErr w:type="spellStart"/>
            <w:r w:rsidRPr="00CF3673">
              <w:rPr>
                <w:rFonts w:ascii="Calibri" w:eastAsia="Times New Roman" w:hAnsi="Calibri" w:cs="Calibri"/>
                <w:color w:val="000000"/>
                <w:lang w:eastAsia="zh-CN"/>
              </w:rPr>
              <w:t>estrang</w:t>
            </w:r>
            <w:proofErr w:type="spellEnd"/>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51.9</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27.8</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1.3</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11.4</w:t>
            </w:r>
          </w:p>
        </w:tc>
        <w:tc>
          <w:tcPr>
            <w:tcW w:w="0" w:type="auto"/>
            <w:tcBorders>
              <w:top w:val="nil"/>
              <w:bottom w:val="single" w:sz="4" w:space="0" w:color="auto"/>
            </w:tcBorders>
            <w:noWrap/>
            <w:hideMark/>
          </w:tcPr>
          <w:p w:rsidR="00455BE8" w:rsidRPr="00CF3673" w:rsidRDefault="00455BE8" w:rsidP="00455BE8">
            <w:pPr>
              <w:ind w:left="2608" w:hanging="2608"/>
              <w:jc w:val="center"/>
            </w:pPr>
            <w:r w:rsidRPr="00CF3673">
              <w:t>79</w:t>
            </w:r>
          </w:p>
        </w:tc>
      </w:tr>
      <w:tr w:rsidR="001F23D4" w:rsidRPr="00CF3673" w:rsidTr="00F37F37">
        <w:trPr>
          <w:trHeight w:val="300"/>
          <w:jc w:val="center"/>
        </w:trPr>
        <w:tc>
          <w:tcPr>
            <w:tcW w:w="0" w:type="auto"/>
            <w:tcBorders>
              <w:top w:val="single" w:sz="4" w:space="0" w:color="auto"/>
            </w:tcBorders>
            <w:noWrap/>
            <w:hideMark/>
          </w:tcPr>
          <w:p w:rsidR="00455BE8" w:rsidRPr="00CF3673" w:rsidRDefault="00455BE8"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Maputo</w:t>
            </w:r>
          </w:p>
        </w:tc>
        <w:tc>
          <w:tcPr>
            <w:tcW w:w="0" w:type="auto"/>
            <w:tcBorders>
              <w:top w:val="single" w:sz="4" w:space="0" w:color="auto"/>
            </w:tcBorders>
            <w:noWrap/>
            <w:hideMark/>
          </w:tcPr>
          <w:p w:rsidR="00455BE8" w:rsidRPr="00CF3673" w:rsidRDefault="00455BE8" w:rsidP="00455BE8">
            <w:pPr>
              <w:ind w:left="2608" w:hanging="2608"/>
              <w:jc w:val="center"/>
            </w:pPr>
            <w:r w:rsidRPr="00CF3673">
              <w:t>58.1</w:t>
            </w:r>
          </w:p>
        </w:tc>
        <w:tc>
          <w:tcPr>
            <w:tcW w:w="0" w:type="auto"/>
            <w:tcBorders>
              <w:top w:val="single" w:sz="4" w:space="0" w:color="auto"/>
            </w:tcBorders>
            <w:noWrap/>
            <w:hideMark/>
          </w:tcPr>
          <w:p w:rsidR="00455BE8" w:rsidRPr="00CF3673" w:rsidRDefault="00455BE8" w:rsidP="00455BE8">
            <w:pPr>
              <w:ind w:left="2608" w:hanging="2608"/>
              <w:jc w:val="center"/>
            </w:pPr>
            <w:r w:rsidRPr="00CF3673">
              <w:t>20.8</w:t>
            </w:r>
          </w:p>
        </w:tc>
        <w:tc>
          <w:tcPr>
            <w:tcW w:w="0" w:type="auto"/>
            <w:tcBorders>
              <w:top w:val="single" w:sz="4" w:space="0" w:color="auto"/>
            </w:tcBorders>
            <w:noWrap/>
            <w:hideMark/>
          </w:tcPr>
          <w:p w:rsidR="00455BE8" w:rsidRPr="00CF3673" w:rsidRDefault="00455BE8" w:rsidP="00455BE8">
            <w:pPr>
              <w:ind w:left="2608" w:hanging="2608"/>
              <w:jc w:val="center"/>
            </w:pPr>
            <w:r w:rsidRPr="00CF3673">
              <w:t>5.0</w:t>
            </w:r>
          </w:p>
        </w:tc>
        <w:tc>
          <w:tcPr>
            <w:tcW w:w="0" w:type="auto"/>
            <w:tcBorders>
              <w:top w:val="single" w:sz="4" w:space="0" w:color="auto"/>
            </w:tcBorders>
            <w:noWrap/>
            <w:hideMark/>
          </w:tcPr>
          <w:p w:rsidR="00455BE8" w:rsidRPr="00CF3673" w:rsidRDefault="00455BE8" w:rsidP="00455BE8">
            <w:pPr>
              <w:ind w:left="2608" w:hanging="2608"/>
              <w:jc w:val="center"/>
            </w:pPr>
            <w:r w:rsidRPr="00CF3673">
              <w:t>21.9</w:t>
            </w:r>
          </w:p>
        </w:tc>
        <w:tc>
          <w:tcPr>
            <w:tcW w:w="0" w:type="auto"/>
            <w:tcBorders>
              <w:top w:val="single" w:sz="4" w:space="0" w:color="auto"/>
            </w:tcBorders>
            <w:noWrap/>
            <w:hideMark/>
          </w:tcPr>
          <w:p w:rsidR="00455BE8" w:rsidRPr="00CF3673" w:rsidRDefault="00455BE8" w:rsidP="00455BE8">
            <w:pPr>
              <w:ind w:left="2608" w:hanging="2608"/>
              <w:jc w:val="center"/>
            </w:pPr>
            <w:r w:rsidRPr="00CF3673">
              <w:t>260</w:t>
            </w:r>
          </w:p>
        </w:tc>
      </w:tr>
      <w:tr w:rsidR="001F23D4" w:rsidRPr="00CF3673" w:rsidTr="00F37F37">
        <w:trPr>
          <w:trHeight w:val="300"/>
          <w:jc w:val="center"/>
        </w:trPr>
        <w:tc>
          <w:tcPr>
            <w:tcW w:w="0" w:type="auto"/>
            <w:noWrap/>
            <w:hideMark/>
          </w:tcPr>
          <w:p w:rsidR="00455BE8" w:rsidRPr="00CF3673" w:rsidRDefault="00455BE8"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Matola</w:t>
            </w:r>
          </w:p>
        </w:tc>
        <w:tc>
          <w:tcPr>
            <w:tcW w:w="0" w:type="auto"/>
            <w:noWrap/>
            <w:hideMark/>
          </w:tcPr>
          <w:p w:rsidR="00455BE8" w:rsidRPr="00CF3673" w:rsidRDefault="00455BE8" w:rsidP="00455BE8">
            <w:pPr>
              <w:ind w:left="2608" w:hanging="2608"/>
              <w:jc w:val="center"/>
            </w:pPr>
            <w:r w:rsidRPr="00CF3673">
              <w:t>60.9</w:t>
            </w:r>
          </w:p>
        </w:tc>
        <w:tc>
          <w:tcPr>
            <w:tcW w:w="0" w:type="auto"/>
            <w:noWrap/>
            <w:hideMark/>
          </w:tcPr>
          <w:p w:rsidR="00455BE8" w:rsidRPr="00CF3673" w:rsidRDefault="00455BE8" w:rsidP="00455BE8">
            <w:pPr>
              <w:ind w:left="2608" w:hanging="2608"/>
              <w:jc w:val="center"/>
            </w:pPr>
            <w:r w:rsidRPr="00CF3673">
              <w:t>27.5</w:t>
            </w:r>
          </w:p>
        </w:tc>
        <w:tc>
          <w:tcPr>
            <w:tcW w:w="0" w:type="auto"/>
            <w:noWrap/>
            <w:hideMark/>
          </w:tcPr>
          <w:p w:rsidR="00455BE8" w:rsidRPr="00CF3673" w:rsidRDefault="00455BE8" w:rsidP="00455BE8">
            <w:pPr>
              <w:ind w:left="2608" w:hanging="2608"/>
              <w:jc w:val="center"/>
            </w:pPr>
            <w:r w:rsidRPr="00CF3673">
              <w:t>2.9</w:t>
            </w:r>
          </w:p>
        </w:tc>
        <w:tc>
          <w:tcPr>
            <w:tcW w:w="0" w:type="auto"/>
            <w:noWrap/>
            <w:hideMark/>
          </w:tcPr>
          <w:p w:rsidR="00455BE8" w:rsidRPr="00CF3673" w:rsidRDefault="00455BE8" w:rsidP="00455BE8">
            <w:pPr>
              <w:ind w:left="2608" w:hanging="2608"/>
              <w:jc w:val="center"/>
            </w:pPr>
            <w:r w:rsidRPr="00CF3673">
              <w:t>11.6</w:t>
            </w:r>
          </w:p>
        </w:tc>
        <w:tc>
          <w:tcPr>
            <w:tcW w:w="0" w:type="auto"/>
            <w:noWrap/>
            <w:hideMark/>
          </w:tcPr>
          <w:p w:rsidR="00455BE8" w:rsidRPr="00CF3673" w:rsidRDefault="00455BE8" w:rsidP="00455BE8">
            <w:pPr>
              <w:ind w:left="2608" w:hanging="2608"/>
              <w:jc w:val="center"/>
            </w:pPr>
            <w:r w:rsidRPr="00CF3673">
              <w:t>69</w:t>
            </w:r>
          </w:p>
        </w:tc>
      </w:tr>
      <w:tr w:rsidR="001F23D4" w:rsidRPr="00CF3673" w:rsidTr="00F37F37">
        <w:trPr>
          <w:trHeight w:val="300"/>
          <w:jc w:val="center"/>
        </w:trPr>
        <w:tc>
          <w:tcPr>
            <w:tcW w:w="0" w:type="auto"/>
            <w:noWrap/>
            <w:hideMark/>
          </w:tcPr>
          <w:p w:rsidR="00455BE8" w:rsidRPr="00CF3673" w:rsidRDefault="00455BE8"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Beira</w:t>
            </w:r>
          </w:p>
        </w:tc>
        <w:tc>
          <w:tcPr>
            <w:tcW w:w="0" w:type="auto"/>
            <w:noWrap/>
            <w:hideMark/>
          </w:tcPr>
          <w:p w:rsidR="00455BE8" w:rsidRPr="00CF3673" w:rsidRDefault="00455BE8" w:rsidP="00455BE8">
            <w:pPr>
              <w:ind w:left="2608" w:hanging="2608"/>
              <w:jc w:val="center"/>
            </w:pPr>
            <w:r w:rsidRPr="00CF3673">
              <w:t>72.3</w:t>
            </w:r>
          </w:p>
        </w:tc>
        <w:tc>
          <w:tcPr>
            <w:tcW w:w="0" w:type="auto"/>
            <w:noWrap/>
            <w:hideMark/>
          </w:tcPr>
          <w:p w:rsidR="00455BE8" w:rsidRPr="00CF3673" w:rsidRDefault="00455BE8" w:rsidP="00455BE8">
            <w:pPr>
              <w:ind w:left="2608" w:hanging="2608"/>
              <w:jc w:val="center"/>
            </w:pPr>
            <w:r w:rsidRPr="00CF3673">
              <w:t>19.9</w:t>
            </w:r>
          </w:p>
        </w:tc>
        <w:tc>
          <w:tcPr>
            <w:tcW w:w="0" w:type="auto"/>
            <w:noWrap/>
            <w:hideMark/>
          </w:tcPr>
          <w:p w:rsidR="00455BE8" w:rsidRPr="00CF3673" w:rsidRDefault="00455BE8" w:rsidP="00455BE8">
            <w:pPr>
              <w:ind w:left="2608" w:hanging="2608"/>
              <w:jc w:val="center"/>
            </w:pPr>
            <w:r w:rsidRPr="00CF3673">
              <w:t>2.8</w:t>
            </w:r>
          </w:p>
        </w:tc>
        <w:tc>
          <w:tcPr>
            <w:tcW w:w="0" w:type="auto"/>
            <w:noWrap/>
            <w:hideMark/>
          </w:tcPr>
          <w:p w:rsidR="00455BE8" w:rsidRPr="00CF3673" w:rsidRDefault="00455BE8" w:rsidP="00455BE8">
            <w:pPr>
              <w:ind w:left="2608" w:hanging="2608"/>
              <w:jc w:val="center"/>
            </w:pPr>
            <w:r w:rsidRPr="00CF3673">
              <w:t>27.0</w:t>
            </w:r>
          </w:p>
        </w:tc>
        <w:tc>
          <w:tcPr>
            <w:tcW w:w="0" w:type="auto"/>
            <w:noWrap/>
            <w:hideMark/>
          </w:tcPr>
          <w:p w:rsidR="00455BE8" w:rsidRPr="00CF3673" w:rsidRDefault="00455BE8" w:rsidP="00455BE8">
            <w:pPr>
              <w:ind w:left="2608" w:hanging="2608"/>
              <w:jc w:val="center"/>
            </w:pPr>
            <w:r w:rsidRPr="00CF3673">
              <w:t>141</w:t>
            </w:r>
          </w:p>
        </w:tc>
      </w:tr>
      <w:tr w:rsidR="001F23D4" w:rsidRPr="00CF3673" w:rsidTr="00F37F37">
        <w:trPr>
          <w:trHeight w:val="300"/>
          <w:jc w:val="center"/>
        </w:trPr>
        <w:tc>
          <w:tcPr>
            <w:tcW w:w="0" w:type="auto"/>
            <w:noWrap/>
            <w:hideMark/>
          </w:tcPr>
          <w:p w:rsidR="00455BE8" w:rsidRPr="00CF3673" w:rsidRDefault="00455BE8"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Nampula</w:t>
            </w:r>
          </w:p>
        </w:tc>
        <w:tc>
          <w:tcPr>
            <w:tcW w:w="0" w:type="auto"/>
            <w:noWrap/>
            <w:hideMark/>
          </w:tcPr>
          <w:p w:rsidR="00455BE8" w:rsidRPr="00CF3673" w:rsidRDefault="00455BE8" w:rsidP="00455BE8">
            <w:pPr>
              <w:ind w:left="2608" w:hanging="2608"/>
              <w:jc w:val="center"/>
            </w:pPr>
            <w:r w:rsidRPr="00CF3673">
              <w:t>67.4</w:t>
            </w:r>
          </w:p>
        </w:tc>
        <w:tc>
          <w:tcPr>
            <w:tcW w:w="0" w:type="auto"/>
            <w:noWrap/>
            <w:hideMark/>
          </w:tcPr>
          <w:p w:rsidR="00455BE8" w:rsidRPr="00CF3673" w:rsidRDefault="00455BE8" w:rsidP="00455BE8">
            <w:pPr>
              <w:ind w:left="2608" w:hanging="2608"/>
              <w:jc w:val="center"/>
            </w:pPr>
            <w:r w:rsidRPr="00CF3673">
              <w:t>39.1</w:t>
            </w:r>
          </w:p>
        </w:tc>
        <w:tc>
          <w:tcPr>
            <w:tcW w:w="0" w:type="auto"/>
            <w:noWrap/>
            <w:hideMark/>
          </w:tcPr>
          <w:p w:rsidR="00455BE8" w:rsidRPr="00CF3673" w:rsidRDefault="00455BE8" w:rsidP="00455BE8">
            <w:pPr>
              <w:ind w:left="2608" w:hanging="2608"/>
              <w:jc w:val="center"/>
            </w:pPr>
            <w:r w:rsidRPr="00CF3673">
              <w:t>13.0</w:t>
            </w:r>
          </w:p>
        </w:tc>
        <w:tc>
          <w:tcPr>
            <w:tcW w:w="0" w:type="auto"/>
            <w:noWrap/>
            <w:hideMark/>
          </w:tcPr>
          <w:p w:rsidR="00455BE8" w:rsidRPr="00CF3673" w:rsidRDefault="00455BE8" w:rsidP="00455BE8">
            <w:pPr>
              <w:ind w:left="2608" w:hanging="2608"/>
              <w:jc w:val="center"/>
            </w:pPr>
            <w:r w:rsidRPr="00CF3673">
              <w:t>28.3</w:t>
            </w:r>
          </w:p>
        </w:tc>
        <w:tc>
          <w:tcPr>
            <w:tcW w:w="0" w:type="auto"/>
            <w:noWrap/>
            <w:hideMark/>
          </w:tcPr>
          <w:p w:rsidR="00455BE8" w:rsidRPr="00CF3673" w:rsidRDefault="00455BE8" w:rsidP="00455BE8">
            <w:pPr>
              <w:ind w:left="2608" w:hanging="2608"/>
              <w:jc w:val="center"/>
            </w:pPr>
            <w:r w:rsidRPr="00CF3673">
              <w:t>46</w:t>
            </w:r>
          </w:p>
        </w:tc>
      </w:tr>
      <w:tr w:rsidR="001F23D4" w:rsidRPr="00CF3673" w:rsidTr="00F37F37">
        <w:trPr>
          <w:trHeight w:val="300"/>
          <w:jc w:val="center"/>
        </w:trPr>
        <w:tc>
          <w:tcPr>
            <w:tcW w:w="0" w:type="auto"/>
            <w:noWrap/>
            <w:hideMark/>
          </w:tcPr>
          <w:p w:rsidR="00455BE8" w:rsidRPr="00CF3673" w:rsidRDefault="00455BE8"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Nacala</w:t>
            </w:r>
          </w:p>
        </w:tc>
        <w:tc>
          <w:tcPr>
            <w:tcW w:w="0" w:type="auto"/>
            <w:noWrap/>
            <w:hideMark/>
          </w:tcPr>
          <w:p w:rsidR="00455BE8" w:rsidRPr="00CF3673" w:rsidRDefault="00455BE8" w:rsidP="00455BE8">
            <w:pPr>
              <w:ind w:left="2608" w:hanging="2608"/>
              <w:jc w:val="center"/>
            </w:pPr>
            <w:r w:rsidRPr="00CF3673">
              <w:t>78.6</w:t>
            </w:r>
          </w:p>
        </w:tc>
        <w:tc>
          <w:tcPr>
            <w:tcW w:w="0" w:type="auto"/>
            <w:noWrap/>
            <w:hideMark/>
          </w:tcPr>
          <w:p w:rsidR="00455BE8" w:rsidRPr="00CF3673" w:rsidRDefault="00455BE8" w:rsidP="00455BE8">
            <w:pPr>
              <w:ind w:left="2608" w:hanging="2608"/>
              <w:jc w:val="center"/>
            </w:pPr>
            <w:r w:rsidRPr="00CF3673">
              <w:t>14.3</w:t>
            </w:r>
          </w:p>
        </w:tc>
        <w:tc>
          <w:tcPr>
            <w:tcW w:w="0" w:type="auto"/>
            <w:noWrap/>
            <w:hideMark/>
          </w:tcPr>
          <w:p w:rsidR="00455BE8" w:rsidRPr="00CF3673" w:rsidRDefault="00455BE8" w:rsidP="00455BE8">
            <w:pPr>
              <w:ind w:left="2608" w:hanging="2608"/>
              <w:jc w:val="center"/>
            </w:pPr>
            <w:r w:rsidRPr="00CF3673">
              <w:t>7.1</w:t>
            </w:r>
          </w:p>
        </w:tc>
        <w:tc>
          <w:tcPr>
            <w:tcW w:w="0" w:type="auto"/>
            <w:noWrap/>
            <w:hideMark/>
          </w:tcPr>
          <w:p w:rsidR="00455BE8" w:rsidRPr="00CF3673" w:rsidRDefault="00455BE8" w:rsidP="00455BE8">
            <w:pPr>
              <w:ind w:left="2608" w:hanging="2608"/>
              <w:jc w:val="center"/>
            </w:pPr>
            <w:r w:rsidRPr="00CF3673">
              <w:t>71.4</w:t>
            </w:r>
          </w:p>
        </w:tc>
        <w:tc>
          <w:tcPr>
            <w:tcW w:w="0" w:type="auto"/>
            <w:noWrap/>
            <w:hideMark/>
          </w:tcPr>
          <w:p w:rsidR="00455BE8" w:rsidRPr="00CF3673" w:rsidRDefault="00455BE8" w:rsidP="00455BE8">
            <w:pPr>
              <w:ind w:left="2608" w:hanging="2608"/>
              <w:jc w:val="center"/>
            </w:pPr>
            <w:r w:rsidRPr="00CF3673">
              <w:t>14</w:t>
            </w:r>
          </w:p>
        </w:tc>
      </w:tr>
      <w:tr w:rsidR="001F23D4" w:rsidRPr="00CF3673" w:rsidTr="00F37F37">
        <w:trPr>
          <w:trHeight w:val="300"/>
          <w:jc w:val="center"/>
        </w:trPr>
        <w:tc>
          <w:tcPr>
            <w:tcW w:w="0" w:type="auto"/>
            <w:noWrap/>
            <w:hideMark/>
          </w:tcPr>
          <w:p w:rsidR="00455BE8" w:rsidRPr="00CF3673" w:rsidRDefault="00455BE8"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Chimoio</w:t>
            </w:r>
          </w:p>
        </w:tc>
        <w:tc>
          <w:tcPr>
            <w:tcW w:w="0" w:type="auto"/>
            <w:noWrap/>
            <w:hideMark/>
          </w:tcPr>
          <w:p w:rsidR="00455BE8" w:rsidRPr="00CF3673" w:rsidRDefault="00455BE8" w:rsidP="00455BE8">
            <w:pPr>
              <w:ind w:left="2608" w:hanging="2608"/>
              <w:jc w:val="center"/>
            </w:pPr>
            <w:r w:rsidRPr="00CF3673">
              <w:t>55.3</w:t>
            </w:r>
          </w:p>
        </w:tc>
        <w:tc>
          <w:tcPr>
            <w:tcW w:w="0" w:type="auto"/>
            <w:noWrap/>
            <w:hideMark/>
          </w:tcPr>
          <w:p w:rsidR="00455BE8" w:rsidRPr="00CF3673" w:rsidRDefault="00455BE8" w:rsidP="00455BE8">
            <w:pPr>
              <w:ind w:left="2608" w:hanging="2608"/>
              <w:jc w:val="center"/>
            </w:pPr>
            <w:r w:rsidRPr="00CF3673">
              <w:t>18.8</w:t>
            </w:r>
          </w:p>
        </w:tc>
        <w:tc>
          <w:tcPr>
            <w:tcW w:w="0" w:type="auto"/>
            <w:noWrap/>
            <w:hideMark/>
          </w:tcPr>
          <w:p w:rsidR="00455BE8" w:rsidRPr="00CF3673" w:rsidRDefault="00455BE8" w:rsidP="00455BE8">
            <w:pPr>
              <w:ind w:left="2608" w:hanging="2608"/>
              <w:jc w:val="center"/>
            </w:pPr>
            <w:r w:rsidRPr="00CF3673">
              <w:t>8.2</w:t>
            </w:r>
          </w:p>
        </w:tc>
        <w:tc>
          <w:tcPr>
            <w:tcW w:w="0" w:type="auto"/>
            <w:noWrap/>
            <w:hideMark/>
          </w:tcPr>
          <w:p w:rsidR="00455BE8" w:rsidRPr="00CF3673" w:rsidRDefault="00455BE8" w:rsidP="00455BE8">
            <w:pPr>
              <w:ind w:left="2608" w:hanging="2608"/>
              <w:jc w:val="center"/>
            </w:pPr>
            <w:r w:rsidRPr="00CF3673">
              <w:t>27.1</w:t>
            </w:r>
          </w:p>
        </w:tc>
        <w:tc>
          <w:tcPr>
            <w:tcW w:w="0" w:type="auto"/>
            <w:noWrap/>
            <w:hideMark/>
          </w:tcPr>
          <w:p w:rsidR="00455BE8" w:rsidRPr="00CF3673" w:rsidRDefault="00455BE8" w:rsidP="00455BE8">
            <w:pPr>
              <w:ind w:left="2608" w:hanging="2608"/>
              <w:jc w:val="center"/>
            </w:pPr>
            <w:r w:rsidRPr="00CF3673">
              <w:t>85</w:t>
            </w:r>
          </w:p>
        </w:tc>
      </w:tr>
      <w:tr w:rsidR="001F23D4" w:rsidRPr="00CF3673" w:rsidTr="00F37F37">
        <w:trPr>
          <w:trHeight w:val="300"/>
          <w:jc w:val="center"/>
        </w:trPr>
        <w:tc>
          <w:tcPr>
            <w:tcW w:w="0" w:type="auto"/>
            <w:noWrap/>
            <w:hideMark/>
          </w:tcPr>
          <w:p w:rsidR="00455BE8" w:rsidRPr="00CF3673" w:rsidRDefault="00455BE8" w:rsidP="0046782E">
            <w:pPr>
              <w:rPr>
                <w:rFonts w:ascii="Calibri" w:eastAsia="Times New Roman" w:hAnsi="Calibri" w:cs="Calibri"/>
                <w:color w:val="000000"/>
                <w:lang w:eastAsia="zh-CN"/>
              </w:rPr>
            </w:pPr>
            <w:r w:rsidRPr="00CF3673">
              <w:rPr>
                <w:rFonts w:ascii="Calibri" w:eastAsia="Times New Roman" w:hAnsi="Calibri" w:cs="Calibri"/>
                <w:color w:val="000000"/>
                <w:lang w:eastAsia="zh-CN"/>
              </w:rPr>
              <w:t>Tete</w:t>
            </w:r>
          </w:p>
        </w:tc>
        <w:tc>
          <w:tcPr>
            <w:tcW w:w="0" w:type="auto"/>
            <w:noWrap/>
            <w:hideMark/>
          </w:tcPr>
          <w:p w:rsidR="00455BE8" w:rsidRPr="00CF3673" w:rsidRDefault="00455BE8" w:rsidP="00455BE8">
            <w:pPr>
              <w:ind w:left="2608" w:hanging="2608"/>
              <w:jc w:val="center"/>
            </w:pPr>
            <w:r w:rsidRPr="00CF3673">
              <w:t>61.5</w:t>
            </w:r>
          </w:p>
        </w:tc>
        <w:tc>
          <w:tcPr>
            <w:tcW w:w="0" w:type="auto"/>
            <w:noWrap/>
            <w:hideMark/>
          </w:tcPr>
          <w:p w:rsidR="00455BE8" w:rsidRPr="00CF3673" w:rsidRDefault="00455BE8" w:rsidP="00455BE8">
            <w:pPr>
              <w:ind w:left="2608" w:hanging="2608"/>
              <w:jc w:val="center"/>
            </w:pPr>
            <w:r w:rsidRPr="00CF3673">
              <w:t>34.6</w:t>
            </w:r>
          </w:p>
        </w:tc>
        <w:tc>
          <w:tcPr>
            <w:tcW w:w="0" w:type="auto"/>
            <w:noWrap/>
            <w:hideMark/>
          </w:tcPr>
          <w:p w:rsidR="00455BE8" w:rsidRPr="00CF3673" w:rsidRDefault="00455BE8" w:rsidP="00455BE8">
            <w:pPr>
              <w:ind w:left="2608" w:hanging="2608"/>
              <w:jc w:val="center"/>
            </w:pPr>
            <w:r w:rsidRPr="00CF3673">
              <w:t>11.5</w:t>
            </w:r>
          </w:p>
        </w:tc>
        <w:tc>
          <w:tcPr>
            <w:tcW w:w="0" w:type="auto"/>
            <w:noWrap/>
            <w:hideMark/>
          </w:tcPr>
          <w:p w:rsidR="00455BE8" w:rsidRPr="00CF3673" w:rsidRDefault="00455BE8" w:rsidP="00455BE8">
            <w:pPr>
              <w:ind w:left="2608" w:hanging="2608"/>
              <w:jc w:val="center"/>
            </w:pPr>
            <w:r w:rsidRPr="00CF3673">
              <w:t>26.9</w:t>
            </w:r>
          </w:p>
        </w:tc>
        <w:tc>
          <w:tcPr>
            <w:tcW w:w="0" w:type="auto"/>
            <w:noWrap/>
            <w:hideMark/>
          </w:tcPr>
          <w:p w:rsidR="00455BE8" w:rsidRPr="00CF3673" w:rsidRDefault="00455BE8" w:rsidP="00455BE8">
            <w:pPr>
              <w:ind w:left="2608" w:hanging="2608"/>
              <w:jc w:val="center"/>
            </w:pPr>
            <w:r w:rsidRPr="00CF3673">
              <w:t>26</w:t>
            </w:r>
          </w:p>
        </w:tc>
      </w:tr>
      <w:tr w:rsidR="001F23D4" w:rsidRPr="00CF3673" w:rsidTr="00F37F37">
        <w:trPr>
          <w:trHeight w:val="300"/>
          <w:jc w:val="center"/>
        </w:trPr>
        <w:tc>
          <w:tcPr>
            <w:tcW w:w="0" w:type="auto"/>
            <w:noWrap/>
            <w:hideMark/>
          </w:tcPr>
          <w:p w:rsidR="00455BE8" w:rsidRPr="00CF3673" w:rsidRDefault="00455BE8" w:rsidP="0046782E">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Moatize</w:t>
            </w:r>
            <w:proofErr w:type="spellEnd"/>
          </w:p>
        </w:tc>
        <w:tc>
          <w:tcPr>
            <w:tcW w:w="0" w:type="auto"/>
            <w:noWrap/>
            <w:hideMark/>
          </w:tcPr>
          <w:p w:rsidR="00455BE8" w:rsidRPr="00CF3673" w:rsidRDefault="00455BE8" w:rsidP="00455BE8">
            <w:pPr>
              <w:ind w:left="2608" w:hanging="2608"/>
              <w:jc w:val="center"/>
            </w:pPr>
            <w:r w:rsidRPr="00CF3673">
              <w:t>28.6</w:t>
            </w:r>
          </w:p>
        </w:tc>
        <w:tc>
          <w:tcPr>
            <w:tcW w:w="0" w:type="auto"/>
            <w:noWrap/>
            <w:hideMark/>
          </w:tcPr>
          <w:p w:rsidR="00455BE8" w:rsidRPr="00CF3673" w:rsidRDefault="00455BE8" w:rsidP="00455BE8">
            <w:pPr>
              <w:ind w:left="2608" w:hanging="2608"/>
              <w:jc w:val="center"/>
            </w:pPr>
            <w:r w:rsidRPr="00CF3673">
              <w:t>0.0</w:t>
            </w:r>
          </w:p>
        </w:tc>
        <w:tc>
          <w:tcPr>
            <w:tcW w:w="0" w:type="auto"/>
            <w:noWrap/>
            <w:hideMark/>
          </w:tcPr>
          <w:p w:rsidR="00455BE8" w:rsidRPr="00CF3673" w:rsidRDefault="00455BE8" w:rsidP="00455BE8">
            <w:pPr>
              <w:ind w:left="2608" w:hanging="2608"/>
              <w:jc w:val="center"/>
            </w:pPr>
            <w:r w:rsidRPr="00CF3673">
              <w:t>0.0</w:t>
            </w:r>
          </w:p>
        </w:tc>
        <w:tc>
          <w:tcPr>
            <w:tcW w:w="0" w:type="auto"/>
            <w:noWrap/>
            <w:hideMark/>
          </w:tcPr>
          <w:p w:rsidR="00455BE8" w:rsidRPr="00CF3673" w:rsidRDefault="00455BE8" w:rsidP="00455BE8">
            <w:pPr>
              <w:ind w:left="2608" w:hanging="2608"/>
              <w:jc w:val="center"/>
            </w:pPr>
            <w:r w:rsidRPr="00CF3673">
              <w:t>28.6</w:t>
            </w:r>
          </w:p>
        </w:tc>
        <w:tc>
          <w:tcPr>
            <w:tcW w:w="0" w:type="auto"/>
            <w:noWrap/>
            <w:hideMark/>
          </w:tcPr>
          <w:p w:rsidR="00455BE8" w:rsidRPr="00CF3673" w:rsidRDefault="00455BE8" w:rsidP="00455BE8">
            <w:pPr>
              <w:ind w:left="2608" w:hanging="2608"/>
              <w:jc w:val="center"/>
            </w:pPr>
            <w:r w:rsidRPr="00CF3673">
              <w:t>7</w:t>
            </w:r>
          </w:p>
        </w:tc>
      </w:tr>
      <w:tr w:rsidR="001F23D4" w:rsidRPr="00CF3673" w:rsidTr="00F37F37">
        <w:trPr>
          <w:trHeight w:val="300"/>
          <w:jc w:val="center"/>
        </w:trPr>
        <w:tc>
          <w:tcPr>
            <w:tcW w:w="0" w:type="auto"/>
            <w:noWrap/>
            <w:hideMark/>
          </w:tcPr>
          <w:p w:rsidR="00455BE8" w:rsidRPr="00CF3673" w:rsidRDefault="00455BE8" w:rsidP="0046782E">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Xai-Xai</w:t>
            </w:r>
            <w:proofErr w:type="spellEnd"/>
          </w:p>
        </w:tc>
        <w:tc>
          <w:tcPr>
            <w:tcW w:w="0" w:type="auto"/>
            <w:noWrap/>
            <w:hideMark/>
          </w:tcPr>
          <w:p w:rsidR="00455BE8" w:rsidRPr="00CF3673" w:rsidRDefault="00455BE8" w:rsidP="00455BE8">
            <w:pPr>
              <w:ind w:left="2608" w:hanging="2608"/>
              <w:jc w:val="center"/>
            </w:pPr>
            <w:r w:rsidRPr="00CF3673">
              <w:t>59.1</w:t>
            </w:r>
          </w:p>
        </w:tc>
        <w:tc>
          <w:tcPr>
            <w:tcW w:w="0" w:type="auto"/>
            <w:noWrap/>
            <w:hideMark/>
          </w:tcPr>
          <w:p w:rsidR="00455BE8" w:rsidRPr="00CF3673" w:rsidRDefault="00455BE8" w:rsidP="00455BE8">
            <w:pPr>
              <w:ind w:left="2608" w:hanging="2608"/>
              <w:jc w:val="center"/>
            </w:pPr>
            <w:r w:rsidRPr="00CF3673">
              <w:t>18.2</w:t>
            </w:r>
          </w:p>
        </w:tc>
        <w:tc>
          <w:tcPr>
            <w:tcW w:w="0" w:type="auto"/>
            <w:noWrap/>
            <w:hideMark/>
          </w:tcPr>
          <w:p w:rsidR="00455BE8" w:rsidRPr="00CF3673" w:rsidRDefault="00455BE8" w:rsidP="00455BE8">
            <w:pPr>
              <w:ind w:left="2608" w:hanging="2608"/>
              <w:jc w:val="center"/>
            </w:pPr>
            <w:r w:rsidRPr="00CF3673">
              <w:t>6.8</w:t>
            </w:r>
          </w:p>
        </w:tc>
        <w:tc>
          <w:tcPr>
            <w:tcW w:w="0" w:type="auto"/>
            <w:noWrap/>
            <w:hideMark/>
          </w:tcPr>
          <w:p w:rsidR="00455BE8" w:rsidRPr="00CF3673" w:rsidRDefault="00455BE8" w:rsidP="00455BE8">
            <w:pPr>
              <w:ind w:left="2608" w:hanging="2608"/>
              <w:jc w:val="center"/>
            </w:pPr>
            <w:r w:rsidRPr="00CF3673">
              <w:t>18.2</w:t>
            </w:r>
          </w:p>
        </w:tc>
        <w:tc>
          <w:tcPr>
            <w:tcW w:w="0" w:type="auto"/>
            <w:noWrap/>
            <w:hideMark/>
          </w:tcPr>
          <w:p w:rsidR="00455BE8" w:rsidRPr="00CF3673" w:rsidRDefault="00455BE8" w:rsidP="00455BE8">
            <w:pPr>
              <w:ind w:left="2608" w:hanging="2608"/>
              <w:jc w:val="center"/>
            </w:pPr>
            <w:r w:rsidRPr="00CF3673">
              <w:t>44</w:t>
            </w:r>
          </w:p>
        </w:tc>
      </w:tr>
      <w:tr w:rsidR="001F23D4" w:rsidRPr="00CF3673" w:rsidTr="00F37F37">
        <w:trPr>
          <w:trHeight w:val="300"/>
          <w:jc w:val="center"/>
        </w:trPr>
        <w:tc>
          <w:tcPr>
            <w:tcW w:w="0" w:type="auto"/>
            <w:tcBorders>
              <w:bottom w:val="double" w:sz="4" w:space="0" w:color="auto"/>
            </w:tcBorders>
            <w:noWrap/>
            <w:hideMark/>
          </w:tcPr>
          <w:p w:rsidR="00455BE8" w:rsidRPr="00CF3673" w:rsidRDefault="00761AD0" w:rsidP="0046782E">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Chókwe</w:t>
            </w:r>
            <w:proofErr w:type="spellEnd"/>
          </w:p>
        </w:tc>
        <w:tc>
          <w:tcPr>
            <w:tcW w:w="0" w:type="auto"/>
            <w:tcBorders>
              <w:bottom w:val="double" w:sz="4" w:space="0" w:color="auto"/>
            </w:tcBorders>
            <w:noWrap/>
            <w:hideMark/>
          </w:tcPr>
          <w:p w:rsidR="00455BE8" w:rsidRPr="00CF3673" w:rsidRDefault="00455BE8" w:rsidP="00455BE8">
            <w:pPr>
              <w:ind w:left="2608" w:hanging="2608"/>
              <w:jc w:val="center"/>
            </w:pPr>
            <w:r w:rsidRPr="00CF3673">
              <w:t>72.4</w:t>
            </w:r>
          </w:p>
        </w:tc>
        <w:tc>
          <w:tcPr>
            <w:tcW w:w="0" w:type="auto"/>
            <w:tcBorders>
              <w:bottom w:val="double" w:sz="4" w:space="0" w:color="auto"/>
            </w:tcBorders>
            <w:noWrap/>
            <w:hideMark/>
          </w:tcPr>
          <w:p w:rsidR="00455BE8" w:rsidRPr="00CF3673" w:rsidRDefault="00455BE8" w:rsidP="00455BE8">
            <w:pPr>
              <w:ind w:left="2608" w:hanging="2608"/>
              <w:jc w:val="center"/>
            </w:pPr>
            <w:r w:rsidRPr="00CF3673">
              <w:t>13.8</w:t>
            </w:r>
          </w:p>
        </w:tc>
        <w:tc>
          <w:tcPr>
            <w:tcW w:w="0" w:type="auto"/>
            <w:tcBorders>
              <w:bottom w:val="double" w:sz="4" w:space="0" w:color="auto"/>
            </w:tcBorders>
            <w:noWrap/>
            <w:hideMark/>
          </w:tcPr>
          <w:p w:rsidR="00455BE8" w:rsidRPr="00CF3673" w:rsidRDefault="00455BE8" w:rsidP="00455BE8">
            <w:pPr>
              <w:ind w:left="2608" w:hanging="2608"/>
              <w:jc w:val="center"/>
            </w:pPr>
            <w:r w:rsidRPr="00CF3673">
              <w:t>0.0</w:t>
            </w:r>
          </w:p>
        </w:tc>
        <w:tc>
          <w:tcPr>
            <w:tcW w:w="0" w:type="auto"/>
            <w:tcBorders>
              <w:bottom w:val="double" w:sz="4" w:space="0" w:color="auto"/>
            </w:tcBorders>
            <w:noWrap/>
            <w:hideMark/>
          </w:tcPr>
          <w:p w:rsidR="00455BE8" w:rsidRPr="00CF3673" w:rsidRDefault="00455BE8" w:rsidP="00455BE8">
            <w:pPr>
              <w:ind w:left="2608" w:hanging="2608"/>
              <w:jc w:val="center"/>
            </w:pPr>
            <w:r w:rsidRPr="00CF3673">
              <w:t>10.3</w:t>
            </w:r>
          </w:p>
        </w:tc>
        <w:tc>
          <w:tcPr>
            <w:tcW w:w="0" w:type="auto"/>
            <w:tcBorders>
              <w:bottom w:val="double" w:sz="4" w:space="0" w:color="auto"/>
            </w:tcBorders>
            <w:noWrap/>
            <w:hideMark/>
          </w:tcPr>
          <w:p w:rsidR="00455BE8" w:rsidRPr="00CF3673" w:rsidRDefault="00455BE8" w:rsidP="00455BE8">
            <w:pPr>
              <w:ind w:left="2608" w:hanging="2608"/>
              <w:jc w:val="center"/>
            </w:pPr>
            <w:r w:rsidRPr="00CF3673">
              <w:t>29</w:t>
            </w:r>
          </w:p>
        </w:tc>
      </w:tr>
      <w:tr w:rsidR="00455BE8" w:rsidRPr="00CF3673" w:rsidTr="00F37F37">
        <w:trPr>
          <w:trHeight w:val="300"/>
          <w:jc w:val="center"/>
        </w:trPr>
        <w:tc>
          <w:tcPr>
            <w:tcW w:w="0" w:type="auto"/>
            <w:gridSpan w:val="6"/>
            <w:tcBorders>
              <w:top w:val="double" w:sz="4" w:space="0" w:color="auto"/>
              <w:bottom w:val="nil"/>
            </w:tcBorders>
            <w:noWrap/>
          </w:tcPr>
          <w:p w:rsidR="00455BE8" w:rsidRPr="00CF3673" w:rsidRDefault="00455BE8" w:rsidP="001F23D4">
            <w:pPr>
              <w:pStyle w:val="Tablenote"/>
              <w:rPr>
                <w:b/>
                <w:lang w:val="pt-PT"/>
              </w:rPr>
            </w:pPr>
            <w:r w:rsidRPr="00CF3673">
              <w:rPr>
                <w:b/>
                <w:lang w:val="pt-PT"/>
              </w:rPr>
              <w:t>Not</w:t>
            </w:r>
            <w:r w:rsidR="001F23D4" w:rsidRPr="00CF3673">
              <w:rPr>
                <w:b/>
                <w:lang w:val="pt-PT"/>
              </w:rPr>
              <w:t>a</w:t>
            </w:r>
            <w:r w:rsidRPr="00CF3673">
              <w:rPr>
                <w:b/>
                <w:lang w:val="pt-PT"/>
              </w:rPr>
              <w:t>:</w:t>
            </w:r>
            <w:r w:rsidRPr="00CF3673">
              <w:rPr>
                <w:lang w:val="pt-PT"/>
              </w:rPr>
              <w:t xml:space="preserve"> 40</w:t>
            </w:r>
            <w:r w:rsidR="001F23D4" w:rsidRPr="00CF3673">
              <w:rPr>
                <w:lang w:val="pt-PT"/>
              </w:rPr>
              <w:t>observações em falta</w:t>
            </w:r>
            <w:r w:rsidRPr="00CF3673">
              <w:rPr>
                <w:lang w:val="pt-PT"/>
              </w:rPr>
              <w:t>.</w:t>
            </w:r>
          </w:p>
        </w:tc>
      </w:tr>
      <w:tr w:rsidR="00455BE8" w:rsidRPr="00CF3673" w:rsidTr="00F37F37">
        <w:trPr>
          <w:trHeight w:val="300"/>
          <w:jc w:val="center"/>
        </w:trPr>
        <w:tc>
          <w:tcPr>
            <w:tcW w:w="0" w:type="auto"/>
            <w:gridSpan w:val="6"/>
            <w:tcBorders>
              <w:top w:val="nil"/>
              <w:bottom w:val="nil"/>
            </w:tcBorders>
            <w:noWrap/>
          </w:tcPr>
          <w:p w:rsidR="00455BE8" w:rsidRPr="00CF3673" w:rsidRDefault="00761AD0" w:rsidP="001F23D4">
            <w:pPr>
              <w:pStyle w:val="Tablenote"/>
              <w:rPr>
                <w:b/>
                <w:lang w:val="pt-PT"/>
              </w:rPr>
            </w:pPr>
            <w:r w:rsidRPr="00CF3673">
              <w:rPr>
                <w:b/>
                <w:lang w:val="pt-PT"/>
              </w:rPr>
              <w:t>Fonte:</w:t>
            </w:r>
            <w:r w:rsidR="00455BE8" w:rsidRPr="00CF3673">
              <w:rPr>
                <w:b/>
                <w:lang w:val="pt-PT"/>
              </w:rPr>
              <w:t>:</w:t>
            </w:r>
            <w:r w:rsidR="00455BE8" w:rsidRPr="00CF3673">
              <w:rPr>
                <w:lang w:val="pt-PT"/>
              </w:rPr>
              <w:t xml:space="preserve"> </w:t>
            </w:r>
            <w:r w:rsidRPr="00CF3673">
              <w:rPr>
                <w:lang w:val="pt-PT"/>
              </w:rPr>
              <w:t>Cálculos</w:t>
            </w:r>
            <w:r w:rsidR="001F23D4" w:rsidRPr="00CF3673">
              <w:rPr>
                <w:lang w:val="pt-PT"/>
              </w:rPr>
              <w:t xml:space="preserve"> dos autores usando </w:t>
            </w:r>
            <w:r w:rsidR="00455BE8" w:rsidRPr="00CF3673">
              <w:rPr>
                <w:lang w:val="pt-PT"/>
              </w:rPr>
              <w:t>IIM 2012.</w:t>
            </w:r>
          </w:p>
        </w:tc>
      </w:tr>
    </w:tbl>
    <w:p w:rsidR="00437C2D" w:rsidRPr="00CF3673" w:rsidRDefault="00437C2D" w:rsidP="001E6DDB">
      <w:pPr>
        <w:pStyle w:val="MainText"/>
        <w:rPr>
          <w:lang w:val="pt-PT"/>
        </w:rPr>
      </w:pPr>
    </w:p>
    <w:p w:rsidR="00536966" w:rsidRPr="00CF3673" w:rsidRDefault="00536966" w:rsidP="001E6DDB">
      <w:pPr>
        <w:pStyle w:val="MainText"/>
        <w:rPr>
          <w:lang w:val="pt-PT"/>
        </w:rPr>
      </w:pPr>
      <w:r w:rsidRPr="00CF3673">
        <w:rPr>
          <w:lang w:val="pt-PT"/>
        </w:rPr>
        <w:t xml:space="preserve">Tendo em conta a perspectiva </w:t>
      </w:r>
      <w:r w:rsidR="00761AD0" w:rsidRPr="00CF3673">
        <w:rPr>
          <w:lang w:val="pt-PT"/>
        </w:rPr>
        <w:t>histórica</w:t>
      </w:r>
      <w:r w:rsidRPr="00CF3673">
        <w:rPr>
          <w:lang w:val="pt-PT"/>
        </w:rPr>
        <w:t xml:space="preserve"> na tabela 9.7, parece que a proporção da empresas constrangidas pelo </w:t>
      </w:r>
      <w:r w:rsidR="00761AD0" w:rsidRPr="00CF3673">
        <w:rPr>
          <w:lang w:val="pt-PT"/>
        </w:rPr>
        <w:t>crédito</w:t>
      </w:r>
      <w:r w:rsidRPr="00CF3673">
        <w:rPr>
          <w:lang w:val="pt-PT"/>
        </w:rPr>
        <w:t xml:space="preserve"> na definição 2 decresceu desde 2006. Enquanto as micro empresa tendem a ser menos constrangidas presentemente, o oposto aplica-se as media-empresas. Duma maneira geral, empresas me Maputo tornam se menos constrangidas pelo credito enquanto empresas nas outras províncias tornaram mais constrangidas pelo credito. </w:t>
      </w:r>
    </w:p>
    <w:p w:rsidR="000249F4" w:rsidRPr="00CF3673" w:rsidRDefault="00332662" w:rsidP="00215639">
      <w:pPr>
        <w:pStyle w:val="TableTitle"/>
        <w:rPr>
          <w:lang w:val="pt-PT"/>
        </w:rPr>
      </w:pPr>
      <w:bookmarkStart w:id="87" w:name="_Toc360720502"/>
      <w:r w:rsidRPr="00CF3673">
        <w:rPr>
          <w:lang w:val="pt-PT"/>
        </w:rPr>
        <w:t>Tab</w:t>
      </w:r>
      <w:r w:rsidR="00536966" w:rsidRPr="00CF3673">
        <w:rPr>
          <w:lang w:val="pt-PT"/>
        </w:rPr>
        <w:t>e</w:t>
      </w:r>
      <w:r w:rsidRPr="00CF3673">
        <w:rPr>
          <w:lang w:val="pt-PT"/>
        </w:rPr>
        <w:t>l</w:t>
      </w:r>
      <w:r w:rsidR="00536966" w:rsidRPr="00CF3673">
        <w:rPr>
          <w:lang w:val="pt-PT"/>
        </w:rPr>
        <w:t>a</w:t>
      </w:r>
      <w:r w:rsidRPr="00CF3673">
        <w:rPr>
          <w:lang w:val="pt-PT"/>
        </w:rPr>
        <w:t xml:space="preserve"> </w:t>
      </w:r>
      <w:r w:rsidR="006102AC" w:rsidRPr="00CF3673">
        <w:rPr>
          <w:lang w:val="pt-PT"/>
        </w:rPr>
        <w:t>9</w:t>
      </w:r>
      <w:r w:rsidRPr="00CF3673">
        <w:rPr>
          <w:lang w:val="pt-PT"/>
        </w:rPr>
        <w:t>.</w:t>
      </w:r>
      <w:r w:rsidR="00455BE8" w:rsidRPr="00CF3673">
        <w:rPr>
          <w:lang w:val="pt-PT"/>
        </w:rPr>
        <w:t>7</w:t>
      </w:r>
      <w:r w:rsidR="001C3593" w:rsidRPr="00CF3673">
        <w:rPr>
          <w:lang w:val="pt-PT"/>
        </w:rPr>
        <w:t xml:space="preserve">: </w:t>
      </w:r>
      <w:r w:rsidR="00761AD0" w:rsidRPr="00CF3673">
        <w:rPr>
          <w:lang w:val="pt-PT"/>
        </w:rPr>
        <w:t>Composição</w:t>
      </w:r>
      <w:r w:rsidR="00536966" w:rsidRPr="00CF3673">
        <w:rPr>
          <w:lang w:val="pt-PT"/>
        </w:rPr>
        <w:t xml:space="preserve"> da empresas constrangidas pelo credito, </w:t>
      </w:r>
      <w:r w:rsidR="009627E4" w:rsidRPr="00CF3673">
        <w:rPr>
          <w:lang w:val="pt-PT"/>
        </w:rPr>
        <w:t xml:space="preserve">2006-2011, </w:t>
      </w:r>
      <w:bookmarkEnd w:id="87"/>
      <w:r w:rsidR="00536966" w:rsidRPr="00CF3673">
        <w:rPr>
          <w:lang w:val="pt-PT"/>
        </w:rPr>
        <w:t>%</w:t>
      </w:r>
    </w:p>
    <w:tbl>
      <w:tblPr>
        <w:tblStyle w:val="StandardTable"/>
        <w:tblW w:w="0" w:type="auto"/>
        <w:jc w:val="center"/>
        <w:tblLayout w:type="fixed"/>
        <w:tblLook w:val="04A0" w:firstRow="1" w:lastRow="0" w:firstColumn="1" w:lastColumn="0" w:noHBand="0" w:noVBand="1"/>
      </w:tblPr>
      <w:tblGrid>
        <w:gridCol w:w="1674"/>
        <w:gridCol w:w="1708"/>
        <w:gridCol w:w="1708"/>
        <w:gridCol w:w="1708"/>
        <w:gridCol w:w="1708"/>
        <w:gridCol w:w="1100"/>
      </w:tblGrid>
      <w:tr w:rsidR="009627E4" w:rsidRPr="00CF3673" w:rsidTr="00F37F37">
        <w:trPr>
          <w:cnfStyle w:val="100000000000" w:firstRow="1" w:lastRow="0" w:firstColumn="0" w:lastColumn="0" w:oddVBand="0" w:evenVBand="0" w:oddHBand="0" w:evenHBand="0" w:firstRowFirstColumn="0" w:firstRowLastColumn="0" w:lastRowFirstColumn="0" w:lastRowLastColumn="0"/>
          <w:trHeight w:val="300"/>
          <w:jc w:val="center"/>
        </w:trPr>
        <w:tc>
          <w:tcPr>
            <w:tcW w:w="1674" w:type="dxa"/>
            <w:tcBorders>
              <w:bottom w:val="nil"/>
            </w:tcBorders>
            <w:noWrap/>
          </w:tcPr>
          <w:p w:rsidR="009627E4" w:rsidRPr="00CF3673" w:rsidRDefault="009627E4" w:rsidP="006D4EBE">
            <w:pPr>
              <w:rPr>
                <w:rFonts w:ascii="Calibri" w:eastAsia="Times New Roman" w:hAnsi="Calibri" w:cs="Times New Roman"/>
                <w:lang w:eastAsia="zh-CN"/>
              </w:rPr>
            </w:pPr>
          </w:p>
        </w:tc>
        <w:tc>
          <w:tcPr>
            <w:tcW w:w="3416" w:type="dxa"/>
            <w:gridSpan w:val="2"/>
            <w:tcBorders>
              <w:bottom w:val="nil"/>
            </w:tcBorders>
            <w:noWrap/>
          </w:tcPr>
          <w:p w:rsidR="009627E4" w:rsidRPr="00CF3673" w:rsidRDefault="009627E4" w:rsidP="009627E4">
            <w:pPr>
              <w:jc w:val="center"/>
              <w:rPr>
                <w:rFonts w:ascii="Calibri" w:eastAsia="Times New Roman" w:hAnsi="Calibri" w:cs="Calibri"/>
                <w:color w:val="000000"/>
                <w:u w:val="single"/>
                <w:lang w:eastAsia="zh-CN"/>
              </w:rPr>
            </w:pPr>
            <w:r w:rsidRPr="00CF3673">
              <w:rPr>
                <w:rFonts w:ascii="Calibri" w:eastAsia="Times New Roman" w:hAnsi="Calibri" w:cs="Calibri"/>
                <w:color w:val="000000"/>
                <w:u w:val="single"/>
                <w:lang w:eastAsia="zh-CN"/>
              </w:rPr>
              <w:t>2006</w:t>
            </w:r>
          </w:p>
        </w:tc>
        <w:tc>
          <w:tcPr>
            <w:tcW w:w="3416" w:type="dxa"/>
            <w:gridSpan w:val="2"/>
            <w:tcBorders>
              <w:bottom w:val="nil"/>
            </w:tcBorders>
            <w:noWrap/>
          </w:tcPr>
          <w:p w:rsidR="009627E4" w:rsidRPr="00CF3673" w:rsidRDefault="009627E4" w:rsidP="009627E4">
            <w:pPr>
              <w:jc w:val="center"/>
              <w:rPr>
                <w:rFonts w:ascii="Calibri" w:eastAsia="Times New Roman" w:hAnsi="Calibri" w:cs="Calibri"/>
                <w:color w:val="000000"/>
                <w:u w:val="single"/>
                <w:lang w:eastAsia="zh-CN"/>
              </w:rPr>
            </w:pPr>
            <w:r w:rsidRPr="00CF3673">
              <w:rPr>
                <w:rFonts w:ascii="Calibri" w:eastAsia="Times New Roman" w:hAnsi="Calibri" w:cs="Calibri"/>
                <w:color w:val="000000"/>
                <w:u w:val="single"/>
                <w:lang w:eastAsia="zh-CN"/>
              </w:rPr>
              <w:t>2012</w:t>
            </w:r>
          </w:p>
        </w:tc>
        <w:tc>
          <w:tcPr>
            <w:tcW w:w="1100" w:type="dxa"/>
            <w:tcBorders>
              <w:bottom w:val="nil"/>
            </w:tcBorders>
            <w:noWrap/>
          </w:tcPr>
          <w:p w:rsidR="009627E4" w:rsidRPr="00CF3673" w:rsidRDefault="009627E4" w:rsidP="001A3B39">
            <w:pPr>
              <w:rPr>
                <w:rFonts w:ascii="Calibri" w:eastAsia="Times New Roman" w:hAnsi="Calibri" w:cs="Calibri"/>
                <w:color w:val="000000"/>
                <w:lang w:eastAsia="zh-CN"/>
              </w:rPr>
            </w:pPr>
          </w:p>
        </w:tc>
      </w:tr>
      <w:tr w:rsidR="009627E4" w:rsidRPr="00CF3673" w:rsidTr="00F37F37">
        <w:trPr>
          <w:trHeight w:val="300"/>
          <w:jc w:val="center"/>
        </w:trPr>
        <w:tc>
          <w:tcPr>
            <w:tcW w:w="1674" w:type="dxa"/>
            <w:tcBorders>
              <w:top w:val="nil"/>
              <w:bottom w:val="single" w:sz="4" w:space="0" w:color="auto"/>
            </w:tcBorders>
            <w:noWrap/>
            <w:hideMark/>
          </w:tcPr>
          <w:p w:rsidR="009627E4" w:rsidRPr="00CF3673" w:rsidRDefault="009627E4" w:rsidP="006D4EBE">
            <w:pPr>
              <w:rPr>
                <w:rFonts w:ascii="Calibri" w:eastAsia="Times New Roman" w:hAnsi="Calibri" w:cs="Times New Roman"/>
                <w:lang w:eastAsia="zh-CN"/>
              </w:rPr>
            </w:pPr>
          </w:p>
        </w:tc>
        <w:tc>
          <w:tcPr>
            <w:tcW w:w="1708" w:type="dxa"/>
            <w:tcBorders>
              <w:top w:val="nil"/>
              <w:bottom w:val="single" w:sz="4" w:space="0" w:color="auto"/>
            </w:tcBorders>
            <w:noWrap/>
            <w:hideMark/>
          </w:tcPr>
          <w:p w:rsidR="009627E4" w:rsidRPr="00CF3673" w:rsidRDefault="00761AD0" w:rsidP="00CD28B0">
            <w:pPr>
              <w:rPr>
                <w:rFonts w:ascii="Calibri" w:eastAsia="Times New Roman" w:hAnsi="Calibri" w:cs="Calibri"/>
                <w:color w:val="000000"/>
                <w:lang w:eastAsia="zh-CN"/>
              </w:rPr>
            </w:pPr>
            <w:r w:rsidRPr="00CF3673">
              <w:rPr>
                <w:rFonts w:ascii="Calibri" w:eastAsia="Times New Roman" w:hAnsi="Calibri" w:cs="Calibri"/>
                <w:color w:val="000000"/>
                <w:lang w:eastAsia="zh-CN"/>
              </w:rPr>
              <w:t>Constrangido</w:t>
            </w:r>
            <w:r w:rsidR="009627E4" w:rsidRPr="00CF3673">
              <w:rPr>
                <w:rFonts w:ascii="Calibri" w:eastAsia="Times New Roman" w:hAnsi="Calibri" w:cs="Calibri"/>
                <w:color w:val="000000"/>
                <w:lang w:eastAsia="zh-CN"/>
              </w:rPr>
              <w:t xml:space="preserve"> </w:t>
            </w:r>
            <w:proofErr w:type="spellStart"/>
            <w:r w:rsidR="009627E4" w:rsidRPr="00CF3673">
              <w:rPr>
                <w:rFonts w:ascii="Calibri" w:eastAsia="Times New Roman" w:hAnsi="Calibri" w:cs="Calibri"/>
                <w:color w:val="000000"/>
                <w:lang w:eastAsia="zh-CN"/>
              </w:rPr>
              <w:t>def</w:t>
            </w:r>
            <w:proofErr w:type="spellEnd"/>
            <w:r w:rsidR="009627E4" w:rsidRPr="00CF3673">
              <w:rPr>
                <w:rFonts w:ascii="Calibri" w:eastAsia="Times New Roman" w:hAnsi="Calibri" w:cs="Calibri"/>
                <w:color w:val="000000"/>
                <w:lang w:eastAsia="zh-CN"/>
              </w:rPr>
              <w:t>. 1</w:t>
            </w:r>
          </w:p>
        </w:tc>
        <w:tc>
          <w:tcPr>
            <w:tcW w:w="1708" w:type="dxa"/>
            <w:tcBorders>
              <w:top w:val="nil"/>
              <w:bottom w:val="single" w:sz="4" w:space="0" w:color="auto"/>
            </w:tcBorders>
            <w:noWrap/>
            <w:hideMark/>
          </w:tcPr>
          <w:p w:rsidR="009627E4" w:rsidRPr="00CF3673" w:rsidRDefault="00761AD0" w:rsidP="00CD28B0">
            <w:pPr>
              <w:rPr>
                <w:rFonts w:ascii="Calibri" w:eastAsia="Times New Roman" w:hAnsi="Calibri" w:cs="Calibri"/>
                <w:color w:val="000000"/>
                <w:lang w:eastAsia="zh-CN"/>
              </w:rPr>
            </w:pPr>
            <w:r w:rsidRPr="00CF3673">
              <w:rPr>
                <w:rFonts w:ascii="Calibri" w:eastAsia="Times New Roman" w:hAnsi="Calibri" w:cs="Calibri"/>
                <w:color w:val="000000"/>
                <w:lang w:eastAsia="zh-CN"/>
              </w:rPr>
              <w:t>Constrangido</w:t>
            </w:r>
            <w:r w:rsidR="009627E4" w:rsidRPr="00CF3673">
              <w:rPr>
                <w:rFonts w:ascii="Calibri" w:eastAsia="Times New Roman" w:hAnsi="Calibri" w:cs="Calibri"/>
                <w:color w:val="000000"/>
                <w:lang w:eastAsia="zh-CN"/>
              </w:rPr>
              <w:t xml:space="preserve"> </w:t>
            </w:r>
            <w:proofErr w:type="spellStart"/>
            <w:r w:rsidR="009627E4" w:rsidRPr="00CF3673">
              <w:rPr>
                <w:rFonts w:ascii="Calibri" w:eastAsia="Times New Roman" w:hAnsi="Calibri" w:cs="Calibri"/>
                <w:color w:val="000000"/>
                <w:lang w:eastAsia="zh-CN"/>
              </w:rPr>
              <w:t>def</w:t>
            </w:r>
            <w:proofErr w:type="spellEnd"/>
            <w:r w:rsidR="009627E4" w:rsidRPr="00CF3673">
              <w:rPr>
                <w:rFonts w:ascii="Calibri" w:eastAsia="Times New Roman" w:hAnsi="Calibri" w:cs="Calibri"/>
                <w:color w:val="000000"/>
                <w:lang w:eastAsia="zh-CN"/>
              </w:rPr>
              <w:t>. 2</w:t>
            </w:r>
          </w:p>
        </w:tc>
        <w:tc>
          <w:tcPr>
            <w:tcW w:w="1708" w:type="dxa"/>
            <w:tcBorders>
              <w:top w:val="nil"/>
              <w:bottom w:val="single" w:sz="4" w:space="0" w:color="auto"/>
            </w:tcBorders>
            <w:noWrap/>
            <w:hideMark/>
          </w:tcPr>
          <w:p w:rsidR="009627E4" w:rsidRPr="00CF3673" w:rsidRDefault="00761AD0" w:rsidP="00CD28B0">
            <w:pPr>
              <w:rPr>
                <w:rFonts w:ascii="Calibri" w:eastAsia="Times New Roman" w:hAnsi="Calibri" w:cs="Calibri"/>
                <w:color w:val="000000"/>
                <w:lang w:eastAsia="zh-CN"/>
              </w:rPr>
            </w:pPr>
            <w:r w:rsidRPr="00CF3673">
              <w:rPr>
                <w:rFonts w:ascii="Calibri" w:eastAsia="Times New Roman" w:hAnsi="Calibri" w:cs="Calibri"/>
                <w:color w:val="000000"/>
                <w:lang w:eastAsia="zh-CN"/>
              </w:rPr>
              <w:t>Constrangido</w:t>
            </w:r>
            <w:r w:rsidR="009627E4" w:rsidRPr="00CF3673">
              <w:rPr>
                <w:rFonts w:ascii="Calibri" w:eastAsia="Times New Roman" w:hAnsi="Calibri" w:cs="Calibri"/>
                <w:color w:val="000000"/>
                <w:lang w:eastAsia="zh-CN"/>
              </w:rPr>
              <w:t xml:space="preserve"> </w:t>
            </w:r>
            <w:proofErr w:type="spellStart"/>
            <w:r w:rsidR="009627E4" w:rsidRPr="00CF3673">
              <w:rPr>
                <w:rFonts w:ascii="Calibri" w:eastAsia="Times New Roman" w:hAnsi="Calibri" w:cs="Calibri"/>
                <w:color w:val="000000"/>
                <w:lang w:eastAsia="zh-CN"/>
              </w:rPr>
              <w:t>def</w:t>
            </w:r>
            <w:proofErr w:type="spellEnd"/>
            <w:r w:rsidR="009627E4" w:rsidRPr="00CF3673">
              <w:rPr>
                <w:rFonts w:ascii="Calibri" w:eastAsia="Times New Roman" w:hAnsi="Calibri" w:cs="Calibri"/>
                <w:color w:val="000000"/>
                <w:lang w:eastAsia="zh-CN"/>
              </w:rPr>
              <w:t>. 1</w:t>
            </w:r>
          </w:p>
        </w:tc>
        <w:tc>
          <w:tcPr>
            <w:tcW w:w="1708" w:type="dxa"/>
            <w:tcBorders>
              <w:top w:val="nil"/>
              <w:bottom w:val="single" w:sz="4" w:space="0" w:color="auto"/>
            </w:tcBorders>
            <w:noWrap/>
            <w:hideMark/>
          </w:tcPr>
          <w:p w:rsidR="009627E4" w:rsidRPr="00CF3673" w:rsidRDefault="00761AD0" w:rsidP="00CD28B0">
            <w:pPr>
              <w:rPr>
                <w:rFonts w:ascii="Calibri" w:eastAsia="Times New Roman" w:hAnsi="Calibri" w:cs="Calibri"/>
                <w:color w:val="000000"/>
                <w:lang w:eastAsia="zh-CN"/>
              </w:rPr>
            </w:pPr>
            <w:r w:rsidRPr="00CF3673">
              <w:rPr>
                <w:rFonts w:ascii="Calibri" w:eastAsia="Times New Roman" w:hAnsi="Calibri" w:cs="Calibri"/>
                <w:color w:val="000000"/>
                <w:lang w:eastAsia="zh-CN"/>
              </w:rPr>
              <w:t>Constrangido</w:t>
            </w:r>
            <w:r w:rsidR="009627E4" w:rsidRPr="00CF3673">
              <w:rPr>
                <w:rFonts w:ascii="Calibri" w:eastAsia="Times New Roman" w:hAnsi="Calibri" w:cs="Calibri"/>
                <w:color w:val="000000"/>
                <w:lang w:eastAsia="zh-CN"/>
              </w:rPr>
              <w:t xml:space="preserve"> </w:t>
            </w:r>
            <w:proofErr w:type="spellStart"/>
            <w:r w:rsidR="009627E4" w:rsidRPr="00CF3673">
              <w:rPr>
                <w:rFonts w:ascii="Calibri" w:eastAsia="Times New Roman" w:hAnsi="Calibri" w:cs="Calibri"/>
                <w:color w:val="000000"/>
                <w:lang w:eastAsia="zh-CN"/>
              </w:rPr>
              <w:t>def</w:t>
            </w:r>
            <w:proofErr w:type="spellEnd"/>
            <w:r w:rsidR="009627E4" w:rsidRPr="00CF3673">
              <w:rPr>
                <w:rFonts w:ascii="Calibri" w:eastAsia="Times New Roman" w:hAnsi="Calibri" w:cs="Calibri"/>
                <w:color w:val="000000"/>
                <w:lang w:eastAsia="zh-CN"/>
              </w:rPr>
              <w:t>. 2</w:t>
            </w:r>
          </w:p>
        </w:tc>
        <w:tc>
          <w:tcPr>
            <w:tcW w:w="1100" w:type="dxa"/>
            <w:tcBorders>
              <w:top w:val="nil"/>
              <w:bottom w:val="single" w:sz="4" w:space="0" w:color="auto"/>
            </w:tcBorders>
            <w:noWrap/>
            <w:hideMark/>
          </w:tcPr>
          <w:p w:rsidR="009627E4" w:rsidRPr="00CF3673" w:rsidRDefault="00CD28B0" w:rsidP="00CD28B0">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Nr</w:t>
            </w:r>
            <w:proofErr w:type="spellEnd"/>
            <w:r w:rsidR="00F37F37" w:rsidRPr="00CF3673">
              <w:rPr>
                <w:rFonts w:ascii="Calibri" w:eastAsia="Times New Roman" w:hAnsi="Calibri" w:cs="Calibri"/>
                <w:color w:val="000000"/>
                <w:lang w:eastAsia="zh-CN"/>
              </w:rPr>
              <w:t xml:space="preserve">. </w:t>
            </w:r>
            <w:r w:rsidRPr="00CF3673">
              <w:rPr>
                <w:rFonts w:ascii="Calibri" w:eastAsia="Times New Roman" w:hAnsi="Calibri" w:cs="Calibri"/>
                <w:color w:val="000000"/>
                <w:lang w:eastAsia="zh-CN"/>
              </w:rPr>
              <w:t>d</w:t>
            </w:r>
            <w:r w:rsidR="00F37F37" w:rsidRPr="00CF3673">
              <w:rPr>
                <w:rFonts w:ascii="Calibri" w:eastAsia="Times New Roman" w:hAnsi="Calibri" w:cs="Calibri"/>
                <w:color w:val="000000"/>
                <w:lang w:eastAsia="zh-CN"/>
              </w:rPr>
              <w:t xml:space="preserve"> o</w:t>
            </w:r>
            <w:r w:rsidR="009627E4" w:rsidRPr="00CF3673">
              <w:rPr>
                <w:rFonts w:ascii="Calibri" w:eastAsia="Times New Roman" w:hAnsi="Calibri" w:cs="Calibri"/>
                <w:color w:val="000000"/>
                <w:lang w:eastAsia="zh-CN"/>
              </w:rPr>
              <w:t>bs.</w:t>
            </w:r>
          </w:p>
        </w:tc>
      </w:tr>
      <w:tr w:rsidR="009627E4" w:rsidRPr="00CF3673" w:rsidTr="00F37F37">
        <w:trPr>
          <w:trHeight w:val="300"/>
          <w:jc w:val="center"/>
        </w:trPr>
        <w:tc>
          <w:tcPr>
            <w:tcW w:w="1674" w:type="dxa"/>
            <w:tcBorders>
              <w:top w:val="single" w:sz="4" w:space="0" w:color="auto"/>
            </w:tcBorders>
            <w:noWrap/>
            <w:hideMark/>
          </w:tcPr>
          <w:p w:rsidR="009627E4" w:rsidRPr="00CF3673" w:rsidRDefault="00CD28B0" w:rsidP="006D4EBE">
            <w:pPr>
              <w:rPr>
                <w:rFonts w:ascii="Calibri" w:eastAsia="Times New Roman" w:hAnsi="Calibri" w:cs="Times New Roman"/>
                <w:lang w:eastAsia="zh-CN"/>
              </w:rPr>
            </w:pPr>
            <w:r w:rsidRPr="00CF3673">
              <w:rPr>
                <w:rFonts w:ascii="Calibri" w:eastAsia="Times New Roman" w:hAnsi="Calibri" w:cs="Times New Roman"/>
                <w:lang w:eastAsia="zh-CN"/>
              </w:rPr>
              <w:t>Todas</w:t>
            </w:r>
          </w:p>
        </w:tc>
        <w:tc>
          <w:tcPr>
            <w:tcW w:w="1708" w:type="dxa"/>
            <w:tcBorders>
              <w:top w:val="single" w:sz="4" w:space="0" w:color="auto"/>
            </w:tcBorders>
            <w:noWrap/>
            <w:hideMark/>
          </w:tcPr>
          <w:p w:rsidR="009627E4" w:rsidRPr="00CF3673" w:rsidRDefault="009627E4" w:rsidP="00927BDE">
            <w:pPr>
              <w:jc w:val="center"/>
            </w:pPr>
            <w:r w:rsidRPr="00CF3673">
              <w:t>3.9</w:t>
            </w:r>
          </w:p>
        </w:tc>
        <w:tc>
          <w:tcPr>
            <w:tcW w:w="1708" w:type="dxa"/>
            <w:tcBorders>
              <w:top w:val="single" w:sz="4" w:space="0" w:color="auto"/>
            </w:tcBorders>
            <w:noWrap/>
            <w:hideMark/>
          </w:tcPr>
          <w:p w:rsidR="009627E4" w:rsidRPr="00CF3673" w:rsidRDefault="009627E4" w:rsidP="00927BDE">
            <w:pPr>
              <w:jc w:val="center"/>
            </w:pPr>
            <w:r w:rsidRPr="00CF3673">
              <w:t>22.2</w:t>
            </w:r>
          </w:p>
        </w:tc>
        <w:tc>
          <w:tcPr>
            <w:tcW w:w="1708" w:type="dxa"/>
            <w:tcBorders>
              <w:top w:val="single" w:sz="4" w:space="0" w:color="auto"/>
            </w:tcBorders>
            <w:noWrap/>
            <w:hideMark/>
          </w:tcPr>
          <w:p w:rsidR="009627E4" w:rsidRPr="00CF3673" w:rsidRDefault="009627E4" w:rsidP="00927BDE">
            <w:pPr>
              <w:jc w:val="center"/>
            </w:pPr>
            <w:r w:rsidRPr="00CF3673">
              <w:t>3.4</w:t>
            </w:r>
          </w:p>
        </w:tc>
        <w:tc>
          <w:tcPr>
            <w:tcW w:w="1708" w:type="dxa"/>
            <w:tcBorders>
              <w:top w:val="single" w:sz="4" w:space="0" w:color="auto"/>
            </w:tcBorders>
            <w:noWrap/>
            <w:hideMark/>
          </w:tcPr>
          <w:p w:rsidR="009627E4" w:rsidRPr="00CF3673" w:rsidRDefault="009627E4" w:rsidP="00927BDE">
            <w:pPr>
              <w:jc w:val="center"/>
            </w:pPr>
            <w:r w:rsidRPr="00CF3673">
              <w:t>19.3</w:t>
            </w:r>
          </w:p>
        </w:tc>
        <w:tc>
          <w:tcPr>
            <w:tcW w:w="1100" w:type="dxa"/>
            <w:tcBorders>
              <w:top w:val="single" w:sz="4" w:space="0" w:color="auto"/>
            </w:tcBorders>
            <w:noWrap/>
            <w:hideMark/>
          </w:tcPr>
          <w:p w:rsidR="009627E4" w:rsidRPr="00CF3673" w:rsidRDefault="009627E4" w:rsidP="00927BDE">
            <w:pPr>
              <w:jc w:val="center"/>
            </w:pPr>
            <w:r w:rsidRPr="00CF3673">
              <w:t>207</w:t>
            </w:r>
          </w:p>
        </w:tc>
      </w:tr>
      <w:tr w:rsidR="009627E4" w:rsidRPr="00CF3673" w:rsidTr="00F37F37">
        <w:trPr>
          <w:trHeight w:val="300"/>
          <w:jc w:val="center"/>
        </w:trPr>
        <w:tc>
          <w:tcPr>
            <w:tcW w:w="1674" w:type="dxa"/>
            <w:noWrap/>
            <w:hideMark/>
          </w:tcPr>
          <w:p w:rsidR="009627E4" w:rsidRPr="00CF3673" w:rsidRDefault="009627E4" w:rsidP="006D4EBE">
            <w:pPr>
              <w:rPr>
                <w:rFonts w:ascii="Calibri" w:eastAsia="Times New Roman" w:hAnsi="Calibri" w:cs="Times New Roman"/>
                <w:lang w:eastAsia="zh-CN"/>
              </w:rPr>
            </w:pPr>
            <w:r w:rsidRPr="00CF3673">
              <w:rPr>
                <w:rFonts w:ascii="Calibri" w:eastAsia="Times New Roman" w:hAnsi="Calibri" w:cs="Times New Roman"/>
                <w:lang w:eastAsia="zh-CN"/>
              </w:rPr>
              <w:t>Micro</w:t>
            </w:r>
          </w:p>
        </w:tc>
        <w:tc>
          <w:tcPr>
            <w:tcW w:w="1708" w:type="dxa"/>
            <w:noWrap/>
            <w:hideMark/>
          </w:tcPr>
          <w:p w:rsidR="009627E4" w:rsidRPr="00CF3673" w:rsidRDefault="009627E4" w:rsidP="00927BDE">
            <w:pPr>
              <w:jc w:val="center"/>
            </w:pPr>
            <w:r w:rsidRPr="00CF3673">
              <w:t>8.2</w:t>
            </w:r>
          </w:p>
        </w:tc>
        <w:tc>
          <w:tcPr>
            <w:tcW w:w="1708" w:type="dxa"/>
            <w:noWrap/>
            <w:hideMark/>
          </w:tcPr>
          <w:p w:rsidR="009627E4" w:rsidRPr="00CF3673" w:rsidRDefault="009627E4" w:rsidP="00927BDE">
            <w:pPr>
              <w:jc w:val="center"/>
            </w:pPr>
            <w:r w:rsidRPr="00CF3673">
              <w:t>35.3</w:t>
            </w:r>
          </w:p>
        </w:tc>
        <w:tc>
          <w:tcPr>
            <w:tcW w:w="1708" w:type="dxa"/>
            <w:noWrap/>
            <w:hideMark/>
          </w:tcPr>
          <w:p w:rsidR="009627E4" w:rsidRPr="00CF3673" w:rsidRDefault="009627E4" w:rsidP="00927BDE">
            <w:pPr>
              <w:jc w:val="center"/>
            </w:pPr>
            <w:r w:rsidRPr="00CF3673">
              <w:t>5.9</w:t>
            </w:r>
          </w:p>
        </w:tc>
        <w:tc>
          <w:tcPr>
            <w:tcW w:w="1708" w:type="dxa"/>
            <w:noWrap/>
            <w:hideMark/>
          </w:tcPr>
          <w:p w:rsidR="009627E4" w:rsidRPr="00CF3673" w:rsidRDefault="009627E4" w:rsidP="00927BDE">
            <w:pPr>
              <w:jc w:val="center"/>
            </w:pPr>
            <w:r w:rsidRPr="00CF3673">
              <w:t>30.6</w:t>
            </w:r>
          </w:p>
        </w:tc>
        <w:tc>
          <w:tcPr>
            <w:tcW w:w="1100" w:type="dxa"/>
            <w:noWrap/>
            <w:hideMark/>
          </w:tcPr>
          <w:p w:rsidR="009627E4" w:rsidRPr="00CF3673" w:rsidRDefault="009627E4" w:rsidP="00927BDE">
            <w:pPr>
              <w:jc w:val="center"/>
            </w:pPr>
            <w:r w:rsidRPr="00CF3673">
              <w:t>85</w:t>
            </w:r>
          </w:p>
        </w:tc>
      </w:tr>
      <w:tr w:rsidR="009627E4" w:rsidRPr="00CF3673" w:rsidTr="00F37F37">
        <w:trPr>
          <w:trHeight w:val="300"/>
          <w:jc w:val="center"/>
        </w:trPr>
        <w:tc>
          <w:tcPr>
            <w:tcW w:w="1674" w:type="dxa"/>
            <w:tcBorders>
              <w:bottom w:val="nil"/>
            </w:tcBorders>
            <w:noWrap/>
            <w:hideMark/>
          </w:tcPr>
          <w:p w:rsidR="009627E4" w:rsidRPr="00CF3673" w:rsidRDefault="00CD28B0" w:rsidP="006D4EBE">
            <w:pPr>
              <w:rPr>
                <w:rFonts w:ascii="Calibri" w:eastAsia="Times New Roman" w:hAnsi="Calibri" w:cs="Times New Roman"/>
                <w:lang w:eastAsia="zh-CN"/>
              </w:rPr>
            </w:pPr>
            <w:r w:rsidRPr="00CF3673">
              <w:rPr>
                <w:rFonts w:ascii="Calibri" w:eastAsia="Times New Roman" w:hAnsi="Calibri" w:cs="Times New Roman"/>
                <w:lang w:eastAsia="zh-CN"/>
              </w:rPr>
              <w:t>Pequenas</w:t>
            </w:r>
          </w:p>
        </w:tc>
        <w:tc>
          <w:tcPr>
            <w:tcW w:w="1708" w:type="dxa"/>
            <w:tcBorders>
              <w:bottom w:val="nil"/>
            </w:tcBorders>
            <w:noWrap/>
            <w:hideMark/>
          </w:tcPr>
          <w:p w:rsidR="009627E4" w:rsidRPr="00CF3673" w:rsidRDefault="009627E4" w:rsidP="00927BDE">
            <w:pPr>
              <w:jc w:val="center"/>
            </w:pPr>
            <w:r w:rsidRPr="00CF3673">
              <w:t>1.1</w:t>
            </w:r>
          </w:p>
        </w:tc>
        <w:tc>
          <w:tcPr>
            <w:tcW w:w="1708" w:type="dxa"/>
            <w:tcBorders>
              <w:bottom w:val="nil"/>
            </w:tcBorders>
            <w:noWrap/>
            <w:hideMark/>
          </w:tcPr>
          <w:p w:rsidR="009627E4" w:rsidRPr="00CF3673" w:rsidRDefault="009627E4" w:rsidP="00927BDE">
            <w:pPr>
              <w:jc w:val="center"/>
            </w:pPr>
            <w:r w:rsidRPr="00CF3673">
              <w:t>15.7</w:t>
            </w:r>
          </w:p>
        </w:tc>
        <w:tc>
          <w:tcPr>
            <w:tcW w:w="1708" w:type="dxa"/>
            <w:tcBorders>
              <w:bottom w:val="nil"/>
            </w:tcBorders>
            <w:noWrap/>
            <w:hideMark/>
          </w:tcPr>
          <w:p w:rsidR="009627E4" w:rsidRPr="00CF3673" w:rsidRDefault="009627E4" w:rsidP="00927BDE">
            <w:pPr>
              <w:jc w:val="center"/>
            </w:pPr>
            <w:r w:rsidRPr="00CF3673">
              <w:t>2.2</w:t>
            </w:r>
          </w:p>
        </w:tc>
        <w:tc>
          <w:tcPr>
            <w:tcW w:w="1708" w:type="dxa"/>
            <w:tcBorders>
              <w:bottom w:val="nil"/>
            </w:tcBorders>
            <w:noWrap/>
            <w:hideMark/>
          </w:tcPr>
          <w:p w:rsidR="009627E4" w:rsidRPr="00CF3673" w:rsidRDefault="009627E4" w:rsidP="00927BDE">
            <w:pPr>
              <w:jc w:val="center"/>
            </w:pPr>
            <w:r w:rsidRPr="00CF3673">
              <w:t>11.2</w:t>
            </w:r>
          </w:p>
        </w:tc>
        <w:tc>
          <w:tcPr>
            <w:tcW w:w="1100" w:type="dxa"/>
            <w:tcBorders>
              <w:bottom w:val="nil"/>
            </w:tcBorders>
            <w:noWrap/>
            <w:hideMark/>
          </w:tcPr>
          <w:p w:rsidR="009627E4" w:rsidRPr="00CF3673" w:rsidRDefault="009627E4" w:rsidP="00927BDE">
            <w:pPr>
              <w:jc w:val="center"/>
            </w:pPr>
            <w:r w:rsidRPr="00CF3673">
              <w:t>89</w:t>
            </w:r>
          </w:p>
        </w:tc>
      </w:tr>
      <w:tr w:rsidR="009627E4" w:rsidRPr="00CF3673" w:rsidTr="00F37F37">
        <w:trPr>
          <w:trHeight w:val="300"/>
          <w:jc w:val="center"/>
        </w:trPr>
        <w:tc>
          <w:tcPr>
            <w:tcW w:w="1674" w:type="dxa"/>
            <w:tcBorders>
              <w:top w:val="nil"/>
              <w:bottom w:val="single" w:sz="4" w:space="0" w:color="auto"/>
            </w:tcBorders>
            <w:noWrap/>
            <w:hideMark/>
          </w:tcPr>
          <w:p w:rsidR="009627E4" w:rsidRPr="00CF3673" w:rsidRDefault="009627E4" w:rsidP="00CD28B0">
            <w:pPr>
              <w:rPr>
                <w:rFonts w:ascii="Calibri" w:eastAsia="Times New Roman" w:hAnsi="Calibri" w:cs="Times New Roman"/>
                <w:lang w:eastAsia="zh-CN"/>
              </w:rPr>
            </w:pPr>
            <w:r w:rsidRPr="00CF3673">
              <w:rPr>
                <w:rFonts w:ascii="Calibri" w:eastAsia="Times New Roman" w:hAnsi="Calibri" w:cs="Times New Roman"/>
                <w:lang w:eastAsia="zh-CN"/>
              </w:rPr>
              <w:t>Med</w:t>
            </w:r>
            <w:r w:rsidR="00CD28B0" w:rsidRPr="00CF3673">
              <w:rPr>
                <w:rFonts w:ascii="Calibri" w:eastAsia="Times New Roman" w:hAnsi="Calibri" w:cs="Times New Roman"/>
                <w:lang w:eastAsia="zh-CN"/>
              </w:rPr>
              <w:t>ias</w:t>
            </w:r>
          </w:p>
        </w:tc>
        <w:tc>
          <w:tcPr>
            <w:tcW w:w="1708" w:type="dxa"/>
            <w:tcBorders>
              <w:top w:val="nil"/>
              <w:bottom w:val="single" w:sz="4" w:space="0" w:color="auto"/>
            </w:tcBorders>
            <w:noWrap/>
            <w:hideMark/>
          </w:tcPr>
          <w:p w:rsidR="009627E4" w:rsidRPr="00CF3673" w:rsidRDefault="009627E4" w:rsidP="00927BDE">
            <w:pPr>
              <w:jc w:val="center"/>
            </w:pPr>
            <w:r w:rsidRPr="00CF3673">
              <w:t>0.0</w:t>
            </w:r>
          </w:p>
        </w:tc>
        <w:tc>
          <w:tcPr>
            <w:tcW w:w="1708" w:type="dxa"/>
            <w:tcBorders>
              <w:top w:val="nil"/>
              <w:bottom w:val="single" w:sz="4" w:space="0" w:color="auto"/>
            </w:tcBorders>
            <w:noWrap/>
            <w:hideMark/>
          </w:tcPr>
          <w:p w:rsidR="009627E4" w:rsidRPr="00CF3673" w:rsidRDefault="009627E4" w:rsidP="00927BDE">
            <w:pPr>
              <w:jc w:val="center"/>
            </w:pPr>
            <w:r w:rsidRPr="00CF3673">
              <w:t>6.1</w:t>
            </w:r>
          </w:p>
        </w:tc>
        <w:tc>
          <w:tcPr>
            <w:tcW w:w="1708" w:type="dxa"/>
            <w:tcBorders>
              <w:top w:val="nil"/>
              <w:bottom w:val="single" w:sz="4" w:space="0" w:color="auto"/>
            </w:tcBorders>
            <w:noWrap/>
            <w:hideMark/>
          </w:tcPr>
          <w:p w:rsidR="009627E4" w:rsidRPr="00CF3673" w:rsidRDefault="009627E4" w:rsidP="00927BDE">
            <w:pPr>
              <w:jc w:val="center"/>
            </w:pPr>
            <w:r w:rsidRPr="00CF3673">
              <w:t>0.0</w:t>
            </w:r>
          </w:p>
        </w:tc>
        <w:tc>
          <w:tcPr>
            <w:tcW w:w="1708" w:type="dxa"/>
            <w:tcBorders>
              <w:top w:val="nil"/>
              <w:bottom w:val="single" w:sz="4" w:space="0" w:color="auto"/>
            </w:tcBorders>
            <w:noWrap/>
            <w:hideMark/>
          </w:tcPr>
          <w:p w:rsidR="009627E4" w:rsidRPr="00CF3673" w:rsidRDefault="009627E4" w:rsidP="00927BDE">
            <w:pPr>
              <w:jc w:val="center"/>
            </w:pPr>
            <w:r w:rsidRPr="00CF3673">
              <w:t>12.1</w:t>
            </w:r>
          </w:p>
        </w:tc>
        <w:tc>
          <w:tcPr>
            <w:tcW w:w="1100" w:type="dxa"/>
            <w:tcBorders>
              <w:top w:val="nil"/>
              <w:bottom w:val="single" w:sz="4" w:space="0" w:color="auto"/>
            </w:tcBorders>
            <w:noWrap/>
            <w:hideMark/>
          </w:tcPr>
          <w:p w:rsidR="009627E4" w:rsidRPr="00CF3673" w:rsidRDefault="009627E4" w:rsidP="00927BDE">
            <w:pPr>
              <w:jc w:val="center"/>
            </w:pPr>
            <w:r w:rsidRPr="00CF3673">
              <w:t>33</w:t>
            </w:r>
          </w:p>
        </w:tc>
      </w:tr>
      <w:tr w:rsidR="009627E4" w:rsidRPr="00CF3673" w:rsidTr="00F37F37">
        <w:trPr>
          <w:trHeight w:val="300"/>
          <w:jc w:val="center"/>
        </w:trPr>
        <w:tc>
          <w:tcPr>
            <w:tcW w:w="1674" w:type="dxa"/>
            <w:tcBorders>
              <w:top w:val="single" w:sz="4" w:space="0" w:color="auto"/>
            </w:tcBorders>
            <w:noWrap/>
          </w:tcPr>
          <w:p w:rsidR="009627E4" w:rsidRPr="00CF3673" w:rsidRDefault="00CD28B0" w:rsidP="006D4EBE">
            <w:pPr>
              <w:rPr>
                <w:rFonts w:ascii="Calibri" w:eastAsia="Times New Roman" w:hAnsi="Calibri" w:cs="Times New Roman"/>
                <w:lang w:eastAsia="zh-CN"/>
              </w:rPr>
            </w:pPr>
            <w:r w:rsidRPr="00CF3673">
              <w:rPr>
                <w:rFonts w:ascii="Calibri" w:eastAsia="Times New Roman" w:hAnsi="Calibri" w:cs="Times New Roman"/>
                <w:lang w:eastAsia="zh-CN"/>
              </w:rPr>
              <w:t>Maputo e</w:t>
            </w:r>
            <w:r w:rsidR="009627E4" w:rsidRPr="00CF3673">
              <w:rPr>
                <w:rFonts w:ascii="Calibri" w:eastAsia="Times New Roman" w:hAnsi="Calibri" w:cs="Times New Roman"/>
                <w:lang w:eastAsia="zh-CN"/>
              </w:rPr>
              <w:t xml:space="preserve"> Matola</w:t>
            </w:r>
          </w:p>
        </w:tc>
        <w:tc>
          <w:tcPr>
            <w:tcW w:w="1708" w:type="dxa"/>
            <w:tcBorders>
              <w:top w:val="single" w:sz="4" w:space="0" w:color="auto"/>
            </w:tcBorders>
            <w:noWrap/>
          </w:tcPr>
          <w:p w:rsidR="009627E4" w:rsidRPr="00CF3673" w:rsidRDefault="009627E4" w:rsidP="00927BDE">
            <w:pPr>
              <w:jc w:val="center"/>
            </w:pPr>
            <w:r w:rsidRPr="00CF3673">
              <w:t>7.1</w:t>
            </w:r>
          </w:p>
        </w:tc>
        <w:tc>
          <w:tcPr>
            <w:tcW w:w="1708" w:type="dxa"/>
            <w:tcBorders>
              <w:top w:val="single" w:sz="4" w:space="0" w:color="auto"/>
            </w:tcBorders>
            <w:noWrap/>
          </w:tcPr>
          <w:p w:rsidR="009627E4" w:rsidRPr="00CF3673" w:rsidRDefault="009627E4" w:rsidP="00927BDE">
            <w:pPr>
              <w:jc w:val="center"/>
            </w:pPr>
            <w:r w:rsidRPr="00CF3673">
              <w:t>28.6</w:t>
            </w:r>
          </w:p>
        </w:tc>
        <w:tc>
          <w:tcPr>
            <w:tcW w:w="1708" w:type="dxa"/>
            <w:tcBorders>
              <w:top w:val="single" w:sz="4" w:space="0" w:color="auto"/>
            </w:tcBorders>
            <w:noWrap/>
          </w:tcPr>
          <w:p w:rsidR="009627E4" w:rsidRPr="00CF3673" w:rsidRDefault="009627E4" w:rsidP="00927BDE">
            <w:pPr>
              <w:jc w:val="center"/>
            </w:pPr>
            <w:r w:rsidRPr="00CF3673">
              <w:t>7.1</w:t>
            </w:r>
          </w:p>
        </w:tc>
        <w:tc>
          <w:tcPr>
            <w:tcW w:w="1708" w:type="dxa"/>
            <w:tcBorders>
              <w:top w:val="single" w:sz="4" w:space="0" w:color="auto"/>
            </w:tcBorders>
            <w:noWrap/>
          </w:tcPr>
          <w:p w:rsidR="009627E4" w:rsidRPr="00CF3673" w:rsidRDefault="009627E4" w:rsidP="00927BDE">
            <w:pPr>
              <w:jc w:val="center"/>
            </w:pPr>
            <w:r w:rsidRPr="00CF3673">
              <w:t>21.4</w:t>
            </w:r>
          </w:p>
        </w:tc>
        <w:tc>
          <w:tcPr>
            <w:tcW w:w="1100" w:type="dxa"/>
            <w:tcBorders>
              <w:top w:val="single" w:sz="4" w:space="0" w:color="auto"/>
            </w:tcBorders>
            <w:noWrap/>
          </w:tcPr>
          <w:p w:rsidR="009627E4" w:rsidRPr="00CF3673" w:rsidRDefault="009627E4" w:rsidP="00927BDE">
            <w:pPr>
              <w:jc w:val="center"/>
            </w:pPr>
            <w:r w:rsidRPr="00CF3673">
              <w:t>28</w:t>
            </w:r>
          </w:p>
        </w:tc>
      </w:tr>
      <w:tr w:rsidR="009627E4" w:rsidRPr="00CF3673" w:rsidTr="00F37F37">
        <w:trPr>
          <w:trHeight w:val="300"/>
          <w:jc w:val="center"/>
        </w:trPr>
        <w:tc>
          <w:tcPr>
            <w:tcW w:w="1674" w:type="dxa"/>
            <w:tcBorders>
              <w:bottom w:val="double" w:sz="4" w:space="0" w:color="auto"/>
            </w:tcBorders>
            <w:noWrap/>
          </w:tcPr>
          <w:p w:rsidR="009627E4" w:rsidRPr="00CF3673" w:rsidRDefault="00CD28B0" w:rsidP="00CD28B0">
            <w:pPr>
              <w:rPr>
                <w:rFonts w:ascii="Calibri" w:eastAsia="Times New Roman" w:hAnsi="Calibri" w:cs="Times New Roman"/>
                <w:lang w:eastAsia="zh-CN"/>
              </w:rPr>
            </w:pPr>
            <w:r w:rsidRPr="00CF3673">
              <w:rPr>
                <w:rFonts w:ascii="Calibri" w:eastAsia="Times New Roman" w:hAnsi="Calibri" w:cs="Times New Roman"/>
                <w:lang w:eastAsia="zh-CN"/>
              </w:rPr>
              <w:t xml:space="preserve">Outras </w:t>
            </w:r>
            <w:r w:rsidR="00761AD0" w:rsidRPr="00CF3673">
              <w:rPr>
                <w:rFonts w:ascii="Calibri" w:eastAsia="Times New Roman" w:hAnsi="Calibri" w:cs="Times New Roman"/>
                <w:lang w:eastAsia="zh-CN"/>
              </w:rPr>
              <w:t>províncias</w:t>
            </w:r>
          </w:p>
        </w:tc>
        <w:tc>
          <w:tcPr>
            <w:tcW w:w="1708" w:type="dxa"/>
            <w:tcBorders>
              <w:bottom w:val="double" w:sz="4" w:space="0" w:color="auto"/>
            </w:tcBorders>
            <w:noWrap/>
          </w:tcPr>
          <w:p w:rsidR="009627E4" w:rsidRPr="00CF3673" w:rsidRDefault="009627E4" w:rsidP="00927BDE">
            <w:pPr>
              <w:jc w:val="center"/>
            </w:pPr>
            <w:r w:rsidRPr="00CF3673">
              <w:t>3.4</w:t>
            </w:r>
          </w:p>
        </w:tc>
        <w:tc>
          <w:tcPr>
            <w:tcW w:w="1708" w:type="dxa"/>
            <w:tcBorders>
              <w:bottom w:val="double" w:sz="4" w:space="0" w:color="auto"/>
            </w:tcBorders>
            <w:noWrap/>
          </w:tcPr>
          <w:p w:rsidR="009627E4" w:rsidRPr="00CF3673" w:rsidRDefault="009627E4" w:rsidP="00927BDE">
            <w:pPr>
              <w:jc w:val="center"/>
            </w:pPr>
            <w:r w:rsidRPr="00CF3673">
              <w:t>21.2</w:t>
            </w:r>
          </w:p>
        </w:tc>
        <w:tc>
          <w:tcPr>
            <w:tcW w:w="1708" w:type="dxa"/>
            <w:tcBorders>
              <w:bottom w:val="double" w:sz="4" w:space="0" w:color="auto"/>
            </w:tcBorders>
            <w:noWrap/>
          </w:tcPr>
          <w:p w:rsidR="009627E4" w:rsidRPr="00CF3673" w:rsidRDefault="009627E4" w:rsidP="00927BDE">
            <w:pPr>
              <w:jc w:val="center"/>
            </w:pPr>
            <w:r w:rsidRPr="00CF3673">
              <w:t>2.8</w:t>
            </w:r>
          </w:p>
        </w:tc>
        <w:tc>
          <w:tcPr>
            <w:tcW w:w="1708" w:type="dxa"/>
            <w:tcBorders>
              <w:bottom w:val="double" w:sz="4" w:space="0" w:color="auto"/>
            </w:tcBorders>
            <w:noWrap/>
          </w:tcPr>
          <w:p w:rsidR="009627E4" w:rsidRPr="00CF3673" w:rsidRDefault="009627E4" w:rsidP="00927BDE">
            <w:pPr>
              <w:jc w:val="center"/>
            </w:pPr>
            <w:r w:rsidRPr="00CF3673">
              <w:t>19.0</w:t>
            </w:r>
          </w:p>
        </w:tc>
        <w:tc>
          <w:tcPr>
            <w:tcW w:w="1100" w:type="dxa"/>
            <w:tcBorders>
              <w:bottom w:val="double" w:sz="4" w:space="0" w:color="auto"/>
            </w:tcBorders>
            <w:noWrap/>
          </w:tcPr>
          <w:p w:rsidR="009627E4" w:rsidRPr="00CF3673" w:rsidRDefault="009627E4" w:rsidP="00927BDE">
            <w:pPr>
              <w:jc w:val="center"/>
            </w:pPr>
            <w:r w:rsidRPr="00CF3673">
              <w:t>179</w:t>
            </w:r>
          </w:p>
        </w:tc>
      </w:tr>
      <w:tr w:rsidR="0081751F" w:rsidRPr="00CF3673" w:rsidTr="00F37F37">
        <w:trPr>
          <w:trHeight w:val="300"/>
          <w:jc w:val="center"/>
        </w:trPr>
        <w:tc>
          <w:tcPr>
            <w:tcW w:w="9606" w:type="dxa"/>
            <w:gridSpan w:val="6"/>
            <w:tcBorders>
              <w:top w:val="double" w:sz="4" w:space="0" w:color="auto"/>
              <w:bottom w:val="nil"/>
            </w:tcBorders>
            <w:noWrap/>
          </w:tcPr>
          <w:p w:rsidR="0081751F" w:rsidRPr="00CF3673" w:rsidRDefault="00CD28B0" w:rsidP="00CD28B0">
            <w:pPr>
              <w:pStyle w:val="Tablenote"/>
              <w:rPr>
                <w:b/>
                <w:lang w:val="pt-PT"/>
              </w:rPr>
            </w:pPr>
            <w:r w:rsidRPr="00CF3673">
              <w:rPr>
                <w:b/>
                <w:lang w:val="pt-PT"/>
              </w:rPr>
              <w:t>Nota</w:t>
            </w:r>
            <w:r w:rsidR="0081751F" w:rsidRPr="00CF3673">
              <w:rPr>
                <w:b/>
                <w:lang w:val="pt-PT"/>
              </w:rPr>
              <w:t>:</w:t>
            </w:r>
            <w:r w:rsidR="0081751F" w:rsidRPr="00CF3673">
              <w:rPr>
                <w:lang w:val="pt-PT"/>
              </w:rPr>
              <w:t xml:space="preserve"> </w:t>
            </w:r>
            <w:r w:rsidRPr="00CF3673">
              <w:rPr>
                <w:lang w:val="pt-PT"/>
              </w:rPr>
              <w:t>Painel equilibrado</w:t>
            </w:r>
            <w:r w:rsidR="0081751F" w:rsidRPr="00CF3673">
              <w:rPr>
                <w:lang w:val="pt-PT"/>
              </w:rPr>
              <w:t xml:space="preserve">, </w:t>
            </w:r>
            <w:r w:rsidR="00761AD0" w:rsidRPr="00CF3673">
              <w:rPr>
                <w:lang w:val="pt-PT"/>
              </w:rPr>
              <w:t>ex.</w:t>
            </w:r>
            <w:r w:rsidR="0081751F" w:rsidRPr="00CF3673">
              <w:rPr>
                <w:lang w:val="pt-PT"/>
              </w:rPr>
              <w:t xml:space="preserve"> </w:t>
            </w:r>
            <w:r w:rsidRPr="00CF3673">
              <w:rPr>
                <w:lang w:val="pt-PT"/>
              </w:rPr>
              <w:t xml:space="preserve">seguir a mesma empresas por </w:t>
            </w:r>
            <w:r w:rsidR="00761AD0" w:rsidRPr="00CF3673">
              <w:rPr>
                <w:lang w:val="pt-PT"/>
              </w:rPr>
              <w:t>período</w:t>
            </w:r>
            <w:r w:rsidRPr="00CF3673">
              <w:rPr>
                <w:lang w:val="pt-PT"/>
              </w:rPr>
              <w:t xml:space="preserve"> de tempo</w:t>
            </w:r>
            <w:r w:rsidR="0081751F" w:rsidRPr="00CF3673">
              <w:rPr>
                <w:lang w:val="pt-PT"/>
              </w:rPr>
              <w:t xml:space="preserve">. </w:t>
            </w:r>
            <w:r w:rsidRPr="00CF3673">
              <w:rPr>
                <w:lang w:val="pt-PT"/>
              </w:rPr>
              <w:t>Tamanho de empresa usada em 2006</w:t>
            </w:r>
            <w:r w:rsidR="0081751F" w:rsidRPr="00CF3673">
              <w:rPr>
                <w:lang w:val="pt-PT"/>
              </w:rPr>
              <w:t xml:space="preserve">. </w:t>
            </w:r>
            <w:proofErr w:type="spellStart"/>
            <w:r w:rsidR="0081751F" w:rsidRPr="00CF3673">
              <w:rPr>
                <w:lang w:val="pt-PT"/>
              </w:rPr>
              <w:t>N</w:t>
            </w:r>
            <w:r w:rsidRPr="00CF3673">
              <w:rPr>
                <w:lang w:val="pt-PT"/>
              </w:rPr>
              <w:t>r</w:t>
            </w:r>
            <w:proofErr w:type="spellEnd"/>
            <w:r w:rsidRPr="00CF3673">
              <w:rPr>
                <w:lang w:val="pt-PT"/>
              </w:rPr>
              <w:t xml:space="preserve"> de observações em</w:t>
            </w:r>
            <w:r w:rsidR="0081751F" w:rsidRPr="00CF3673">
              <w:rPr>
                <w:lang w:val="pt-PT"/>
              </w:rPr>
              <w:t>: 9.</w:t>
            </w:r>
          </w:p>
        </w:tc>
      </w:tr>
      <w:tr w:rsidR="0081751F" w:rsidRPr="00CF3673" w:rsidTr="00F37F37">
        <w:trPr>
          <w:trHeight w:val="300"/>
          <w:jc w:val="center"/>
        </w:trPr>
        <w:tc>
          <w:tcPr>
            <w:tcW w:w="9606" w:type="dxa"/>
            <w:gridSpan w:val="6"/>
            <w:tcBorders>
              <w:top w:val="nil"/>
              <w:bottom w:val="nil"/>
            </w:tcBorders>
            <w:noWrap/>
          </w:tcPr>
          <w:p w:rsidR="0081751F" w:rsidRPr="00CF3673" w:rsidRDefault="00CD28B0" w:rsidP="00CD28B0">
            <w:pPr>
              <w:pStyle w:val="Tablenote"/>
              <w:rPr>
                <w:b/>
                <w:lang w:val="pt-PT"/>
              </w:rPr>
            </w:pPr>
            <w:r w:rsidRPr="00CF3673">
              <w:rPr>
                <w:b/>
                <w:lang w:val="pt-PT"/>
              </w:rPr>
              <w:t>Fonte</w:t>
            </w:r>
            <w:r w:rsidR="0081751F" w:rsidRPr="00CF3673">
              <w:rPr>
                <w:b/>
                <w:lang w:val="pt-PT"/>
              </w:rPr>
              <w:t>:</w:t>
            </w:r>
            <w:r w:rsidR="0081751F" w:rsidRPr="00CF3673">
              <w:rPr>
                <w:lang w:val="pt-PT"/>
              </w:rPr>
              <w:t xml:space="preserve"> </w:t>
            </w:r>
            <w:r w:rsidR="00761AD0" w:rsidRPr="00CF3673">
              <w:rPr>
                <w:lang w:val="pt-PT"/>
              </w:rPr>
              <w:t>Cálculos</w:t>
            </w:r>
            <w:r w:rsidRPr="00CF3673">
              <w:rPr>
                <w:lang w:val="pt-PT"/>
              </w:rPr>
              <w:t xml:space="preserve"> dos autores usando </w:t>
            </w:r>
            <w:r w:rsidR="0081751F" w:rsidRPr="00CF3673">
              <w:rPr>
                <w:lang w:val="pt-PT"/>
              </w:rPr>
              <w:t xml:space="preserve">IIM 2012, DNEAP (2006) </w:t>
            </w:r>
            <w:r w:rsidRPr="00CF3673">
              <w:rPr>
                <w:lang w:val="pt-PT"/>
              </w:rPr>
              <w:t>e</w:t>
            </w:r>
            <w:r w:rsidR="0081751F" w:rsidRPr="00CF3673">
              <w:rPr>
                <w:lang w:val="pt-PT"/>
              </w:rPr>
              <w:t xml:space="preserve"> ICA (2009).</w:t>
            </w:r>
          </w:p>
        </w:tc>
      </w:tr>
    </w:tbl>
    <w:p w:rsidR="006D4EBE" w:rsidRPr="00CF3673" w:rsidRDefault="006D4EBE" w:rsidP="001E664B">
      <w:pPr>
        <w:pStyle w:val="MainText"/>
        <w:rPr>
          <w:lang w:val="pt-PT"/>
        </w:rPr>
      </w:pPr>
    </w:p>
    <w:p w:rsidR="00D0206D" w:rsidRPr="00CF3673" w:rsidRDefault="00436516" w:rsidP="001E664B">
      <w:pPr>
        <w:pStyle w:val="MainText"/>
        <w:rPr>
          <w:lang w:val="pt-PT"/>
        </w:rPr>
      </w:pPr>
      <w:r w:rsidRPr="00CF3673">
        <w:rPr>
          <w:lang w:val="pt-PT"/>
        </w:rPr>
        <w:t xml:space="preserve">Os </w:t>
      </w:r>
      <w:r w:rsidR="00761AD0" w:rsidRPr="00CF3673">
        <w:rPr>
          <w:lang w:val="pt-PT"/>
        </w:rPr>
        <w:t>resultados</w:t>
      </w:r>
      <w:r w:rsidRPr="00CF3673">
        <w:rPr>
          <w:lang w:val="pt-PT"/>
        </w:rPr>
        <w:t xml:space="preserve"> acima suportam grandemente a crença de algumas empresas manufactureiras são constrangidas pelo crédito, especialmente as microempresas com necessidade de crédito são constrangidas pelo </w:t>
      </w:r>
      <w:r w:rsidR="00761AD0" w:rsidRPr="00CF3673">
        <w:rPr>
          <w:lang w:val="pt-PT"/>
        </w:rPr>
        <w:t>crédito</w:t>
      </w:r>
      <w:r w:rsidRPr="00CF3673">
        <w:rPr>
          <w:lang w:val="pt-PT"/>
        </w:rPr>
        <w:t>, sobretudo porque não satisfaz as garantias e os requisitos.</w:t>
      </w:r>
    </w:p>
    <w:p w:rsidR="00436516" w:rsidRPr="00CF3673" w:rsidRDefault="00436516" w:rsidP="001E664B">
      <w:pPr>
        <w:pStyle w:val="MainText"/>
        <w:rPr>
          <w:lang w:val="pt-PT"/>
        </w:rPr>
      </w:pPr>
      <w:r w:rsidRPr="00CF3673">
        <w:rPr>
          <w:lang w:val="pt-PT"/>
        </w:rPr>
        <w:t xml:space="preserve">Dado que as razoes para investigar o acesso ao </w:t>
      </w:r>
      <w:r w:rsidR="00761AD0" w:rsidRPr="00CF3673">
        <w:rPr>
          <w:lang w:val="pt-PT"/>
        </w:rPr>
        <w:t>crédito</w:t>
      </w:r>
      <w:r w:rsidRPr="00CF3673">
        <w:rPr>
          <w:lang w:val="pt-PT"/>
        </w:rPr>
        <w:t xml:space="preserve"> é devido o facto deste se posicionar como um dos principais constrangimento ao Negócios em Moçambique, agora comparamos o nosso modelo de medição de ser constrangidos pelo </w:t>
      </w:r>
      <w:r w:rsidR="00761AD0" w:rsidRPr="00CF3673">
        <w:rPr>
          <w:lang w:val="pt-PT"/>
        </w:rPr>
        <w:t>crédito</w:t>
      </w:r>
      <w:r w:rsidRPr="00CF3673">
        <w:rPr>
          <w:lang w:val="pt-PT"/>
        </w:rPr>
        <w:t xml:space="preserve"> com a Avaliação subjective tratada no </w:t>
      </w:r>
      <w:r w:rsidR="00761AD0" w:rsidRPr="00CF3673">
        <w:rPr>
          <w:lang w:val="pt-PT"/>
        </w:rPr>
        <w:t>capítulo</w:t>
      </w:r>
      <w:r w:rsidRPr="00CF3673">
        <w:rPr>
          <w:lang w:val="pt-PT"/>
        </w:rPr>
        <w:t xml:space="preserve"> 3. Se houver uma sobreposição dos dois, a avaliação dos constrangimentos subjectivos providencia valiosa orientação aos constrangimentos que enfrentam as empresas. Se não, não iremos reavaliar o nosso entendimento do que constitui o mais importante constrangimento.   </w:t>
      </w:r>
    </w:p>
    <w:p w:rsidR="00436516" w:rsidRPr="00CF3673" w:rsidRDefault="00436516" w:rsidP="001E664B">
      <w:pPr>
        <w:pStyle w:val="MainText"/>
        <w:rPr>
          <w:lang w:val="pt-PT"/>
        </w:rPr>
      </w:pPr>
      <w:r w:rsidRPr="00CF3673">
        <w:rPr>
          <w:lang w:val="pt-PT"/>
        </w:rPr>
        <w:t>Uma simples tabulação das duas medidas é trazida na tabela 9.8</w:t>
      </w:r>
      <w:r w:rsidRPr="00CF3673">
        <w:rPr>
          <w:rStyle w:val="FootnoteReference"/>
          <w:lang w:val="pt-PT"/>
        </w:rPr>
        <w:footnoteReference w:id="45"/>
      </w:r>
      <w:r w:rsidRPr="00CF3673">
        <w:rPr>
          <w:lang w:val="pt-PT"/>
        </w:rPr>
        <w:t xml:space="preserve">. Primeiro, o </w:t>
      </w:r>
      <w:r w:rsidR="008E47FF" w:rsidRPr="00CF3673">
        <w:rPr>
          <w:lang w:val="pt-PT"/>
        </w:rPr>
        <w:t>número</w:t>
      </w:r>
      <w:r w:rsidRPr="00CF3673">
        <w:rPr>
          <w:lang w:val="pt-PT"/>
        </w:rPr>
        <w:t xml:space="preserve"> de empresas que referem que entendem acesso ao </w:t>
      </w:r>
      <w:r w:rsidR="008E47FF" w:rsidRPr="00CF3673">
        <w:rPr>
          <w:lang w:val="pt-PT"/>
        </w:rPr>
        <w:t>crédito</w:t>
      </w:r>
      <w:r w:rsidRPr="00CF3673">
        <w:rPr>
          <w:lang w:val="pt-PT"/>
        </w:rPr>
        <w:t xml:space="preserve"> domestico como pelo menos um maior obstáculo (311) excede grandemente o </w:t>
      </w:r>
      <w:r w:rsidR="00761AD0" w:rsidRPr="00CF3673">
        <w:rPr>
          <w:lang w:val="pt-PT"/>
        </w:rPr>
        <w:t>número</w:t>
      </w:r>
      <w:r w:rsidRPr="00CF3673">
        <w:rPr>
          <w:lang w:val="pt-PT"/>
        </w:rPr>
        <w:t xml:space="preserve"> de empresas que são constrangidas pelo </w:t>
      </w:r>
      <w:r w:rsidR="00761AD0" w:rsidRPr="00CF3673">
        <w:rPr>
          <w:lang w:val="pt-PT"/>
        </w:rPr>
        <w:t>crédito</w:t>
      </w:r>
      <w:r w:rsidRPr="00CF3673">
        <w:rPr>
          <w:lang w:val="pt-PT"/>
        </w:rPr>
        <w:t xml:space="preserve"> na definição 2 (144). </w:t>
      </w:r>
      <w:r w:rsidR="008E47FF" w:rsidRPr="00CF3673">
        <w:rPr>
          <w:lang w:val="pt-PT"/>
        </w:rPr>
        <w:t xml:space="preserve">Mais, enquanto as empresas que entendem acesso ao crédito </w:t>
      </w:r>
      <w:r w:rsidR="00761AD0" w:rsidRPr="00CF3673">
        <w:rPr>
          <w:lang w:val="pt-PT"/>
        </w:rPr>
        <w:t>doméstico</w:t>
      </w:r>
      <w:r w:rsidR="008E47FF" w:rsidRPr="00CF3673">
        <w:rPr>
          <w:lang w:val="pt-PT"/>
        </w:rPr>
        <w:t xml:space="preserve"> como “obstáculo serio” (31%) tem </w:t>
      </w:r>
      <w:r w:rsidR="00761AD0" w:rsidRPr="00CF3673">
        <w:rPr>
          <w:lang w:val="pt-PT"/>
        </w:rPr>
        <w:t>maior</w:t>
      </w:r>
      <w:r w:rsidR="008E47FF" w:rsidRPr="00CF3673">
        <w:rPr>
          <w:lang w:val="pt-PT"/>
        </w:rPr>
        <w:t xml:space="preserve"> propensão de ser constrangido ao crédito do que aquelas que entendem como “obstáculo moderado” (19%), a </w:t>
      </w:r>
      <w:r w:rsidR="00761AD0" w:rsidRPr="00CF3673">
        <w:rPr>
          <w:lang w:val="pt-PT"/>
        </w:rPr>
        <w:t>diferença</w:t>
      </w:r>
      <w:r w:rsidR="008E47FF" w:rsidRPr="00CF3673">
        <w:rPr>
          <w:lang w:val="pt-PT"/>
        </w:rPr>
        <w:t xml:space="preserve"> não é tão grande.</w:t>
      </w:r>
    </w:p>
    <w:p w:rsidR="00FB5DC8" w:rsidRPr="00CF3673" w:rsidRDefault="00E333A2" w:rsidP="00FB5DC8">
      <w:pPr>
        <w:pStyle w:val="TableTitle"/>
        <w:rPr>
          <w:lang w:val="pt-PT"/>
        </w:rPr>
      </w:pPr>
      <w:bookmarkStart w:id="88" w:name="_Toc360720503"/>
      <w:r w:rsidRPr="00CF3673">
        <w:rPr>
          <w:lang w:val="pt-PT"/>
        </w:rPr>
        <w:t>Tab</w:t>
      </w:r>
      <w:r w:rsidR="008E47FF" w:rsidRPr="00CF3673">
        <w:rPr>
          <w:lang w:val="pt-PT"/>
        </w:rPr>
        <w:t>e</w:t>
      </w:r>
      <w:r w:rsidRPr="00CF3673">
        <w:rPr>
          <w:lang w:val="pt-PT"/>
        </w:rPr>
        <w:t>l</w:t>
      </w:r>
      <w:r w:rsidR="008E47FF" w:rsidRPr="00CF3673">
        <w:rPr>
          <w:lang w:val="pt-PT"/>
        </w:rPr>
        <w:t>a</w:t>
      </w:r>
      <w:r w:rsidR="00FB5DC8" w:rsidRPr="00CF3673">
        <w:rPr>
          <w:lang w:val="pt-PT"/>
        </w:rPr>
        <w:t xml:space="preserve"> 9.</w:t>
      </w:r>
      <w:r w:rsidR="00927BDE" w:rsidRPr="00CF3673">
        <w:rPr>
          <w:lang w:val="pt-PT"/>
        </w:rPr>
        <w:t>8</w:t>
      </w:r>
      <w:r w:rsidR="00FB5DC8" w:rsidRPr="00CF3673">
        <w:rPr>
          <w:lang w:val="pt-PT"/>
        </w:rPr>
        <w:t xml:space="preserve">: </w:t>
      </w:r>
      <w:r w:rsidR="008E47FF" w:rsidRPr="00CF3673">
        <w:rPr>
          <w:lang w:val="pt-PT"/>
        </w:rPr>
        <w:t xml:space="preserve">Percepção do </w:t>
      </w:r>
      <w:r w:rsidR="00761AD0" w:rsidRPr="00CF3673">
        <w:rPr>
          <w:lang w:val="pt-PT"/>
        </w:rPr>
        <w:t>constrangimento</w:t>
      </w:r>
      <w:r w:rsidR="008E47FF" w:rsidRPr="00CF3673">
        <w:rPr>
          <w:lang w:val="pt-PT"/>
        </w:rPr>
        <w:t xml:space="preserve"> ao credito</w:t>
      </w:r>
      <w:r w:rsidR="00FE7411" w:rsidRPr="00CF3673">
        <w:rPr>
          <w:lang w:val="pt-PT"/>
        </w:rPr>
        <w:t xml:space="preserve">, </w:t>
      </w:r>
      <w:r w:rsidR="008E47FF" w:rsidRPr="00CF3673">
        <w:rPr>
          <w:lang w:val="pt-PT"/>
        </w:rPr>
        <w:t>%</w:t>
      </w:r>
      <w:r w:rsidR="00FE7411" w:rsidRPr="00CF3673">
        <w:rPr>
          <w:lang w:val="pt-PT"/>
        </w:rPr>
        <w:t>.</w:t>
      </w:r>
      <w:bookmarkEnd w:id="88"/>
    </w:p>
    <w:tbl>
      <w:tblPr>
        <w:tblStyle w:val="StandardTable"/>
        <w:tblW w:w="0" w:type="auto"/>
        <w:jc w:val="center"/>
        <w:tblLayout w:type="fixed"/>
        <w:tblLook w:val="04A0" w:firstRow="1" w:lastRow="0" w:firstColumn="1" w:lastColumn="0" w:noHBand="0" w:noVBand="1"/>
      </w:tblPr>
      <w:tblGrid>
        <w:gridCol w:w="2680"/>
        <w:gridCol w:w="1072"/>
        <w:gridCol w:w="848"/>
        <w:gridCol w:w="1158"/>
      </w:tblGrid>
      <w:tr w:rsidR="007B5C6B" w:rsidRPr="00CF3673" w:rsidTr="00FE7411">
        <w:trPr>
          <w:cnfStyle w:val="100000000000" w:firstRow="1" w:lastRow="0" w:firstColumn="0" w:lastColumn="0" w:oddVBand="0" w:evenVBand="0" w:oddHBand="0" w:evenHBand="0" w:firstRowFirstColumn="0" w:firstRowLastColumn="0" w:lastRowFirstColumn="0" w:lastRowLastColumn="0"/>
          <w:trHeight w:val="300"/>
          <w:jc w:val="center"/>
        </w:trPr>
        <w:tc>
          <w:tcPr>
            <w:tcW w:w="2680" w:type="dxa"/>
            <w:tcBorders>
              <w:bottom w:val="nil"/>
            </w:tcBorders>
            <w:noWrap/>
            <w:hideMark/>
          </w:tcPr>
          <w:p w:rsidR="007B5C6B" w:rsidRPr="00CF3673" w:rsidRDefault="007B5C6B" w:rsidP="007B5C6B">
            <w:pPr>
              <w:rPr>
                <w:rFonts w:ascii="Calibri" w:eastAsia="Times New Roman" w:hAnsi="Calibri" w:cs="Times New Roman"/>
                <w:color w:val="000000"/>
                <w:lang w:eastAsia="zh-CN"/>
              </w:rPr>
            </w:pPr>
          </w:p>
        </w:tc>
        <w:tc>
          <w:tcPr>
            <w:tcW w:w="1920" w:type="dxa"/>
            <w:gridSpan w:val="2"/>
            <w:noWrap/>
            <w:hideMark/>
          </w:tcPr>
          <w:p w:rsidR="007B5C6B" w:rsidRPr="00CF3673" w:rsidRDefault="00761AD0" w:rsidP="00390130">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Constrangido</w:t>
            </w:r>
            <w:r w:rsidR="007B5C6B" w:rsidRPr="00CF3673">
              <w:rPr>
                <w:rFonts w:ascii="Calibri" w:eastAsia="Times New Roman" w:hAnsi="Calibri" w:cs="Times New Roman"/>
                <w:color w:val="000000"/>
                <w:lang w:eastAsia="zh-CN"/>
              </w:rPr>
              <w:t xml:space="preserve">, </w:t>
            </w:r>
            <w:proofErr w:type="spellStart"/>
            <w:r w:rsidR="007B5C6B" w:rsidRPr="00CF3673">
              <w:rPr>
                <w:rFonts w:ascii="Calibri" w:eastAsia="Times New Roman" w:hAnsi="Calibri" w:cs="Times New Roman"/>
                <w:color w:val="000000"/>
                <w:lang w:eastAsia="zh-CN"/>
              </w:rPr>
              <w:t>def</w:t>
            </w:r>
            <w:proofErr w:type="spellEnd"/>
            <w:r w:rsidR="007B5C6B" w:rsidRPr="00CF3673">
              <w:rPr>
                <w:rFonts w:ascii="Calibri" w:eastAsia="Times New Roman" w:hAnsi="Calibri" w:cs="Times New Roman"/>
                <w:color w:val="000000"/>
                <w:lang w:eastAsia="zh-CN"/>
              </w:rPr>
              <w:t>. 2</w:t>
            </w:r>
          </w:p>
        </w:tc>
        <w:tc>
          <w:tcPr>
            <w:tcW w:w="1158" w:type="dxa"/>
            <w:tcBorders>
              <w:bottom w:val="nil"/>
            </w:tcBorders>
            <w:noWrap/>
            <w:hideMark/>
          </w:tcPr>
          <w:p w:rsidR="007B5C6B" w:rsidRPr="00CF3673" w:rsidRDefault="007B5C6B" w:rsidP="007B5C6B">
            <w:pPr>
              <w:rPr>
                <w:rFonts w:ascii="Calibri" w:eastAsia="Times New Roman" w:hAnsi="Calibri" w:cs="Times New Roman"/>
                <w:color w:val="000000"/>
                <w:lang w:eastAsia="zh-CN"/>
              </w:rPr>
            </w:pPr>
          </w:p>
        </w:tc>
      </w:tr>
      <w:tr w:rsidR="007B5C6B" w:rsidRPr="00CF3673" w:rsidTr="00FE7411">
        <w:trPr>
          <w:trHeight w:val="300"/>
          <w:jc w:val="center"/>
        </w:trPr>
        <w:tc>
          <w:tcPr>
            <w:tcW w:w="2680" w:type="dxa"/>
            <w:tcBorders>
              <w:top w:val="nil"/>
              <w:bottom w:val="single" w:sz="4" w:space="0" w:color="auto"/>
            </w:tcBorders>
            <w:noWrap/>
            <w:hideMark/>
          </w:tcPr>
          <w:p w:rsidR="007B5C6B" w:rsidRPr="00CF3673" w:rsidRDefault="00390130" w:rsidP="0039013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A</w:t>
            </w:r>
            <w:r w:rsidR="00FB5DC8" w:rsidRPr="00CF3673">
              <w:rPr>
                <w:rFonts w:ascii="Calibri" w:eastAsia="Times New Roman" w:hAnsi="Calibri" w:cs="Times New Roman"/>
                <w:color w:val="000000"/>
                <w:lang w:eastAsia="zh-CN"/>
              </w:rPr>
              <w:t>cess</w:t>
            </w:r>
            <w:r w:rsidRPr="00CF3673">
              <w:rPr>
                <w:rFonts w:ascii="Calibri" w:eastAsia="Times New Roman" w:hAnsi="Calibri" w:cs="Times New Roman"/>
                <w:color w:val="000000"/>
                <w:lang w:eastAsia="zh-CN"/>
              </w:rPr>
              <w:t xml:space="preserve">o ao </w:t>
            </w:r>
            <w:r w:rsidR="00761AD0" w:rsidRPr="00CF3673">
              <w:rPr>
                <w:rFonts w:ascii="Calibri" w:eastAsia="Times New Roman" w:hAnsi="Calibri" w:cs="Times New Roman"/>
                <w:color w:val="000000"/>
                <w:lang w:eastAsia="zh-CN"/>
              </w:rPr>
              <w:t>crédito</w:t>
            </w:r>
            <w:r w:rsidRPr="00CF3673">
              <w:rPr>
                <w:rFonts w:ascii="Calibri" w:eastAsia="Times New Roman" w:hAnsi="Calibri" w:cs="Times New Roman"/>
                <w:color w:val="000000"/>
                <w:lang w:eastAsia="zh-CN"/>
              </w:rPr>
              <w:t xml:space="preserve"> </w:t>
            </w:r>
            <w:r w:rsidR="00761AD0" w:rsidRPr="00CF3673">
              <w:rPr>
                <w:rFonts w:ascii="Calibri" w:eastAsia="Times New Roman" w:hAnsi="Calibri" w:cs="Times New Roman"/>
                <w:color w:val="000000"/>
                <w:lang w:eastAsia="zh-CN"/>
              </w:rPr>
              <w:t>domestico</w:t>
            </w:r>
            <w:r w:rsidRPr="00CF3673">
              <w:rPr>
                <w:rFonts w:ascii="Calibri" w:eastAsia="Times New Roman" w:hAnsi="Calibri" w:cs="Times New Roman"/>
                <w:color w:val="000000"/>
                <w:lang w:eastAsia="zh-CN"/>
              </w:rPr>
              <w:t xml:space="preserve"> visto como </w:t>
            </w:r>
            <w:r w:rsidR="00761AD0" w:rsidRPr="00CF3673">
              <w:rPr>
                <w:rFonts w:ascii="Calibri" w:eastAsia="Times New Roman" w:hAnsi="Calibri" w:cs="Times New Roman"/>
                <w:color w:val="000000"/>
                <w:lang w:eastAsia="zh-CN"/>
              </w:rPr>
              <w:t>constrangimento</w:t>
            </w:r>
          </w:p>
        </w:tc>
        <w:tc>
          <w:tcPr>
            <w:tcW w:w="1072" w:type="dxa"/>
            <w:tcBorders>
              <w:top w:val="single" w:sz="4" w:space="0" w:color="auto"/>
              <w:bottom w:val="single" w:sz="4" w:space="0" w:color="auto"/>
            </w:tcBorders>
            <w:noWrap/>
            <w:hideMark/>
          </w:tcPr>
          <w:p w:rsidR="007B5C6B" w:rsidRPr="00CF3673" w:rsidRDefault="00390130" w:rsidP="0039013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Não</w:t>
            </w:r>
          </w:p>
        </w:tc>
        <w:tc>
          <w:tcPr>
            <w:tcW w:w="848" w:type="dxa"/>
            <w:tcBorders>
              <w:top w:val="single" w:sz="4" w:space="0" w:color="auto"/>
              <w:bottom w:val="single" w:sz="4" w:space="0" w:color="auto"/>
            </w:tcBorders>
            <w:noWrap/>
            <w:hideMark/>
          </w:tcPr>
          <w:p w:rsidR="007B5C6B" w:rsidRPr="00CF3673" w:rsidRDefault="00390130" w:rsidP="00390130">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Sim</w:t>
            </w:r>
          </w:p>
        </w:tc>
        <w:tc>
          <w:tcPr>
            <w:tcW w:w="1158" w:type="dxa"/>
            <w:tcBorders>
              <w:top w:val="nil"/>
              <w:bottom w:val="single" w:sz="4" w:space="0" w:color="auto"/>
            </w:tcBorders>
            <w:noWrap/>
            <w:hideMark/>
          </w:tcPr>
          <w:p w:rsidR="007B5C6B" w:rsidRPr="00CF3673" w:rsidRDefault="00FE7411" w:rsidP="00390130">
            <w:pPr>
              <w:jc w:val="center"/>
              <w:rPr>
                <w:rFonts w:ascii="Calibri" w:eastAsia="Times New Roman" w:hAnsi="Calibri" w:cs="Times New Roman"/>
                <w:color w:val="000000"/>
                <w:lang w:eastAsia="zh-CN"/>
              </w:rPr>
            </w:pPr>
            <w:proofErr w:type="spellStart"/>
            <w:r w:rsidRPr="00CF3673">
              <w:rPr>
                <w:rFonts w:ascii="Calibri" w:eastAsia="Times New Roman" w:hAnsi="Calibri" w:cs="Times New Roman"/>
                <w:color w:val="000000"/>
                <w:lang w:eastAsia="zh-CN"/>
              </w:rPr>
              <w:t>N</w:t>
            </w:r>
            <w:r w:rsidR="00390130" w:rsidRPr="00CF3673">
              <w:rPr>
                <w:rFonts w:ascii="Calibri" w:eastAsia="Times New Roman" w:hAnsi="Calibri" w:cs="Times New Roman"/>
                <w:color w:val="000000"/>
                <w:lang w:eastAsia="zh-CN"/>
              </w:rPr>
              <w:t>r</w:t>
            </w:r>
            <w:proofErr w:type="spellEnd"/>
            <w:r w:rsidR="00390130" w:rsidRPr="00CF3673">
              <w:rPr>
                <w:rFonts w:ascii="Calibri" w:eastAsia="Times New Roman" w:hAnsi="Calibri" w:cs="Times New Roman"/>
                <w:color w:val="000000"/>
                <w:lang w:eastAsia="zh-CN"/>
              </w:rPr>
              <w:t>. de obs.</w:t>
            </w:r>
          </w:p>
        </w:tc>
      </w:tr>
      <w:tr w:rsidR="00FE7411" w:rsidRPr="00CF3673" w:rsidTr="00FE7411">
        <w:trPr>
          <w:trHeight w:val="300"/>
          <w:jc w:val="center"/>
        </w:trPr>
        <w:tc>
          <w:tcPr>
            <w:tcW w:w="2680" w:type="dxa"/>
            <w:tcBorders>
              <w:top w:val="single" w:sz="4" w:space="0" w:color="auto"/>
            </w:tcBorders>
            <w:noWrap/>
            <w:hideMark/>
          </w:tcPr>
          <w:p w:rsidR="00FE7411" w:rsidRPr="00CF3673" w:rsidRDefault="00761AD0" w:rsidP="00390130">
            <w:r w:rsidRPr="00CF3673">
              <w:t>Não</w:t>
            </w:r>
            <w:r w:rsidR="00FE7411" w:rsidRPr="00CF3673">
              <w:t xml:space="preserve"> </w:t>
            </w:r>
            <w:r w:rsidR="00390130" w:rsidRPr="00CF3673">
              <w:t>obstáculo</w:t>
            </w:r>
          </w:p>
        </w:tc>
        <w:tc>
          <w:tcPr>
            <w:tcW w:w="1072" w:type="dxa"/>
            <w:tcBorders>
              <w:top w:val="single" w:sz="4" w:space="0" w:color="auto"/>
            </w:tcBorders>
            <w:noWrap/>
            <w:hideMark/>
          </w:tcPr>
          <w:p w:rsidR="00FE7411" w:rsidRPr="00CF3673" w:rsidRDefault="00FE7411" w:rsidP="00FE7411">
            <w:pPr>
              <w:jc w:val="center"/>
            </w:pPr>
            <w:r w:rsidRPr="00CF3673">
              <w:t>85.0</w:t>
            </w:r>
          </w:p>
        </w:tc>
        <w:tc>
          <w:tcPr>
            <w:tcW w:w="848" w:type="dxa"/>
            <w:tcBorders>
              <w:top w:val="single" w:sz="4" w:space="0" w:color="auto"/>
            </w:tcBorders>
            <w:noWrap/>
            <w:hideMark/>
          </w:tcPr>
          <w:p w:rsidR="00FE7411" w:rsidRPr="00CF3673" w:rsidRDefault="00FE7411" w:rsidP="00FE7411">
            <w:pPr>
              <w:jc w:val="center"/>
            </w:pPr>
            <w:r w:rsidRPr="00CF3673">
              <w:t>15.0</w:t>
            </w:r>
          </w:p>
        </w:tc>
        <w:tc>
          <w:tcPr>
            <w:tcW w:w="1158" w:type="dxa"/>
            <w:tcBorders>
              <w:top w:val="single" w:sz="4" w:space="0" w:color="auto"/>
            </w:tcBorders>
            <w:noWrap/>
            <w:hideMark/>
          </w:tcPr>
          <w:p w:rsidR="00FE7411" w:rsidRPr="00CF3673" w:rsidRDefault="00FE7411" w:rsidP="00FE7411">
            <w:pPr>
              <w:jc w:val="center"/>
            </w:pPr>
            <w:r w:rsidRPr="00CF3673">
              <w:t>107</w:t>
            </w:r>
          </w:p>
        </w:tc>
      </w:tr>
      <w:tr w:rsidR="00FE7411" w:rsidRPr="00CF3673" w:rsidTr="00FE7411">
        <w:trPr>
          <w:trHeight w:val="300"/>
          <w:jc w:val="center"/>
        </w:trPr>
        <w:tc>
          <w:tcPr>
            <w:tcW w:w="2680" w:type="dxa"/>
            <w:noWrap/>
          </w:tcPr>
          <w:p w:rsidR="00FE7411" w:rsidRPr="00CF3673" w:rsidRDefault="00761AD0" w:rsidP="00390130">
            <w:r w:rsidRPr="00CF3673">
              <w:t>Obstáculo</w:t>
            </w:r>
            <w:r w:rsidR="006C4C2F" w:rsidRPr="00CF3673">
              <w:t xml:space="preserve"> menor</w:t>
            </w:r>
          </w:p>
        </w:tc>
        <w:tc>
          <w:tcPr>
            <w:tcW w:w="1072" w:type="dxa"/>
            <w:noWrap/>
          </w:tcPr>
          <w:p w:rsidR="00FE7411" w:rsidRPr="00CF3673" w:rsidRDefault="00FE7411" w:rsidP="00FE7411">
            <w:pPr>
              <w:jc w:val="center"/>
            </w:pPr>
            <w:r w:rsidRPr="00CF3673">
              <w:t>81.8</w:t>
            </w:r>
          </w:p>
        </w:tc>
        <w:tc>
          <w:tcPr>
            <w:tcW w:w="848" w:type="dxa"/>
            <w:noWrap/>
          </w:tcPr>
          <w:p w:rsidR="00FE7411" w:rsidRPr="00CF3673" w:rsidRDefault="00FE7411" w:rsidP="00FE7411">
            <w:pPr>
              <w:jc w:val="center"/>
            </w:pPr>
            <w:r w:rsidRPr="00CF3673">
              <w:t>18.2</w:t>
            </w:r>
          </w:p>
        </w:tc>
        <w:tc>
          <w:tcPr>
            <w:tcW w:w="1158" w:type="dxa"/>
            <w:noWrap/>
          </w:tcPr>
          <w:p w:rsidR="00FE7411" w:rsidRPr="00CF3673" w:rsidRDefault="00FE7411" w:rsidP="00FE7411">
            <w:pPr>
              <w:jc w:val="center"/>
            </w:pPr>
            <w:r w:rsidRPr="00CF3673">
              <w:t>66</w:t>
            </w:r>
          </w:p>
        </w:tc>
      </w:tr>
      <w:tr w:rsidR="00FE7411" w:rsidRPr="00CF3673" w:rsidTr="00FE7411">
        <w:trPr>
          <w:trHeight w:val="300"/>
          <w:jc w:val="center"/>
        </w:trPr>
        <w:tc>
          <w:tcPr>
            <w:tcW w:w="2680" w:type="dxa"/>
            <w:noWrap/>
          </w:tcPr>
          <w:p w:rsidR="00FE7411" w:rsidRPr="00CF3673" w:rsidRDefault="00761AD0" w:rsidP="006C4C2F">
            <w:r w:rsidRPr="00CF3673">
              <w:lastRenderedPageBreak/>
              <w:t>Obstáculo</w:t>
            </w:r>
            <w:r w:rsidR="006C4C2F" w:rsidRPr="00CF3673">
              <w:t xml:space="preserve"> moderado</w:t>
            </w:r>
          </w:p>
        </w:tc>
        <w:tc>
          <w:tcPr>
            <w:tcW w:w="1072" w:type="dxa"/>
            <w:noWrap/>
          </w:tcPr>
          <w:p w:rsidR="00FE7411" w:rsidRPr="00CF3673" w:rsidRDefault="00FE7411" w:rsidP="00FE7411">
            <w:pPr>
              <w:jc w:val="center"/>
            </w:pPr>
            <w:r w:rsidRPr="00CF3673">
              <w:t>81.1</w:t>
            </w:r>
          </w:p>
        </w:tc>
        <w:tc>
          <w:tcPr>
            <w:tcW w:w="848" w:type="dxa"/>
            <w:noWrap/>
          </w:tcPr>
          <w:p w:rsidR="00FE7411" w:rsidRPr="00CF3673" w:rsidRDefault="00FE7411" w:rsidP="00FE7411">
            <w:pPr>
              <w:jc w:val="center"/>
            </w:pPr>
            <w:r w:rsidRPr="00CF3673">
              <w:t>18.9</w:t>
            </w:r>
          </w:p>
        </w:tc>
        <w:tc>
          <w:tcPr>
            <w:tcW w:w="1158" w:type="dxa"/>
            <w:noWrap/>
          </w:tcPr>
          <w:p w:rsidR="00FE7411" w:rsidRPr="00CF3673" w:rsidRDefault="00FE7411" w:rsidP="00FE7411">
            <w:pPr>
              <w:jc w:val="center"/>
            </w:pPr>
            <w:r w:rsidRPr="00CF3673">
              <w:t>111</w:t>
            </w:r>
          </w:p>
        </w:tc>
      </w:tr>
      <w:tr w:rsidR="00FE7411" w:rsidRPr="00CF3673" w:rsidTr="00FE7411">
        <w:trPr>
          <w:trHeight w:val="300"/>
          <w:jc w:val="center"/>
        </w:trPr>
        <w:tc>
          <w:tcPr>
            <w:tcW w:w="2680" w:type="dxa"/>
            <w:tcBorders>
              <w:bottom w:val="nil"/>
            </w:tcBorders>
            <w:noWrap/>
            <w:hideMark/>
          </w:tcPr>
          <w:p w:rsidR="00FE7411" w:rsidRPr="00CF3673" w:rsidRDefault="00761AD0" w:rsidP="006C4C2F">
            <w:r w:rsidRPr="00CF3673">
              <w:t>Obstáculo</w:t>
            </w:r>
            <w:r w:rsidR="006C4C2F" w:rsidRPr="00CF3673">
              <w:t xml:space="preserve"> maior </w:t>
            </w:r>
          </w:p>
        </w:tc>
        <w:tc>
          <w:tcPr>
            <w:tcW w:w="1072" w:type="dxa"/>
            <w:tcBorders>
              <w:bottom w:val="nil"/>
            </w:tcBorders>
            <w:noWrap/>
            <w:hideMark/>
          </w:tcPr>
          <w:p w:rsidR="00FE7411" w:rsidRPr="00CF3673" w:rsidRDefault="00FE7411" w:rsidP="00FE7411">
            <w:pPr>
              <w:jc w:val="center"/>
            </w:pPr>
            <w:r w:rsidRPr="00CF3673">
              <w:t>72.7</w:t>
            </w:r>
          </w:p>
        </w:tc>
        <w:tc>
          <w:tcPr>
            <w:tcW w:w="848" w:type="dxa"/>
            <w:tcBorders>
              <w:bottom w:val="nil"/>
            </w:tcBorders>
            <w:noWrap/>
            <w:hideMark/>
          </w:tcPr>
          <w:p w:rsidR="00FE7411" w:rsidRPr="00CF3673" w:rsidRDefault="00FE7411" w:rsidP="00FE7411">
            <w:pPr>
              <w:jc w:val="center"/>
            </w:pPr>
            <w:r w:rsidRPr="00CF3673">
              <w:t>27.3</w:t>
            </w:r>
          </w:p>
        </w:tc>
        <w:tc>
          <w:tcPr>
            <w:tcW w:w="1158" w:type="dxa"/>
            <w:tcBorders>
              <w:bottom w:val="nil"/>
            </w:tcBorders>
            <w:noWrap/>
            <w:hideMark/>
          </w:tcPr>
          <w:p w:rsidR="00FE7411" w:rsidRPr="00CF3673" w:rsidRDefault="00FE7411" w:rsidP="00FE7411">
            <w:pPr>
              <w:jc w:val="center"/>
            </w:pPr>
            <w:r w:rsidRPr="00CF3673">
              <w:t>139</w:t>
            </w:r>
          </w:p>
        </w:tc>
      </w:tr>
      <w:tr w:rsidR="00FE7411" w:rsidRPr="00CF3673" w:rsidTr="00FE7411">
        <w:trPr>
          <w:trHeight w:val="300"/>
          <w:jc w:val="center"/>
        </w:trPr>
        <w:tc>
          <w:tcPr>
            <w:tcW w:w="2680" w:type="dxa"/>
            <w:tcBorders>
              <w:top w:val="nil"/>
              <w:bottom w:val="single" w:sz="4" w:space="0" w:color="auto"/>
            </w:tcBorders>
            <w:noWrap/>
            <w:hideMark/>
          </w:tcPr>
          <w:p w:rsidR="00FE7411" w:rsidRPr="00CF3673" w:rsidRDefault="00761AD0" w:rsidP="006C4C2F">
            <w:r w:rsidRPr="00CF3673">
              <w:t>Obstáculo</w:t>
            </w:r>
            <w:r w:rsidR="006C4C2F" w:rsidRPr="00CF3673">
              <w:t xml:space="preserve"> serio</w:t>
            </w:r>
          </w:p>
        </w:tc>
        <w:tc>
          <w:tcPr>
            <w:tcW w:w="1072" w:type="dxa"/>
            <w:tcBorders>
              <w:top w:val="nil"/>
              <w:bottom w:val="single" w:sz="4" w:space="0" w:color="auto"/>
            </w:tcBorders>
            <w:noWrap/>
            <w:hideMark/>
          </w:tcPr>
          <w:p w:rsidR="00FE7411" w:rsidRPr="00CF3673" w:rsidRDefault="00FE7411" w:rsidP="00FE7411">
            <w:pPr>
              <w:jc w:val="center"/>
            </w:pPr>
            <w:r w:rsidRPr="00CF3673">
              <w:t>66.9</w:t>
            </w:r>
          </w:p>
        </w:tc>
        <w:tc>
          <w:tcPr>
            <w:tcW w:w="848" w:type="dxa"/>
            <w:tcBorders>
              <w:top w:val="nil"/>
              <w:bottom w:val="single" w:sz="4" w:space="0" w:color="auto"/>
            </w:tcBorders>
            <w:noWrap/>
            <w:hideMark/>
          </w:tcPr>
          <w:p w:rsidR="00FE7411" w:rsidRPr="00CF3673" w:rsidRDefault="00FE7411" w:rsidP="00FE7411">
            <w:pPr>
              <w:jc w:val="center"/>
            </w:pPr>
            <w:r w:rsidRPr="00CF3673">
              <w:t>33.1</w:t>
            </w:r>
          </w:p>
        </w:tc>
        <w:tc>
          <w:tcPr>
            <w:tcW w:w="1158" w:type="dxa"/>
            <w:tcBorders>
              <w:top w:val="nil"/>
              <w:bottom w:val="single" w:sz="4" w:space="0" w:color="auto"/>
            </w:tcBorders>
            <w:noWrap/>
            <w:hideMark/>
          </w:tcPr>
          <w:p w:rsidR="00FE7411" w:rsidRPr="00CF3673" w:rsidRDefault="00FE7411" w:rsidP="00FE7411">
            <w:pPr>
              <w:jc w:val="center"/>
            </w:pPr>
            <w:r w:rsidRPr="00CF3673">
              <w:t>172</w:t>
            </w:r>
          </w:p>
        </w:tc>
      </w:tr>
      <w:tr w:rsidR="00FE7411" w:rsidRPr="00CF3673" w:rsidTr="00FE7411">
        <w:trPr>
          <w:trHeight w:val="300"/>
          <w:jc w:val="center"/>
        </w:trPr>
        <w:tc>
          <w:tcPr>
            <w:tcW w:w="2680" w:type="dxa"/>
            <w:tcBorders>
              <w:bottom w:val="double" w:sz="4" w:space="0" w:color="auto"/>
            </w:tcBorders>
            <w:noWrap/>
            <w:hideMark/>
          </w:tcPr>
          <w:p w:rsidR="00FE7411" w:rsidRPr="00CF3673" w:rsidRDefault="00FE7411" w:rsidP="00DD3347">
            <w:r w:rsidRPr="00CF3673">
              <w:t>Total</w:t>
            </w:r>
          </w:p>
        </w:tc>
        <w:tc>
          <w:tcPr>
            <w:tcW w:w="1072" w:type="dxa"/>
            <w:tcBorders>
              <w:bottom w:val="double" w:sz="4" w:space="0" w:color="auto"/>
            </w:tcBorders>
            <w:noWrap/>
            <w:hideMark/>
          </w:tcPr>
          <w:p w:rsidR="00FE7411" w:rsidRPr="00CF3673" w:rsidRDefault="00FE7411" w:rsidP="00FE7411">
            <w:pPr>
              <w:jc w:val="center"/>
            </w:pPr>
            <w:r w:rsidRPr="00CF3673">
              <w:t>75.8</w:t>
            </w:r>
          </w:p>
        </w:tc>
        <w:tc>
          <w:tcPr>
            <w:tcW w:w="848" w:type="dxa"/>
            <w:tcBorders>
              <w:bottom w:val="double" w:sz="4" w:space="0" w:color="auto"/>
            </w:tcBorders>
            <w:noWrap/>
            <w:hideMark/>
          </w:tcPr>
          <w:p w:rsidR="00FE7411" w:rsidRPr="00CF3673" w:rsidRDefault="00FE7411" w:rsidP="00FE7411">
            <w:pPr>
              <w:jc w:val="center"/>
            </w:pPr>
            <w:r w:rsidRPr="00CF3673">
              <w:t>24.2</w:t>
            </w:r>
          </w:p>
        </w:tc>
        <w:tc>
          <w:tcPr>
            <w:tcW w:w="1158" w:type="dxa"/>
            <w:tcBorders>
              <w:bottom w:val="double" w:sz="4" w:space="0" w:color="auto"/>
            </w:tcBorders>
            <w:noWrap/>
            <w:hideMark/>
          </w:tcPr>
          <w:p w:rsidR="00FE7411" w:rsidRPr="00CF3673" w:rsidRDefault="00FE7411" w:rsidP="00FE7411">
            <w:pPr>
              <w:jc w:val="center"/>
            </w:pPr>
            <w:r w:rsidRPr="00CF3673">
              <w:t>595</w:t>
            </w:r>
          </w:p>
        </w:tc>
      </w:tr>
      <w:tr w:rsidR="002A6E2B" w:rsidRPr="00CF3673" w:rsidTr="00FE7411">
        <w:trPr>
          <w:trHeight w:val="300"/>
          <w:jc w:val="center"/>
        </w:trPr>
        <w:tc>
          <w:tcPr>
            <w:tcW w:w="5758" w:type="dxa"/>
            <w:gridSpan w:val="4"/>
            <w:tcBorders>
              <w:top w:val="double" w:sz="4" w:space="0" w:color="auto"/>
              <w:bottom w:val="nil"/>
            </w:tcBorders>
            <w:noWrap/>
          </w:tcPr>
          <w:p w:rsidR="002A6E2B" w:rsidRPr="00CF3673" w:rsidRDefault="002A6E2B" w:rsidP="006C4C2F">
            <w:pPr>
              <w:pStyle w:val="Tablenote"/>
              <w:rPr>
                <w:b/>
                <w:lang w:val="pt-PT"/>
              </w:rPr>
            </w:pPr>
            <w:r w:rsidRPr="00CF3673">
              <w:rPr>
                <w:b/>
                <w:lang w:val="pt-PT"/>
              </w:rPr>
              <w:t>Not</w:t>
            </w:r>
            <w:r w:rsidR="006C4C2F" w:rsidRPr="00CF3673">
              <w:rPr>
                <w:b/>
                <w:lang w:val="pt-PT"/>
              </w:rPr>
              <w:t>a</w:t>
            </w:r>
            <w:r w:rsidRPr="00CF3673">
              <w:rPr>
                <w:b/>
                <w:lang w:val="pt-PT"/>
              </w:rPr>
              <w:t>:</w:t>
            </w:r>
            <w:r w:rsidRPr="00CF3673">
              <w:rPr>
                <w:lang w:val="pt-PT"/>
              </w:rPr>
              <w:t xml:space="preserve"> </w:t>
            </w:r>
            <w:r w:rsidR="006C4C2F" w:rsidRPr="00CF3673">
              <w:rPr>
                <w:lang w:val="pt-PT"/>
              </w:rPr>
              <w:t xml:space="preserve">Respondentes foram questionados se acesso ao </w:t>
            </w:r>
            <w:r w:rsidR="00761AD0" w:rsidRPr="00CF3673">
              <w:rPr>
                <w:lang w:val="pt-PT"/>
              </w:rPr>
              <w:t>crédito</w:t>
            </w:r>
            <w:r w:rsidR="006C4C2F" w:rsidRPr="00CF3673">
              <w:rPr>
                <w:lang w:val="pt-PT"/>
              </w:rPr>
              <w:t xml:space="preserve"> </w:t>
            </w:r>
            <w:r w:rsidR="00761AD0" w:rsidRPr="00CF3673">
              <w:rPr>
                <w:lang w:val="pt-PT"/>
              </w:rPr>
              <w:t>doméstico</w:t>
            </w:r>
            <w:r w:rsidR="006C4C2F" w:rsidRPr="00CF3673">
              <w:rPr>
                <w:lang w:val="pt-PT"/>
              </w:rPr>
              <w:t xml:space="preserve"> </w:t>
            </w:r>
            <w:r w:rsidR="006C4C2F" w:rsidRPr="00CF3673">
              <w:rPr>
                <w:noProof/>
                <w:lang w:val="pt-PT"/>
              </w:rPr>
              <w:t>era</w:t>
            </w:r>
            <w:r w:rsidR="00DE1B8E" w:rsidRPr="00CF3673">
              <w:rPr>
                <w:noProof/>
                <w:lang w:val="pt-PT"/>
              </w:rPr>
              <w:t xml:space="preserve"> “problematic</w:t>
            </w:r>
            <w:r w:rsidR="006C4C2F" w:rsidRPr="00CF3673">
              <w:rPr>
                <w:noProof/>
                <w:lang w:val="pt-PT"/>
              </w:rPr>
              <w:t>o</w:t>
            </w:r>
            <w:r w:rsidR="00DE1B8E" w:rsidRPr="00CF3673">
              <w:rPr>
                <w:noProof/>
                <w:lang w:val="pt-PT"/>
              </w:rPr>
              <w:t xml:space="preserve"> </w:t>
            </w:r>
            <w:r w:rsidR="006C4C2F" w:rsidRPr="00CF3673">
              <w:rPr>
                <w:noProof/>
                <w:lang w:val="pt-PT"/>
              </w:rPr>
              <w:t>para as operações e crescimento do seu negócio</w:t>
            </w:r>
            <w:r w:rsidR="00DE1B8E" w:rsidRPr="00CF3673">
              <w:rPr>
                <w:noProof/>
                <w:lang w:val="pt-PT"/>
              </w:rPr>
              <w:t>”.</w:t>
            </w:r>
            <w:r w:rsidR="00F12D51" w:rsidRPr="00CF3673">
              <w:rPr>
                <w:noProof/>
                <w:lang w:val="pt-PT"/>
              </w:rPr>
              <w:t xml:space="preserve"> </w:t>
            </w:r>
            <w:proofErr w:type="spellStart"/>
            <w:r w:rsidR="009D3235" w:rsidRPr="00CF3673">
              <w:rPr>
                <w:lang w:val="pt-PT"/>
              </w:rPr>
              <w:t>N</w:t>
            </w:r>
            <w:r w:rsidR="006C4C2F" w:rsidRPr="00CF3673">
              <w:rPr>
                <w:lang w:val="pt-PT"/>
              </w:rPr>
              <w:t>r</w:t>
            </w:r>
            <w:proofErr w:type="spellEnd"/>
            <w:r w:rsidR="009D3235" w:rsidRPr="00CF3673">
              <w:rPr>
                <w:lang w:val="pt-PT"/>
              </w:rPr>
              <w:t xml:space="preserve">. </w:t>
            </w:r>
            <w:r w:rsidR="006C4C2F" w:rsidRPr="00CF3673">
              <w:rPr>
                <w:lang w:val="pt-PT"/>
              </w:rPr>
              <w:t>de</w:t>
            </w:r>
            <w:r w:rsidR="009D3235" w:rsidRPr="00CF3673">
              <w:rPr>
                <w:lang w:val="pt-PT"/>
              </w:rPr>
              <w:t xml:space="preserve"> </w:t>
            </w:r>
            <w:r w:rsidR="006C4C2F" w:rsidRPr="00CF3673">
              <w:rPr>
                <w:lang w:val="pt-PT"/>
              </w:rPr>
              <w:t>observações em falta</w:t>
            </w:r>
            <w:r w:rsidR="009D3235" w:rsidRPr="00CF3673">
              <w:rPr>
                <w:lang w:val="pt-PT"/>
              </w:rPr>
              <w:t xml:space="preserve">: </w:t>
            </w:r>
            <w:r w:rsidRPr="00CF3673">
              <w:rPr>
                <w:lang w:val="pt-PT"/>
              </w:rPr>
              <w:t>1</w:t>
            </w:r>
            <w:r w:rsidR="009D3235" w:rsidRPr="00CF3673">
              <w:rPr>
                <w:lang w:val="pt-PT"/>
              </w:rPr>
              <w:t>66.</w:t>
            </w:r>
          </w:p>
        </w:tc>
      </w:tr>
      <w:tr w:rsidR="002A6E2B" w:rsidRPr="00CF3673" w:rsidTr="00FE7411">
        <w:trPr>
          <w:trHeight w:val="300"/>
          <w:jc w:val="center"/>
        </w:trPr>
        <w:tc>
          <w:tcPr>
            <w:tcW w:w="5758" w:type="dxa"/>
            <w:gridSpan w:val="4"/>
            <w:tcBorders>
              <w:top w:val="nil"/>
              <w:bottom w:val="nil"/>
            </w:tcBorders>
            <w:noWrap/>
          </w:tcPr>
          <w:p w:rsidR="002A6E2B" w:rsidRPr="00CF3673" w:rsidRDefault="006C4C2F" w:rsidP="006C4C2F">
            <w:pPr>
              <w:pStyle w:val="Tablenote"/>
              <w:rPr>
                <w:b/>
                <w:lang w:val="pt-PT"/>
              </w:rPr>
            </w:pPr>
            <w:r w:rsidRPr="00CF3673">
              <w:rPr>
                <w:b/>
                <w:lang w:val="pt-PT"/>
              </w:rPr>
              <w:t xml:space="preserve">Fonte </w:t>
            </w:r>
            <w:r w:rsidR="002A6E2B" w:rsidRPr="00CF3673">
              <w:rPr>
                <w:b/>
                <w:lang w:val="pt-PT"/>
              </w:rPr>
              <w:t>:</w:t>
            </w:r>
            <w:r w:rsidR="002A6E2B" w:rsidRPr="00CF3673">
              <w:rPr>
                <w:lang w:val="pt-PT"/>
              </w:rPr>
              <w:t xml:space="preserve"> </w:t>
            </w:r>
            <w:r w:rsidR="00761AD0" w:rsidRPr="00CF3673">
              <w:rPr>
                <w:lang w:val="pt-PT"/>
              </w:rPr>
              <w:t>Cálculos</w:t>
            </w:r>
            <w:r w:rsidRPr="00CF3673">
              <w:rPr>
                <w:lang w:val="pt-PT"/>
              </w:rPr>
              <w:t xml:space="preserve"> dos autores usando</w:t>
            </w:r>
            <w:r w:rsidR="002A6E2B" w:rsidRPr="00CF3673">
              <w:rPr>
                <w:lang w:val="pt-PT"/>
              </w:rPr>
              <w:t xml:space="preserve"> IIM 2012.</w:t>
            </w:r>
          </w:p>
        </w:tc>
      </w:tr>
    </w:tbl>
    <w:p w:rsidR="007B5C6B" w:rsidRPr="00CF3673" w:rsidRDefault="007B5C6B" w:rsidP="001E664B">
      <w:pPr>
        <w:pStyle w:val="MainText"/>
        <w:rPr>
          <w:lang w:val="pt-PT"/>
        </w:rPr>
      </w:pPr>
    </w:p>
    <w:p w:rsidR="008E47FF" w:rsidRPr="00CF3673" w:rsidRDefault="008E47FF" w:rsidP="001E664B">
      <w:pPr>
        <w:pStyle w:val="MainText"/>
        <w:rPr>
          <w:lang w:val="pt-PT"/>
        </w:rPr>
      </w:pPr>
      <w:r w:rsidRPr="00CF3673">
        <w:rPr>
          <w:lang w:val="pt-PT"/>
        </w:rPr>
        <w:t xml:space="preserve">Existe uma correlação entre a percepção do credito como constrangimento e ser na verdade constrangido pelo credito; uma constatação em linha com </w:t>
      </w:r>
      <w:proofErr w:type="spellStart"/>
      <w:r w:rsidRPr="00CF3673">
        <w:rPr>
          <w:lang w:val="pt-PT"/>
        </w:rPr>
        <w:t>Byiers</w:t>
      </w:r>
      <w:proofErr w:type="spellEnd"/>
      <w:r w:rsidRPr="00CF3673">
        <w:rPr>
          <w:lang w:val="pt-PT"/>
        </w:rPr>
        <w:t xml:space="preserve"> </w:t>
      </w:r>
      <w:proofErr w:type="spellStart"/>
      <w:r w:rsidRPr="00CF3673">
        <w:rPr>
          <w:lang w:val="pt-PT"/>
        </w:rPr>
        <w:t>et</w:t>
      </w:r>
      <w:proofErr w:type="spellEnd"/>
      <w:r w:rsidRPr="00CF3673">
        <w:rPr>
          <w:lang w:val="pt-PT"/>
        </w:rPr>
        <w:t xml:space="preserve"> al. (2010).</w:t>
      </w:r>
    </w:p>
    <w:p w:rsidR="008E47FF" w:rsidRPr="00CF3673" w:rsidRDefault="008E47FF" w:rsidP="001E664B">
      <w:pPr>
        <w:pStyle w:val="MainText"/>
        <w:rPr>
          <w:lang w:val="pt-PT"/>
        </w:rPr>
      </w:pPr>
      <w:r w:rsidRPr="00CF3673">
        <w:rPr>
          <w:lang w:val="pt-PT"/>
        </w:rPr>
        <w:t xml:space="preserve">Parece que a avaliação subjective dos constrangimento- pelo menos quando se trata de </w:t>
      </w:r>
      <w:r w:rsidR="00BB1D52" w:rsidRPr="00CF3673">
        <w:rPr>
          <w:lang w:val="pt-PT"/>
        </w:rPr>
        <w:t>crédito</w:t>
      </w:r>
      <w:r w:rsidRPr="00CF3673">
        <w:rPr>
          <w:lang w:val="pt-PT"/>
        </w:rPr>
        <w:t xml:space="preserve">- é prematura avançar </w:t>
      </w:r>
      <w:r w:rsidR="00761AD0" w:rsidRPr="00CF3673">
        <w:rPr>
          <w:lang w:val="pt-PT"/>
        </w:rPr>
        <w:t>conclusões</w:t>
      </w:r>
      <w:r w:rsidRPr="00CF3673">
        <w:rPr>
          <w:lang w:val="pt-PT"/>
        </w:rPr>
        <w:t xml:space="preserve"> e que a recomendação de </w:t>
      </w:r>
      <w:r w:rsidR="00761AD0" w:rsidRPr="00CF3673">
        <w:rPr>
          <w:lang w:val="pt-PT"/>
        </w:rPr>
        <w:t>políticas</w:t>
      </w:r>
      <w:r w:rsidRPr="00CF3673">
        <w:rPr>
          <w:lang w:val="pt-PT"/>
        </w:rPr>
        <w:t xml:space="preserve"> devia ser baseada em uma </w:t>
      </w:r>
      <w:r w:rsidR="00761AD0" w:rsidRPr="00CF3673">
        <w:rPr>
          <w:lang w:val="pt-PT"/>
        </w:rPr>
        <w:t>análise</w:t>
      </w:r>
      <w:r w:rsidRPr="00CF3673">
        <w:rPr>
          <w:lang w:val="pt-PT"/>
        </w:rPr>
        <w:t xml:space="preserve"> profunda.  </w:t>
      </w:r>
    </w:p>
    <w:p w:rsidR="00C06E56" w:rsidRPr="00CF3673" w:rsidRDefault="00531071" w:rsidP="001E664B">
      <w:pPr>
        <w:pStyle w:val="MainText"/>
        <w:rPr>
          <w:lang w:val="pt-PT"/>
        </w:rPr>
      </w:pPr>
      <w:r w:rsidRPr="00CF3673">
        <w:rPr>
          <w:lang w:val="pt-PT"/>
        </w:rPr>
        <w:t xml:space="preserve">Na perspectiva de </w:t>
      </w:r>
      <w:r w:rsidR="00C06E56" w:rsidRPr="00CF3673">
        <w:rPr>
          <w:lang w:val="pt-PT"/>
        </w:rPr>
        <w:t>política</w:t>
      </w:r>
      <w:r w:rsidRPr="00CF3673">
        <w:rPr>
          <w:lang w:val="pt-PT"/>
        </w:rPr>
        <w:t>, o</w:t>
      </w:r>
      <w:r w:rsidR="008E47FF" w:rsidRPr="00CF3673">
        <w:rPr>
          <w:lang w:val="pt-PT"/>
        </w:rPr>
        <w:t xml:space="preserve"> que nos interessa é se existe i</w:t>
      </w:r>
      <w:r w:rsidRPr="00CF3673">
        <w:rPr>
          <w:lang w:val="pt-PT"/>
        </w:rPr>
        <w:t>nvestimento</w:t>
      </w:r>
      <w:r w:rsidR="008E47FF" w:rsidRPr="00CF3673">
        <w:rPr>
          <w:lang w:val="pt-PT"/>
        </w:rPr>
        <w:t>s</w:t>
      </w:r>
      <w:r w:rsidRPr="00CF3673">
        <w:rPr>
          <w:lang w:val="pt-PT"/>
        </w:rPr>
        <w:t xml:space="preserve"> produtivos que </w:t>
      </w:r>
      <w:r w:rsidR="00C06E56" w:rsidRPr="00CF3673">
        <w:rPr>
          <w:lang w:val="pt-PT"/>
        </w:rPr>
        <w:t>estão a ser realizados</w:t>
      </w:r>
      <w:r w:rsidRPr="00CF3673">
        <w:rPr>
          <w:lang w:val="pt-PT"/>
        </w:rPr>
        <w:t xml:space="preserve"> não por</w:t>
      </w:r>
      <w:r w:rsidR="008E47FF" w:rsidRPr="00CF3673">
        <w:rPr>
          <w:lang w:val="pt-PT"/>
        </w:rPr>
        <w:t xml:space="preserve"> </w:t>
      </w:r>
      <w:r w:rsidRPr="00CF3673">
        <w:rPr>
          <w:lang w:val="pt-PT"/>
        </w:rPr>
        <w:t xml:space="preserve">causa das imperfeições do mercado de </w:t>
      </w:r>
      <w:r w:rsidR="00761AD0" w:rsidRPr="00CF3673">
        <w:rPr>
          <w:lang w:val="pt-PT"/>
        </w:rPr>
        <w:t>créditos</w:t>
      </w:r>
      <w:r w:rsidRPr="00CF3673">
        <w:rPr>
          <w:lang w:val="pt-PT"/>
        </w:rPr>
        <w:t>. Durante o trabalho de campo</w:t>
      </w:r>
      <w:r w:rsidR="00943463" w:rsidRPr="00CF3673">
        <w:rPr>
          <w:lang w:val="pt-PT"/>
        </w:rPr>
        <w:t xml:space="preserve">, quando perguntamos os proprietários das pequenas empresas quais os problemas que enfrentam, muitas vezes diriam “falta de fundos” ou “falta de dinheiro”. Esta resposta honesta pode reflectir duas questões: ou a empresa não é produtiva e não gera renda suficiente ou a empresa necessita de dinheiro para investir em novas maquinarias, </w:t>
      </w:r>
      <w:proofErr w:type="spellStart"/>
      <w:r w:rsidR="00C06E56" w:rsidRPr="00CF3673">
        <w:rPr>
          <w:lang w:val="pt-PT"/>
        </w:rPr>
        <w:t>etc</w:t>
      </w:r>
      <w:proofErr w:type="spellEnd"/>
      <w:r w:rsidR="00C06E56" w:rsidRPr="00CF3673">
        <w:rPr>
          <w:lang w:val="pt-PT"/>
        </w:rPr>
        <w:t xml:space="preserve"> para</w:t>
      </w:r>
      <w:r w:rsidR="00943463" w:rsidRPr="00CF3673">
        <w:rPr>
          <w:lang w:val="pt-PT"/>
        </w:rPr>
        <w:t xml:space="preserve"> melhorar a produtividade. Estas questões estão associadas, mas ambas podem ser resolvidas com dinheiro (credito). </w:t>
      </w:r>
      <w:r w:rsidR="008E47FF" w:rsidRPr="00CF3673">
        <w:rPr>
          <w:lang w:val="pt-PT"/>
        </w:rPr>
        <w:t xml:space="preserve">O ponto é que uma pergunta se “acesso ao </w:t>
      </w:r>
      <w:r w:rsidR="00761AD0" w:rsidRPr="00CF3673">
        <w:rPr>
          <w:lang w:val="pt-PT"/>
        </w:rPr>
        <w:t>crédito</w:t>
      </w:r>
      <w:r w:rsidR="008E47FF" w:rsidRPr="00CF3673">
        <w:rPr>
          <w:lang w:val="pt-PT"/>
        </w:rPr>
        <w:t xml:space="preserve">” é um constrangimento poderá resultar numa resposta positiva para a maioria das empresas e consequentemente </w:t>
      </w:r>
      <w:r w:rsidR="00C06E56" w:rsidRPr="00CF3673">
        <w:rPr>
          <w:lang w:val="pt-PT"/>
        </w:rPr>
        <w:t>o sinal desta pergunta é de alguma forma ruidosa.</w:t>
      </w:r>
    </w:p>
    <w:p w:rsidR="00943463" w:rsidRPr="00CF3673" w:rsidRDefault="005B4738" w:rsidP="001E664B">
      <w:pPr>
        <w:pStyle w:val="MainText"/>
        <w:rPr>
          <w:lang w:val="pt-PT"/>
        </w:rPr>
      </w:pPr>
      <w:r w:rsidRPr="00CF3673">
        <w:rPr>
          <w:lang w:val="pt-PT"/>
        </w:rPr>
        <w:t xml:space="preserve">Assim, acesso ao </w:t>
      </w:r>
      <w:r w:rsidR="00C06E56" w:rsidRPr="00CF3673">
        <w:rPr>
          <w:lang w:val="pt-PT"/>
        </w:rPr>
        <w:t>crédito</w:t>
      </w:r>
      <w:r w:rsidRPr="00CF3673">
        <w:rPr>
          <w:lang w:val="pt-PT"/>
        </w:rPr>
        <w:t xml:space="preserve"> </w:t>
      </w:r>
      <w:r w:rsidR="00761AD0" w:rsidRPr="00CF3673">
        <w:rPr>
          <w:lang w:val="pt-PT"/>
        </w:rPr>
        <w:t>bancário</w:t>
      </w:r>
      <w:r w:rsidRPr="00CF3673">
        <w:rPr>
          <w:lang w:val="pt-PT"/>
        </w:rPr>
        <w:t xml:space="preserve"> e </w:t>
      </w:r>
      <w:r w:rsidR="00761AD0" w:rsidRPr="00CF3673">
        <w:rPr>
          <w:lang w:val="pt-PT"/>
        </w:rPr>
        <w:t>facilidades</w:t>
      </w:r>
      <w:r w:rsidRPr="00CF3673">
        <w:rPr>
          <w:lang w:val="pt-PT"/>
        </w:rPr>
        <w:t xml:space="preserve"> de descoberto continua limitado mesmo comparado com os </w:t>
      </w:r>
      <w:r w:rsidR="00761AD0" w:rsidRPr="00CF3673">
        <w:rPr>
          <w:lang w:val="pt-PT"/>
        </w:rPr>
        <w:t>padrões</w:t>
      </w:r>
      <w:r w:rsidRPr="00CF3673">
        <w:rPr>
          <w:lang w:val="pt-PT"/>
        </w:rPr>
        <w:t xml:space="preserve"> africanos, e para maioria das empresas manufactureiras </w:t>
      </w:r>
      <w:r w:rsidR="00761AD0" w:rsidRPr="00CF3673">
        <w:rPr>
          <w:lang w:val="pt-PT"/>
        </w:rPr>
        <w:t>moçambicanas</w:t>
      </w:r>
      <w:r w:rsidRPr="00CF3673">
        <w:rPr>
          <w:lang w:val="pt-PT"/>
        </w:rPr>
        <w:t xml:space="preserve"> investigadas neste </w:t>
      </w:r>
      <w:r w:rsidR="00761AD0" w:rsidRPr="00CF3673">
        <w:rPr>
          <w:lang w:val="pt-PT"/>
        </w:rPr>
        <w:t>inquérito</w:t>
      </w:r>
      <w:r w:rsidRPr="00CF3673">
        <w:rPr>
          <w:lang w:val="pt-PT"/>
        </w:rPr>
        <w:t xml:space="preserve">, obter credito externo não é </w:t>
      </w:r>
      <w:r w:rsidR="00761AD0" w:rsidRPr="00CF3673">
        <w:rPr>
          <w:lang w:val="pt-PT"/>
        </w:rPr>
        <w:t>fácil</w:t>
      </w:r>
      <w:r w:rsidRPr="00CF3673">
        <w:rPr>
          <w:lang w:val="pt-PT"/>
        </w:rPr>
        <w:t>.</w:t>
      </w:r>
    </w:p>
    <w:p w:rsidR="00971BAA" w:rsidRPr="00CF3673" w:rsidRDefault="00971BAA" w:rsidP="001E664B">
      <w:pPr>
        <w:pStyle w:val="MainText"/>
        <w:rPr>
          <w:b/>
          <w:lang w:val="pt-PT"/>
        </w:rPr>
      </w:pPr>
      <w:r w:rsidRPr="00CF3673">
        <w:rPr>
          <w:b/>
          <w:lang w:val="pt-PT"/>
        </w:rPr>
        <w:br w:type="page"/>
      </w:r>
    </w:p>
    <w:p w:rsidR="00D31F36" w:rsidRPr="00CF3673" w:rsidRDefault="00461403" w:rsidP="001E664B">
      <w:pPr>
        <w:pStyle w:val="ChapterTitle"/>
        <w:rPr>
          <w:lang w:val="pt-PT"/>
        </w:rPr>
      </w:pPr>
      <w:bookmarkStart w:id="89" w:name="_Toc360720408"/>
      <w:r w:rsidRPr="00CF3673">
        <w:rPr>
          <w:lang w:val="pt-PT"/>
        </w:rPr>
        <w:lastRenderedPageBreak/>
        <w:t>10</w:t>
      </w:r>
      <w:r w:rsidR="00D31F36" w:rsidRPr="00CF3673">
        <w:rPr>
          <w:lang w:val="pt-PT"/>
        </w:rPr>
        <w:t>. Informali</w:t>
      </w:r>
      <w:r w:rsidR="006B2050" w:rsidRPr="00CF3673">
        <w:rPr>
          <w:lang w:val="pt-PT"/>
        </w:rPr>
        <w:t>dade e suborno</w:t>
      </w:r>
      <w:bookmarkEnd w:id="89"/>
    </w:p>
    <w:p w:rsidR="006B2050" w:rsidRPr="00CF3673" w:rsidRDefault="006B2050" w:rsidP="001E664B">
      <w:pPr>
        <w:pStyle w:val="MainText"/>
        <w:rPr>
          <w:lang w:val="pt-PT"/>
        </w:rPr>
      </w:pPr>
      <w:r w:rsidRPr="00CF3673">
        <w:rPr>
          <w:lang w:val="pt-PT"/>
        </w:rPr>
        <w:t xml:space="preserve">Este capítulo pretende descrever a natureza e os efeitos da informalidade e </w:t>
      </w:r>
      <w:r w:rsidR="00761AD0" w:rsidRPr="00CF3673">
        <w:rPr>
          <w:lang w:val="pt-PT"/>
        </w:rPr>
        <w:t>suborno</w:t>
      </w:r>
      <w:r w:rsidRPr="00CF3673">
        <w:rPr>
          <w:lang w:val="pt-PT"/>
        </w:rPr>
        <w:t xml:space="preserve"> para a presente amostra das empresas da indústria manufactureira em Moçambique.</w:t>
      </w:r>
    </w:p>
    <w:p w:rsidR="00815221" w:rsidRPr="00CF3673" w:rsidRDefault="006B2050" w:rsidP="001E664B">
      <w:pPr>
        <w:pStyle w:val="MainText"/>
        <w:rPr>
          <w:lang w:val="pt-PT"/>
        </w:rPr>
      </w:pPr>
      <w:r w:rsidRPr="00CF3673">
        <w:rPr>
          <w:lang w:val="pt-PT"/>
        </w:rPr>
        <w:t xml:space="preserve">A informalidade interessa seja ou não a uma empresa registada (que paga impostos) e faz parte da economia formal. O estar registado implica tanto vantagens como desvantagens. Assegurar </w:t>
      </w:r>
      <w:r w:rsidR="00761AD0" w:rsidRPr="00CF3673">
        <w:rPr>
          <w:lang w:val="pt-PT"/>
        </w:rPr>
        <w:t>negócios</w:t>
      </w:r>
      <w:r w:rsidRPr="00CF3673">
        <w:rPr>
          <w:lang w:val="pt-PT"/>
        </w:rPr>
        <w:t xml:space="preserve"> com grandes empresas, atrair </w:t>
      </w:r>
      <w:r w:rsidR="00761AD0" w:rsidRPr="00CF3673">
        <w:rPr>
          <w:lang w:val="pt-PT"/>
        </w:rPr>
        <w:t>mão-de-obra</w:t>
      </w:r>
      <w:r w:rsidRPr="00CF3673">
        <w:rPr>
          <w:lang w:val="pt-PT"/>
        </w:rPr>
        <w:t xml:space="preserve"> qualificada e cooperar com as autoridade pode ser mais difícil para os negócios informais. Por outro lado, ser informal pode reduzir </w:t>
      </w:r>
      <w:r w:rsidR="00815221" w:rsidRPr="00CF3673">
        <w:rPr>
          <w:lang w:val="pt-PT"/>
        </w:rPr>
        <w:t>os custos de operação para a empresa. Esta primeira secção deste capitulo descreve as questões relacionadas com a informalidade.</w:t>
      </w:r>
    </w:p>
    <w:p w:rsidR="00815221" w:rsidRPr="00CF3673" w:rsidRDefault="00815221" w:rsidP="001E664B">
      <w:pPr>
        <w:pStyle w:val="MainText"/>
        <w:rPr>
          <w:lang w:val="pt-PT"/>
        </w:rPr>
      </w:pPr>
      <w:r w:rsidRPr="00CF3673">
        <w:rPr>
          <w:lang w:val="pt-PT"/>
        </w:rPr>
        <w:t xml:space="preserve">Quando os negócios são regulados pelas autoridades, da aos oficiais do governo a oportunidade de </w:t>
      </w:r>
      <w:r w:rsidR="007946F5" w:rsidRPr="00CF3673">
        <w:rPr>
          <w:lang w:val="pt-PT"/>
        </w:rPr>
        <w:t>compra de favores</w:t>
      </w:r>
      <w:r w:rsidRPr="00CF3673">
        <w:rPr>
          <w:lang w:val="pt-PT"/>
        </w:rPr>
        <w:t>- como por exemplo subornos, especialmente quando existe uma limitada responsabilização. A segunda secção deste capitulo descreve a natureza dos subornos pagos pelas empresas moçambicanas.</w:t>
      </w:r>
    </w:p>
    <w:p w:rsidR="004F5256" w:rsidRPr="00CF3673" w:rsidRDefault="006102AC" w:rsidP="001E664B">
      <w:pPr>
        <w:pStyle w:val="SectionTitle"/>
        <w:rPr>
          <w:lang w:val="pt-PT"/>
        </w:rPr>
      </w:pPr>
      <w:bookmarkStart w:id="90" w:name="_Toc360720409"/>
      <w:r w:rsidRPr="00CF3673">
        <w:rPr>
          <w:lang w:val="pt-PT"/>
        </w:rPr>
        <w:t>10</w:t>
      </w:r>
      <w:r w:rsidR="00C13A91" w:rsidRPr="00CF3673">
        <w:rPr>
          <w:lang w:val="pt-PT"/>
        </w:rPr>
        <w:t>.1</w:t>
      </w:r>
      <w:r w:rsidR="003B376C" w:rsidRPr="00CF3673">
        <w:rPr>
          <w:lang w:val="pt-PT"/>
        </w:rPr>
        <w:t>.</w:t>
      </w:r>
      <w:r w:rsidR="00C13A91" w:rsidRPr="00CF3673">
        <w:rPr>
          <w:lang w:val="pt-PT"/>
        </w:rPr>
        <w:t xml:space="preserve"> </w:t>
      </w:r>
      <w:r w:rsidR="004F5256" w:rsidRPr="00CF3673">
        <w:rPr>
          <w:lang w:val="pt-PT"/>
        </w:rPr>
        <w:t>Informali</w:t>
      </w:r>
      <w:r w:rsidR="00815221" w:rsidRPr="00CF3673">
        <w:rPr>
          <w:lang w:val="pt-PT"/>
        </w:rPr>
        <w:t>dade</w:t>
      </w:r>
      <w:bookmarkEnd w:id="90"/>
    </w:p>
    <w:p w:rsidR="00815221" w:rsidRPr="00CF3673" w:rsidRDefault="00815221" w:rsidP="001E664B">
      <w:pPr>
        <w:pStyle w:val="MainText"/>
        <w:rPr>
          <w:lang w:val="pt-PT"/>
        </w:rPr>
      </w:pPr>
      <w:r w:rsidRPr="00CF3673">
        <w:rPr>
          <w:lang w:val="pt-PT"/>
        </w:rPr>
        <w:t xml:space="preserve">Como medir a informalidade é uma </w:t>
      </w:r>
      <w:r w:rsidR="00761AD0" w:rsidRPr="00CF3673">
        <w:rPr>
          <w:lang w:val="pt-PT"/>
        </w:rPr>
        <w:t>tópico</w:t>
      </w:r>
      <w:r w:rsidRPr="00CF3673">
        <w:rPr>
          <w:lang w:val="pt-PT"/>
        </w:rPr>
        <w:t xml:space="preserve"> que tem provocado </w:t>
      </w:r>
      <w:r w:rsidR="00761AD0" w:rsidRPr="00CF3673">
        <w:rPr>
          <w:lang w:val="pt-PT"/>
        </w:rPr>
        <w:t>inúmeros</w:t>
      </w:r>
      <w:r w:rsidRPr="00CF3673">
        <w:rPr>
          <w:lang w:val="pt-PT"/>
        </w:rPr>
        <w:t xml:space="preserve"> debates, dado que informalidade pode se referir a aspectos diferentes, mas um </w:t>
      </w:r>
      <w:r w:rsidR="00761AD0" w:rsidRPr="00CF3673">
        <w:rPr>
          <w:lang w:val="pt-PT"/>
        </w:rPr>
        <w:t>fenómeno</w:t>
      </w:r>
      <w:r w:rsidRPr="00CF3673">
        <w:rPr>
          <w:lang w:val="pt-PT"/>
        </w:rPr>
        <w:t xml:space="preserve"> interligado. </w:t>
      </w:r>
      <w:proofErr w:type="spellStart"/>
      <w:r w:rsidRPr="00CF3673">
        <w:rPr>
          <w:lang w:val="pt-PT"/>
        </w:rPr>
        <w:t>Ostrom</w:t>
      </w:r>
      <w:proofErr w:type="spellEnd"/>
      <w:r w:rsidRPr="00CF3673">
        <w:rPr>
          <w:lang w:val="pt-PT"/>
        </w:rPr>
        <w:t xml:space="preserve"> </w:t>
      </w:r>
      <w:proofErr w:type="spellStart"/>
      <w:r w:rsidRPr="00CF3673">
        <w:rPr>
          <w:lang w:val="pt-PT"/>
        </w:rPr>
        <w:t>et</w:t>
      </w:r>
      <w:proofErr w:type="spellEnd"/>
      <w:r w:rsidRPr="00CF3673">
        <w:rPr>
          <w:lang w:val="pt-PT"/>
        </w:rPr>
        <w:t xml:space="preserve"> al (2006) a melhor forma e abordagem é reservar a designação “informal” para actividades que não estão registadas pelo governo, que a abordagem também seguida neste relatório. </w:t>
      </w:r>
    </w:p>
    <w:p w:rsidR="00815221" w:rsidRPr="00CF3673" w:rsidRDefault="00F153EE" w:rsidP="001E664B">
      <w:pPr>
        <w:pStyle w:val="MainText"/>
        <w:rPr>
          <w:lang w:val="pt-PT"/>
        </w:rPr>
      </w:pPr>
      <w:r w:rsidRPr="00CF3673">
        <w:rPr>
          <w:lang w:val="pt-PT"/>
        </w:rPr>
        <w:t xml:space="preserve">O sector informal tem recebido atenção renovada nos </w:t>
      </w:r>
      <w:r w:rsidR="00761AD0" w:rsidRPr="00CF3673">
        <w:rPr>
          <w:lang w:val="pt-PT"/>
        </w:rPr>
        <w:t>últimos</w:t>
      </w:r>
      <w:r w:rsidRPr="00CF3673">
        <w:rPr>
          <w:lang w:val="pt-PT"/>
        </w:rPr>
        <w:t xml:space="preserve"> dias em </w:t>
      </w:r>
      <w:r w:rsidR="00761AD0" w:rsidRPr="00CF3673">
        <w:rPr>
          <w:lang w:val="pt-PT"/>
        </w:rPr>
        <w:t>Moçambique</w:t>
      </w:r>
      <w:r w:rsidRPr="00CF3673">
        <w:rPr>
          <w:lang w:val="pt-PT"/>
        </w:rPr>
        <w:t>. Por um lado é mencionado como um “</w:t>
      </w:r>
      <w:r w:rsidR="007946F5" w:rsidRPr="00CF3673">
        <w:rPr>
          <w:lang w:val="pt-PT"/>
        </w:rPr>
        <w:t>lacuna na</w:t>
      </w:r>
      <w:r w:rsidRPr="00CF3673">
        <w:rPr>
          <w:lang w:val="pt-PT"/>
        </w:rPr>
        <w:t xml:space="preserve"> criação de emprego” (veja por exemplo Jones e </w:t>
      </w:r>
      <w:proofErr w:type="spellStart"/>
      <w:r w:rsidRPr="00CF3673">
        <w:rPr>
          <w:lang w:val="pt-PT"/>
        </w:rPr>
        <w:t>Tarp</w:t>
      </w:r>
      <w:proofErr w:type="spellEnd"/>
      <w:r w:rsidRPr="00CF3673">
        <w:rPr>
          <w:lang w:val="pt-PT"/>
        </w:rPr>
        <w:t>, 2012) em reconhecimento do facto de a esmagadora maioria da força de trabalho não tem emprego formal. Por outro lado, as autoridades moçambicanas são ambíguas relativamente ao sector informal, algumas vezes embaraçando, outras vezes despendi-o</w:t>
      </w:r>
      <w:r w:rsidRPr="00CF3673">
        <w:rPr>
          <w:rStyle w:val="FootnoteReference"/>
          <w:lang w:val="pt-PT"/>
        </w:rPr>
        <w:footnoteReference w:id="46"/>
      </w:r>
      <w:r w:rsidR="004C2D32" w:rsidRPr="00CF3673">
        <w:rPr>
          <w:lang w:val="pt-PT"/>
        </w:rPr>
        <w:t>. De qualquer forma é importante perceber as dinâmicas do sector informal. Normalmente, o sector informal é associado ao comércio de coisas mesquinhas, mas também esta presente nele a indústria manufactureira, que é o tópico desta secção.</w:t>
      </w:r>
    </w:p>
    <w:p w:rsidR="004C2D32" w:rsidRPr="00CF3673" w:rsidRDefault="004C2D32" w:rsidP="001E664B">
      <w:pPr>
        <w:pStyle w:val="MainText"/>
        <w:rPr>
          <w:lang w:val="pt-PT"/>
        </w:rPr>
      </w:pPr>
      <w:r w:rsidRPr="00CF3673">
        <w:rPr>
          <w:lang w:val="pt-PT"/>
        </w:rPr>
        <w:t>Dado que todas as observações do ICA09 e quase todas as observações no DNEAP06 são empresas formais, apresentar estas questões sob painel não é de todo informativo. Assim o foco serão os dados cruzados do IIM2012</w:t>
      </w:r>
    </w:p>
    <w:p w:rsidR="004C2D32" w:rsidRPr="00CF3673" w:rsidRDefault="004C2D32" w:rsidP="001E664B">
      <w:pPr>
        <w:pStyle w:val="MainText"/>
        <w:rPr>
          <w:lang w:val="pt-PT"/>
        </w:rPr>
      </w:pPr>
      <w:r w:rsidRPr="00CF3673">
        <w:rPr>
          <w:lang w:val="pt-PT"/>
        </w:rPr>
        <w:lastRenderedPageBreak/>
        <w:t xml:space="preserve">Para operar formalmente, as empresas </w:t>
      </w:r>
      <w:r w:rsidR="00761AD0" w:rsidRPr="00CF3673">
        <w:rPr>
          <w:lang w:val="pt-PT"/>
        </w:rPr>
        <w:t>moçambicanas</w:t>
      </w:r>
      <w:r w:rsidRPr="00CF3673">
        <w:rPr>
          <w:lang w:val="pt-PT"/>
        </w:rPr>
        <w:t xml:space="preserve"> necessitam em principio de:</w:t>
      </w:r>
    </w:p>
    <w:p w:rsidR="00F145A9" w:rsidRPr="00CF3673" w:rsidRDefault="00B70A6F" w:rsidP="00BB3B06">
      <w:pPr>
        <w:pStyle w:val="MainText"/>
        <w:numPr>
          <w:ilvl w:val="0"/>
          <w:numId w:val="16"/>
        </w:numPr>
        <w:rPr>
          <w:lang w:val="pt-PT"/>
        </w:rPr>
      </w:pPr>
      <w:r w:rsidRPr="00CF3673">
        <w:rPr>
          <w:lang w:val="pt-PT"/>
        </w:rPr>
        <w:t xml:space="preserve">Obter </w:t>
      </w:r>
      <w:r w:rsidR="00761AD0" w:rsidRPr="00CF3673">
        <w:rPr>
          <w:lang w:val="pt-PT"/>
        </w:rPr>
        <w:t>cientificado</w:t>
      </w:r>
      <w:r w:rsidRPr="00CF3673">
        <w:rPr>
          <w:lang w:val="pt-PT"/>
        </w:rPr>
        <w:t xml:space="preserve"> único do nome na conservatória dos Registos de Entidades Legais (CREL);</w:t>
      </w:r>
    </w:p>
    <w:p w:rsidR="00B70A6F" w:rsidRPr="00CF3673" w:rsidRDefault="00B70A6F" w:rsidP="00BB3B06">
      <w:pPr>
        <w:pStyle w:val="MainText"/>
        <w:numPr>
          <w:ilvl w:val="0"/>
          <w:numId w:val="16"/>
        </w:numPr>
        <w:rPr>
          <w:lang w:val="pt-PT"/>
        </w:rPr>
      </w:pPr>
      <w:r w:rsidRPr="00CF3673">
        <w:rPr>
          <w:lang w:val="pt-PT"/>
        </w:rPr>
        <w:t>Registo para a obtenção do NUIT (numero do pagador de impostos) na repartição de finanças (departamento de finanças)</w:t>
      </w:r>
    </w:p>
    <w:p w:rsidR="00B70A6F" w:rsidRPr="00CF3673" w:rsidRDefault="00B70A6F" w:rsidP="00BB3B06">
      <w:pPr>
        <w:pStyle w:val="MainText"/>
        <w:numPr>
          <w:ilvl w:val="0"/>
          <w:numId w:val="16"/>
        </w:numPr>
        <w:rPr>
          <w:lang w:val="pt-PT"/>
        </w:rPr>
      </w:pPr>
      <w:r w:rsidRPr="00CF3673">
        <w:rPr>
          <w:lang w:val="pt-PT"/>
        </w:rPr>
        <w:t xml:space="preserve">Candidatura para obtenção da licença simplificada do </w:t>
      </w:r>
      <w:r w:rsidR="00761AD0" w:rsidRPr="00CF3673">
        <w:rPr>
          <w:lang w:val="pt-PT"/>
        </w:rPr>
        <w:t>Município</w:t>
      </w:r>
      <w:r w:rsidRPr="00CF3673">
        <w:rPr>
          <w:lang w:val="pt-PT"/>
        </w:rPr>
        <w:t xml:space="preserve"> no </w:t>
      </w:r>
      <w:r w:rsidR="00761AD0" w:rsidRPr="00CF3673">
        <w:rPr>
          <w:lang w:val="pt-PT"/>
        </w:rPr>
        <w:t>Balcão</w:t>
      </w:r>
      <w:r w:rsidRPr="00CF3673">
        <w:rPr>
          <w:lang w:val="pt-PT"/>
        </w:rPr>
        <w:t xml:space="preserve"> Único (BAU) </w:t>
      </w:r>
    </w:p>
    <w:p w:rsidR="00B70A6F" w:rsidRPr="00CF3673" w:rsidRDefault="00B70A6F" w:rsidP="001E664B">
      <w:pPr>
        <w:pStyle w:val="MainText"/>
        <w:rPr>
          <w:lang w:val="pt-PT"/>
        </w:rPr>
      </w:pPr>
      <w:r w:rsidRPr="00CF3673">
        <w:rPr>
          <w:lang w:val="pt-PT"/>
        </w:rPr>
        <w:t xml:space="preserve">A </w:t>
      </w:r>
      <w:r w:rsidR="00653441" w:rsidRPr="00CF3673">
        <w:rPr>
          <w:lang w:val="pt-PT"/>
        </w:rPr>
        <w:t>estes procedimentos</w:t>
      </w:r>
      <w:r w:rsidRPr="00CF3673">
        <w:rPr>
          <w:lang w:val="pt-PT"/>
        </w:rPr>
        <w:t xml:space="preserve"> se pode acrescentar o registo dos trabalhadores (</w:t>
      </w:r>
      <w:r w:rsidR="00653441" w:rsidRPr="00CF3673">
        <w:rPr>
          <w:lang w:val="pt-PT"/>
        </w:rPr>
        <w:t>no Centro de Emprego Provincial e no Sistema de Segurança Social</w:t>
      </w:r>
      <w:r w:rsidRPr="00CF3673">
        <w:rPr>
          <w:lang w:val="pt-PT"/>
        </w:rPr>
        <w:t>)</w:t>
      </w:r>
      <w:r w:rsidR="00653441" w:rsidRPr="00CF3673">
        <w:rPr>
          <w:lang w:val="pt-PT"/>
        </w:rPr>
        <w:t xml:space="preserve"> e declarar o início das operações às varias instituições</w:t>
      </w:r>
      <w:r w:rsidR="00653441" w:rsidRPr="00CF3673">
        <w:rPr>
          <w:rStyle w:val="FootnoteReference"/>
          <w:lang w:val="pt-PT"/>
        </w:rPr>
        <w:footnoteReference w:id="47"/>
      </w:r>
      <w:r w:rsidR="00653441" w:rsidRPr="00CF3673">
        <w:rPr>
          <w:lang w:val="pt-PT"/>
        </w:rPr>
        <w:t xml:space="preserve">. </w:t>
      </w:r>
    </w:p>
    <w:p w:rsidR="00653441" w:rsidRPr="00CF3673" w:rsidRDefault="00653441" w:rsidP="001E664B">
      <w:pPr>
        <w:pStyle w:val="MainText"/>
        <w:rPr>
          <w:lang w:val="pt-PT"/>
        </w:rPr>
      </w:pPr>
      <w:r w:rsidRPr="00CF3673">
        <w:rPr>
          <w:lang w:val="pt-PT"/>
        </w:rPr>
        <w:t xml:space="preserve">Mas uma coisa é teoria; a outra é o que na realidade acontece na </w:t>
      </w:r>
      <w:r w:rsidR="00360BF2" w:rsidRPr="00CF3673">
        <w:rPr>
          <w:lang w:val="pt-PT"/>
        </w:rPr>
        <w:t>prática</w:t>
      </w:r>
      <w:r w:rsidRPr="00CF3673">
        <w:rPr>
          <w:lang w:val="pt-PT"/>
        </w:rPr>
        <w:t>. Na presente base de dados há informações sobre registo na CREL e posse de NUIT</w:t>
      </w:r>
      <w:r w:rsidRPr="00CF3673">
        <w:rPr>
          <w:rStyle w:val="FootnoteReference"/>
          <w:lang w:val="pt-PT"/>
        </w:rPr>
        <w:footnoteReference w:id="48"/>
      </w:r>
      <w:r w:rsidR="00360BF2" w:rsidRPr="00CF3673">
        <w:rPr>
          <w:lang w:val="pt-PT"/>
        </w:rPr>
        <w:t xml:space="preserve">. Fora das decisões consciente de formalizar ou não, alguns proprietários de negócios simplesmente podem não saber o que é necessário para registar e se os seus negócios estão registados. Esta imagem é reforçada pelo facto de uma grande fracção das empresas indicaram ter NUIT mas não </w:t>
      </w:r>
      <w:r w:rsidR="00761AD0" w:rsidRPr="00CF3673">
        <w:rPr>
          <w:lang w:val="pt-PT"/>
        </w:rPr>
        <w:t>estão</w:t>
      </w:r>
      <w:r w:rsidR="00360BF2" w:rsidRPr="00CF3673">
        <w:rPr>
          <w:lang w:val="pt-PT"/>
        </w:rPr>
        <w:t xml:space="preserve"> registados na CREL onde na verdade as empresas sem NUIT dificilmente se registam na CREL, como se pode ver da tabela 10.1 (em teoria registar se na CREL deverá acontecer depois da obtenção do NUIT). Isto leva-nos a escolher o estado do NUIT como a medida preferida da formalidade. Lembre-se do capítulo 2 de que a maior parte das empresas informais e sob esta definição são de dimensão micro (159 dá 166 empresas) </w:t>
      </w:r>
    </w:p>
    <w:p w:rsidR="00D8746B" w:rsidRPr="00CF3673" w:rsidRDefault="00360BF2" w:rsidP="001E664B">
      <w:pPr>
        <w:pStyle w:val="MainText"/>
        <w:rPr>
          <w:lang w:val="pt-PT"/>
        </w:rPr>
      </w:pPr>
      <w:r w:rsidRPr="00CF3673">
        <w:rPr>
          <w:lang w:val="pt-PT"/>
        </w:rPr>
        <w:t xml:space="preserve"> </w:t>
      </w:r>
    </w:p>
    <w:p w:rsidR="00D8746B" w:rsidRPr="00CF3673" w:rsidRDefault="00E333A2" w:rsidP="00461403">
      <w:pPr>
        <w:pStyle w:val="TableTitle"/>
        <w:rPr>
          <w:lang w:val="pt-PT"/>
        </w:rPr>
      </w:pPr>
      <w:bookmarkStart w:id="91" w:name="_Toc360720504"/>
      <w:r w:rsidRPr="00CF3673">
        <w:rPr>
          <w:lang w:val="pt-PT"/>
        </w:rPr>
        <w:t>Tab</w:t>
      </w:r>
      <w:r w:rsidR="00851909" w:rsidRPr="00CF3673">
        <w:rPr>
          <w:lang w:val="pt-PT"/>
        </w:rPr>
        <w:t>e</w:t>
      </w:r>
      <w:r w:rsidRPr="00CF3673">
        <w:rPr>
          <w:lang w:val="pt-PT"/>
        </w:rPr>
        <w:t>l</w:t>
      </w:r>
      <w:r w:rsidR="00851909" w:rsidRPr="00CF3673">
        <w:rPr>
          <w:lang w:val="pt-PT"/>
        </w:rPr>
        <w:t>a</w:t>
      </w:r>
      <w:r w:rsidR="00D8746B" w:rsidRPr="00CF3673">
        <w:rPr>
          <w:lang w:val="pt-PT"/>
        </w:rPr>
        <w:t xml:space="preserve"> </w:t>
      </w:r>
      <w:r w:rsidR="006102AC" w:rsidRPr="00CF3673">
        <w:rPr>
          <w:lang w:val="pt-PT"/>
        </w:rPr>
        <w:t>10</w:t>
      </w:r>
      <w:r w:rsidR="00D8746B" w:rsidRPr="00CF3673">
        <w:rPr>
          <w:lang w:val="pt-PT"/>
        </w:rPr>
        <w:t>.1</w:t>
      </w:r>
      <w:r w:rsidR="00215639" w:rsidRPr="00CF3673">
        <w:rPr>
          <w:lang w:val="pt-PT"/>
        </w:rPr>
        <w:t xml:space="preserve">: </w:t>
      </w:r>
      <w:r w:rsidR="008B3FDD" w:rsidRPr="00CF3673">
        <w:rPr>
          <w:lang w:val="pt-PT"/>
        </w:rPr>
        <w:t>Regist</w:t>
      </w:r>
      <w:r w:rsidR="00851909" w:rsidRPr="00CF3673">
        <w:rPr>
          <w:lang w:val="pt-PT"/>
        </w:rPr>
        <w:t xml:space="preserve">o na </w:t>
      </w:r>
      <w:r w:rsidR="008B3FDD" w:rsidRPr="00CF3673">
        <w:rPr>
          <w:lang w:val="pt-PT"/>
        </w:rPr>
        <w:t xml:space="preserve">CREL </w:t>
      </w:r>
      <w:r w:rsidR="00851909" w:rsidRPr="00CF3673">
        <w:rPr>
          <w:lang w:val="pt-PT"/>
        </w:rPr>
        <w:t>pela posse do NUIT e Numero de empresas</w:t>
      </w:r>
      <w:bookmarkEnd w:id="91"/>
    </w:p>
    <w:tbl>
      <w:tblPr>
        <w:tblStyle w:val="StandardTable"/>
        <w:tblW w:w="0" w:type="auto"/>
        <w:jc w:val="center"/>
        <w:tblLayout w:type="fixed"/>
        <w:tblLook w:val="04A0" w:firstRow="1" w:lastRow="0" w:firstColumn="1" w:lastColumn="0" w:noHBand="0" w:noVBand="1"/>
      </w:tblPr>
      <w:tblGrid>
        <w:gridCol w:w="2066"/>
        <w:gridCol w:w="1075"/>
        <w:gridCol w:w="741"/>
        <w:gridCol w:w="748"/>
      </w:tblGrid>
      <w:tr w:rsidR="00936DE1" w:rsidRPr="00CF3673" w:rsidTr="00305F01">
        <w:trPr>
          <w:cnfStyle w:val="100000000000" w:firstRow="1" w:lastRow="0" w:firstColumn="0" w:lastColumn="0" w:oddVBand="0" w:evenVBand="0" w:oddHBand="0" w:evenHBand="0" w:firstRowFirstColumn="0" w:firstRowLastColumn="0" w:lastRowFirstColumn="0" w:lastRowLastColumn="0"/>
          <w:trHeight w:val="308"/>
          <w:jc w:val="center"/>
        </w:trPr>
        <w:tc>
          <w:tcPr>
            <w:tcW w:w="2066" w:type="dxa"/>
            <w:noWrap/>
            <w:hideMark/>
          </w:tcPr>
          <w:p w:rsidR="00936DE1" w:rsidRPr="00CF3673" w:rsidRDefault="00936DE1" w:rsidP="00936DE1">
            <w:pPr>
              <w:rPr>
                <w:rFonts w:ascii="Calibri" w:eastAsia="Times New Roman" w:hAnsi="Calibri" w:cs="Calibri"/>
                <w:color w:val="000000"/>
                <w:lang w:eastAsia="zh-CN"/>
              </w:rPr>
            </w:pPr>
          </w:p>
        </w:tc>
        <w:tc>
          <w:tcPr>
            <w:tcW w:w="1075" w:type="dxa"/>
            <w:noWrap/>
            <w:hideMark/>
          </w:tcPr>
          <w:p w:rsidR="00936DE1" w:rsidRPr="00CF3673" w:rsidRDefault="00851909" w:rsidP="001A3B39">
            <w:pPr>
              <w:jc w:val="cente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Nr</w:t>
            </w:r>
            <w:proofErr w:type="spellEnd"/>
            <w:r w:rsidR="00936DE1" w:rsidRPr="00CF3673">
              <w:rPr>
                <w:rFonts w:ascii="Calibri" w:eastAsia="Times New Roman" w:hAnsi="Calibri" w:cs="Calibri"/>
                <w:color w:val="000000"/>
                <w:lang w:eastAsia="zh-CN"/>
              </w:rPr>
              <w:t xml:space="preserve"> NUIT</w:t>
            </w:r>
          </w:p>
        </w:tc>
        <w:tc>
          <w:tcPr>
            <w:tcW w:w="741" w:type="dxa"/>
            <w:noWrap/>
            <w:hideMark/>
          </w:tcPr>
          <w:p w:rsidR="00936DE1" w:rsidRPr="00CF3673" w:rsidRDefault="00936DE1" w:rsidP="001A3B39">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NUIT</w:t>
            </w:r>
          </w:p>
        </w:tc>
        <w:tc>
          <w:tcPr>
            <w:tcW w:w="748" w:type="dxa"/>
            <w:noWrap/>
            <w:hideMark/>
          </w:tcPr>
          <w:p w:rsidR="00936DE1" w:rsidRPr="00CF3673" w:rsidRDefault="00936DE1" w:rsidP="001A3B39">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Total</w:t>
            </w:r>
          </w:p>
        </w:tc>
      </w:tr>
      <w:tr w:rsidR="00305F01" w:rsidRPr="00CF3673" w:rsidTr="008D66FF">
        <w:trPr>
          <w:trHeight w:val="308"/>
          <w:jc w:val="center"/>
        </w:trPr>
        <w:tc>
          <w:tcPr>
            <w:tcW w:w="2066" w:type="dxa"/>
            <w:tcBorders>
              <w:bottom w:val="nil"/>
            </w:tcBorders>
            <w:noWrap/>
            <w:hideMark/>
          </w:tcPr>
          <w:p w:rsidR="00305F01" w:rsidRPr="00CF3673" w:rsidRDefault="00305F01" w:rsidP="00851909">
            <w:pPr>
              <w:rPr>
                <w:rFonts w:ascii="Calibri" w:eastAsia="Times New Roman" w:hAnsi="Calibri" w:cs="Calibri"/>
                <w:color w:val="000000"/>
                <w:lang w:eastAsia="zh-CN"/>
              </w:rPr>
            </w:pPr>
            <w:r w:rsidRPr="00CF3673">
              <w:rPr>
                <w:rFonts w:ascii="Calibri" w:eastAsia="Times New Roman" w:hAnsi="Calibri" w:cs="Calibri"/>
                <w:color w:val="000000"/>
                <w:lang w:eastAsia="zh-CN"/>
              </w:rPr>
              <w:t>N</w:t>
            </w:r>
            <w:r w:rsidR="00851909" w:rsidRPr="00CF3673">
              <w:rPr>
                <w:rFonts w:ascii="Calibri" w:eastAsia="Times New Roman" w:hAnsi="Calibri" w:cs="Calibri"/>
                <w:color w:val="000000"/>
                <w:lang w:eastAsia="zh-CN"/>
              </w:rPr>
              <w:t xml:space="preserve">ão </w:t>
            </w:r>
            <w:r w:rsidRPr="00CF3673">
              <w:rPr>
                <w:rFonts w:ascii="Calibri" w:eastAsia="Times New Roman" w:hAnsi="Calibri" w:cs="Calibri"/>
                <w:color w:val="000000"/>
                <w:lang w:eastAsia="zh-CN"/>
              </w:rPr>
              <w:t>Regist</w:t>
            </w:r>
            <w:r w:rsidR="00851909" w:rsidRPr="00CF3673">
              <w:rPr>
                <w:rFonts w:ascii="Calibri" w:eastAsia="Times New Roman" w:hAnsi="Calibri" w:cs="Calibri"/>
                <w:color w:val="000000"/>
                <w:lang w:eastAsia="zh-CN"/>
              </w:rPr>
              <w:t>ado</w:t>
            </w:r>
          </w:p>
        </w:tc>
        <w:tc>
          <w:tcPr>
            <w:tcW w:w="1075" w:type="dxa"/>
            <w:tcBorders>
              <w:bottom w:val="nil"/>
            </w:tcBorders>
            <w:noWrap/>
            <w:hideMark/>
          </w:tcPr>
          <w:p w:rsidR="00305F01" w:rsidRPr="00CF3673" w:rsidRDefault="00305F01" w:rsidP="00305F01">
            <w:pPr>
              <w:jc w:val="center"/>
            </w:pPr>
            <w:r w:rsidRPr="00CF3673">
              <w:t>139</w:t>
            </w:r>
          </w:p>
        </w:tc>
        <w:tc>
          <w:tcPr>
            <w:tcW w:w="741" w:type="dxa"/>
            <w:tcBorders>
              <w:bottom w:val="nil"/>
            </w:tcBorders>
            <w:noWrap/>
            <w:hideMark/>
          </w:tcPr>
          <w:p w:rsidR="00305F01" w:rsidRPr="00CF3673" w:rsidRDefault="00305F01" w:rsidP="00305F01">
            <w:pPr>
              <w:jc w:val="center"/>
            </w:pPr>
            <w:r w:rsidRPr="00CF3673">
              <w:t>173</w:t>
            </w:r>
          </w:p>
        </w:tc>
        <w:tc>
          <w:tcPr>
            <w:tcW w:w="748" w:type="dxa"/>
            <w:tcBorders>
              <w:bottom w:val="nil"/>
            </w:tcBorders>
            <w:noWrap/>
            <w:hideMark/>
          </w:tcPr>
          <w:p w:rsidR="00305F01" w:rsidRPr="00CF3673" w:rsidRDefault="00305F01" w:rsidP="00305F01">
            <w:pPr>
              <w:jc w:val="center"/>
            </w:pPr>
            <w:r w:rsidRPr="00CF3673">
              <w:t>312</w:t>
            </w:r>
          </w:p>
        </w:tc>
      </w:tr>
      <w:tr w:rsidR="00305F01" w:rsidRPr="00CF3673" w:rsidTr="008D66FF">
        <w:trPr>
          <w:trHeight w:val="308"/>
          <w:jc w:val="center"/>
        </w:trPr>
        <w:tc>
          <w:tcPr>
            <w:tcW w:w="2066" w:type="dxa"/>
            <w:tcBorders>
              <w:top w:val="nil"/>
              <w:bottom w:val="single" w:sz="4" w:space="0" w:color="auto"/>
            </w:tcBorders>
            <w:noWrap/>
            <w:hideMark/>
          </w:tcPr>
          <w:p w:rsidR="00305F01" w:rsidRPr="00CF3673" w:rsidRDefault="00851909" w:rsidP="00851909">
            <w:pPr>
              <w:rPr>
                <w:rFonts w:ascii="Calibri" w:eastAsia="Times New Roman" w:hAnsi="Calibri" w:cs="Calibri"/>
                <w:color w:val="000000"/>
                <w:lang w:eastAsia="zh-CN"/>
              </w:rPr>
            </w:pPr>
            <w:r w:rsidRPr="00CF3673">
              <w:rPr>
                <w:rFonts w:ascii="Calibri" w:eastAsia="Times New Roman" w:hAnsi="Calibri" w:cs="Calibri"/>
                <w:color w:val="000000"/>
                <w:lang w:eastAsia="zh-CN"/>
              </w:rPr>
              <w:t xml:space="preserve">Registado </w:t>
            </w:r>
            <w:r w:rsidR="00761AD0" w:rsidRPr="00CF3673">
              <w:rPr>
                <w:rFonts w:ascii="Calibri" w:eastAsia="Times New Roman" w:hAnsi="Calibri" w:cs="Calibri"/>
                <w:color w:val="000000"/>
                <w:lang w:eastAsia="zh-CN"/>
              </w:rPr>
              <w:t>na CREL</w:t>
            </w:r>
          </w:p>
        </w:tc>
        <w:tc>
          <w:tcPr>
            <w:tcW w:w="1075" w:type="dxa"/>
            <w:tcBorders>
              <w:top w:val="nil"/>
              <w:bottom w:val="single" w:sz="4" w:space="0" w:color="auto"/>
            </w:tcBorders>
            <w:noWrap/>
            <w:hideMark/>
          </w:tcPr>
          <w:p w:rsidR="00305F01" w:rsidRPr="00CF3673" w:rsidRDefault="00305F01" w:rsidP="00305F01">
            <w:pPr>
              <w:jc w:val="center"/>
            </w:pPr>
            <w:r w:rsidRPr="00CF3673">
              <w:t>25</w:t>
            </w:r>
          </w:p>
        </w:tc>
        <w:tc>
          <w:tcPr>
            <w:tcW w:w="741" w:type="dxa"/>
            <w:tcBorders>
              <w:top w:val="nil"/>
              <w:bottom w:val="single" w:sz="4" w:space="0" w:color="auto"/>
            </w:tcBorders>
            <w:noWrap/>
            <w:hideMark/>
          </w:tcPr>
          <w:p w:rsidR="00305F01" w:rsidRPr="00CF3673" w:rsidRDefault="00305F01" w:rsidP="00305F01">
            <w:pPr>
              <w:jc w:val="center"/>
            </w:pPr>
            <w:r w:rsidRPr="00CF3673">
              <w:t>414</w:t>
            </w:r>
          </w:p>
        </w:tc>
        <w:tc>
          <w:tcPr>
            <w:tcW w:w="748" w:type="dxa"/>
            <w:tcBorders>
              <w:top w:val="nil"/>
              <w:bottom w:val="single" w:sz="4" w:space="0" w:color="auto"/>
            </w:tcBorders>
            <w:noWrap/>
            <w:hideMark/>
          </w:tcPr>
          <w:p w:rsidR="00305F01" w:rsidRPr="00CF3673" w:rsidRDefault="00305F01" w:rsidP="00305F01">
            <w:pPr>
              <w:jc w:val="center"/>
            </w:pPr>
            <w:r w:rsidRPr="00CF3673">
              <w:t>439</w:t>
            </w:r>
          </w:p>
        </w:tc>
      </w:tr>
      <w:tr w:rsidR="00305F01" w:rsidRPr="00CF3673" w:rsidTr="008D66FF">
        <w:trPr>
          <w:trHeight w:val="308"/>
          <w:jc w:val="center"/>
        </w:trPr>
        <w:tc>
          <w:tcPr>
            <w:tcW w:w="2066" w:type="dxa"/>
            <w:tcBorders>
              <w:top w:val="single" w:sz="4" w:space="0" w:color="auto"/>
              <w:bottom w:val="double" w:sz="4" w:space="0" w:color="auto"/>
            </w:tcBorders>
            <w:noWrap/>
            <w:hideMark/>
          </w:tcPr>
          <w:p w:rsidR="00305F01" w:rsidRPr="00CF3673" w:rsidRDefault="00305F01" w:rsidP="00936DE1">
            <w:pPr>
              <w:rPr>
                <w:rFonts w:ascii="Calibri" w:eastAsia="Times New Roman" w:hAnsi="Calibri" w:cs="Calibri"/>
                <w:color w:val="000000"/>
                <w:lang w:eastAsia="zh-CN"/>
              </w:rPr>
            </w:pPr>
            <w:r w:rsidRPr="00CF3673">
              <w:rPr>
                <w:rFonts w:ascii="Calibri" w:eastAsia="Times New Roman" w:hAnsi="Calibri" w:cs="Calibri"/>
                <w:color w:val="000000"/>
                <w:lang w:eastAsia="zh-CN"/>
              </w:rPr>
              <w:t>Total</w:t>
            </w:r>
          </w:p>
        </w:tc>
        <w:tc>
          <w:tcPr>
            <w:tcW w:w="1075" w:type="dxa"/>
            <w:tcBorders>
              <w:top w:val="single" w:sz="4" w:space="0" w:color="auto"/>
              <w:bottom w:val="double" w:sz="4" w:space="0" w:color="auto"/>
            </w:tcBorders>
            <w:noWrap/>
            <w:hideMark/>
          </w:tcPr>
          <w:p w:rsidR="00305F01" w:rsidRPr="00CF3673" w:rsidRDefault="00305F01" w:rsidP="00305F01">
            <w:pPr>
              <w:jc w:val="center"/>
            </w:pPr>
            <w:r w:rsidRPr="00CF3673">
              <w:t>164</w:t>
            </w:r>
          </w:p>
        </w:tc>
        <w:tc>
          <w:tcPr>
            <w:tcW w:w="741" w:type="dxa"/>
            <w:tcBorders>
              <w:top w:val="single" w:sz="4" w:space="0" w:color="auto"/>
              <w:bottom w:val="double" w:sz="4" w:space="0" w:color="auto"/>
            </w:tcBorders>
            <w:noWrap/>
            <w:hideMark/>
          </w:tcPr>
          <w:p w:rsidR="00305F01" w:rsidRPr="00CF3673" w:rsidRDefault="00305F01" w:rsidP="00305F01">
            <w:pPr>
              <w:jc w:val="center"/>
            </w:pPr>
            <w:r w:rsidRPr="00CF3673">
              <w:t>587</w:t>
            </w:r>
          </w:p>
        </w:tc>
        <w:tc>
          <w:tcPr>
            <w:tcW w:w="748" w:type="dxa"/>
            <w:tcBorders>
              <w:top w:val="single" w:sz="4" w:space="0" w:color="auto"/>
              <w:bottom w:val="double" w:sz="4" w:space="0" w:color="auto"/>
            </w:tcBorders>
            <w:noWrap/>
            <w:hideMark/>
          </w:tcPr>
          <w:p w:rsidR="00305F01" w:rsidRPr="00CF3673" w:rsidRDefault="00305F01" w:rsidP="00305F01">
            <w:pPr>
              <w:jc w:val="center"/>
            </w:pPr>
            <w:r w:rsidRPr="00CF3673">
              <w:t>751</w:t>
            </w:r>
          </w:p>
        </w:tc>
      </w:tr>
      <w:tr w:rsidR="00305F01" w:rsidRPr="00CF3673" w:rsidTr="00305F01">
        <w:trPr>
          <w:trHeight w:val="308"/>
          <w:jc w:val="center"/>
        </w:trPr>
        <w:tc>
          <w:tcPr>
            <w:tcW w:w="4630" w:type="dxa"/>
            <w:gridSpan w:val="4"/>
            <w:tcBorders>
              <w:top w:val="double" w:sz="4" w:space="0" w:color="auto"/>
              <w:bottom w:val="nil"/>
            </w:tcBorders>
            <w:noWrap/>
          </w:tcPr>
          <w:p w:rsidR="00305F01" w:rsidRPr="00CF3673" w:rsidRDefault="00851909" w:rsidP="00851909">
            <w:pPr>
              <w:pStyle w:val="Tablenote"/>
              <w:rPr>
                <w:b/>
                <w:lang w:val="pt-PT"/>
              </w:rPr>
            </w:pPr>
            <w:r w:rsidRPr="00CF3673">
              <w:rPr>
                <w:b/>
                <w:lang w:val="pt-PT"/>
              </w:rPr>
              <w:t>Nota</w:t>
            </w:r>
            <w:r w:rsidR="00305F01" w:rsidRPr="00CF3673">
              <w:rPr>
                <w:b/>
                <w:lang w:val="pt-PT"/>
              </w:rPr>
              <w:t>:</w:t>
            </w:r>
            <w:r w:rsidR="00305F01" w:rsidRPr="00CF3673">
              <w:rPr>
                <w:lang w:val="pt-PT"/>
              </w:rPr>
              <w:t xml:space="preserve"> </w:t>
            </w:r>
            <w:r w:rsidRPr="00CF3673">
              <w:rPr>
                <w:lang w:val="pt-PT"/>
              </w:rPr>
              <w:t xml:space="preserve">8 observações em falta para </w:t>
            </w:r>
            <w:r w:rsidR="008B3FDD" w:rsidRPr="00CF3673">
              <w:rPr>
                <w:lang w:val="pt-PT"/>
              </w:rPr>
              <w:t xml:space="preserve">CREL </w:t>
            </w:r>
            <w:r w:rsidR="00E86F2E" w:rsidRPr="00CF3673">
              <w:rPr>
                <w:lang w:val="pt-PT"/>
              </w:rPr>
              <w:t>(</w:t>
            </w:r>
            <w:r w:rsidRPr="00CF3673">
              <w:rPr>
                <w:lang w:val="pt-PT"/>
              </w:rPr>
              <w:t>Registo das Entidades Legais</w:t>
            </w:r>
            <w:r w:rsidR="00E86F2E" w:rsidRPr="00CF3673">
              <w:rPr>
                <w:lang w:val="pt-PT"/>
              </w:rPr>
              <w:t>)</w:t>
            </w:r>
            <w:r w:rsidR="008B3FDD" w:rsidRPr="00CF3673">
              <w:rPr>
                <w:lang w:val="pt-PT"/>
              </w:rPr>
              <w:t xml:space="preserve">, </w:t>
            </w:r>
            <w:r w:rsidRPr="00CF3673">
              <w:rPr>
                <w:lang w:val="pt-PT"/>
              </w:rPr>
              <w:t xml:space="preserve">2 para posse do </w:t>
            </w:r>
            <w:r w:rsidR="008B3FDD" w:rsidRPr="00CF3673">
              <w:rPr>
                <w:lang w:val="pt-PT"/>
              </w:rPr>
              <w:t xml:space="preserve">NUIT </w:t>
            </w:r>
            <w:r w:rsidR="00E86F2E" w:rsidRPr="00CF3673">
              <w:rPr>
                <w:lang w:val="pt-PT"/>
              </w:rPr>
              <w:t>(</w:t>
            </w:r>
            <w:r w:rsidRPr="00CF3673">
              <w:rPr>
                <w:lang w:val="pt-PT"/>
              </w:rPr>
              <w:t>numero do contribuinte).</w:t>
            </w:r>
          </w:p>
        </w:tc>
      </w:tr>
      <w:tr w:rsidR="00305F01" w:rsidRPr="00CF3673" w:rsidTr="00305F01">
        <w:trPr>
          <w:trHeight w:val="308"/>
          <w:jc w:val="center"/>
        </w:trPr>
        <w:tc>
          <w:tcPr>
            <w:tcW w:w="4630" w:type="dxa"/>
            <w:gridSpan w:val="4"/>
            <w:tcBorders>
              <w:top w:val="nil"/>
              <w:bottom w:val="nil"/>
            </w:tcBorders>
            <w:noWrap/>
          </w:tcPr>
          <w:p w:rsidR="00305F01" w:rsidRPr="00CF3673" w:rsidRDefault="00851909" w:rsidP="00851909">
            <w:pPr>
              <w:pStyle w:val="Tablenote"/>
              <w:rPr>
                <w:b/>
                <w:lang w:val="pt-PT"/>
              </w:rPr>
            </w:pPr>
            <w:r w:rsidRPr="00CF3673">
              <w:rPr>
                <w:b/>
                <w:lang w:val="pt-PT"/>
              </w:rPr>
              <w:t>Fonte</w:t>
            </w:r>
            <w:r w:rsidR="00305F01" w:rsidRPr="00CF3673">
              <w:rPr>
                <w:b/>
                <w:lang w:val="pt-PT"/>
              </w:rPr>
              <w:t>:</w:t>
            </w:r>
            <w:r w:rsidR="00305F01" w:rsidRPr="00CF3673">
              <w:rPr>
                <w:lang w:val="pt-PT"/>
              </w:rPr>
              <w:t xml:space="preserve"> </w:t>
            </w:r>
            <w:r w:rsidR="00761AD0" w:rsidRPr="00CF3673">
              <w:rPr>
                <w:lang w:val="pt-PT"/>
              </w:rPr>
              <w:t>Cálculos</w:t>
            </w:r>
            <w:r w:rsidRPr="00CF3673">
              <w:rPr>
                <w:lang w:val="pt-PT"/>
              </w:rPr>
              <w:t xml:space="preserve"> dos autores usando </w:t>
            </w:r>
            <w:r w:rsidR="00305F01" w:rsidRPr="00CF3673">
              <w:rPr>
                <w:lang w:val="pt-PT"/>
              </w:rPr>
              <w:t>IIM 2012.</w:t>
            </w:r>
          </w:p>
        </w:tc>
      </w:tr>
    </w:tbl>
    <w:p w:rsidR="00936DE1" w:rsidRPr="00CF3673" w:rsidRDefault="00936DE1" w:rsidP="001E664B">
      <w:pPr>
        <w:pStyle w:val="MainText"/>
        <w:rPr>
          <w:lang w:val="pt-PT"/>
        </w:rPr>
      </w:pPr>
    </w:p>
    <w:p w:rsidR="00167FF5" w:rsidRPr="00CF3673" w:rsidRDefault="00167FF5" w:rsidP="001E664B">
      <w:pPr>
        <w:pStyle w:val="MainText"/>
        <w:rPr>
          <w:lang w:val="pt-PT"/>
        </w:rPr>
      </w:pPr>
      <w:r w:rsidRPr="00CF3673">
        <w:rPr>
          <w:lang w:val="pt-PT"/>
        </w:rPr>
        <w:lastRenderedPageBreak/>
        <w:t xml:space="preserve">A figura 10.1 mostra dois diferentes aspectos de formalidade, nomeadamente a participação ou percentagem das vendas destinadas ao </w:t>
      </w:r>
      <w:r w:rsidR="00761AD0" w:rsidRPr="00CF3673">
        <w:rPr>
          <w:lang w:val="pt-PT"/>
        </w:rPr>
        <w:t>pagamento</w:t>
      </w:r>
      <w:r w:rsidRPr="00CF3673">
        <w:rPr>
          <w:lang w:val="pt-PT"/>
        </w:rPr>
        <w:t xml:space="preserve"> de impostos e a participação ou percentagem das empresas com “receio de serem fechadas pelas autoridades”. </w:t>
      </w:r>
      <w:r w:rsidR="00B3504B" w:rsidRPr="00CF3673">
        <w:rPr>
          <w:lang w:val="pt-PT"/>
        </w:rPr>
        <w:t xml:space="preserve">As empresas moçambicanas parecem que não reportam as suas vendas- em </w:t>
      </w:r>
      <w:r w:rsidR="00285382" w:rsidRPr="00CF3673">
        <w:rPr>
          <w:lang w:val="pt-PT"/>
        </w:rPr>
        <w:t>média</w:t>
      </w:r>
      <w:r w:rsidR="00B3504B" w:rsidRPr="00CF3673">
        <w:rPr>
          <w:lang w:val="pt-PT"/>
        </w:rPr>
        <w:t xml:space="preserve">, as empresas na amostra 48% reportam as vendas para efeitos de pagamento de impostos. As empresas com receio de fecho pelas autoridades é igualmente maior com 35% de toda amostra. Julgando pela figura 10.1, as duas medidas e </w:t>
      </w:r>
      <w:r w:rsidR="00761AD0" w:rsidRPr="00CF3673">
        <w:rPr>
          <w:lang w:val="pt-PT"/>
        </w:rPr>
        <w:t>inversamente</w:t>
      </w:r>
      <w:r w:rsidR="00B3504B" w:rsidRPr="00CF3673">
        <w:rPr>
          <w:lang w:val="pt-PT"/>
        </w:rPr>
        <w:t xml:space="preserve"> correlacionadas e correlacionadas com o tamanho das empresas; grandes empresas em </w:t>
      </w:r>
      <w:r w:rsidR="00285382" w:rsidRPr="00CF3673">
        <w:rPr>
          <w:lang w:val="pt-PT"/>
        </w:rPr>
        <w:t>média</w:t>
      </w:r>
      <w:r w:rsidR="00B3504B" w:rsidRPr="00CF3673">
        <w:rPr>
          <w:lang w:val="pt-PT"/>
        </w:rPr>
        <w:t xml:space="preserve"> reportam elevadas percentagens para efeitos de tributação e tem menos receio de serem fechadas pelas autoridades. Mais </w:t>
      </w:r>
      <w:r w:rsidR="00285382" w:rsidRPr="00CF3673">
        <w:rPr>
          <w:lang w:val="pt-PT"/>
        </w:rPr>
        <w:t xml:space="preserve">de </w:t>
      </w:r>
      <w:r w:rsidR="00B3504B" w:rsidRPr="00CF3673">
        <w:rPr>
          <w:lang w:val="pt-PT"/>
        </w:rPr>
        <w:t xml:space="preserve">50% das empresas micro tem receio de serem fechadas pelas autoridades, que é o caso de apenas 6% das medias-empresas. Enquanto as medias-empresas em </w:t>
      </w:r>
      <w:r w:rsidR="00285382" w:rsidRPr="00CF3673">
        <w:rPr>
          <w:lang w:val="pt-PT"/>
        </w:rPr>
        <w:t>média</w:t>
      </w:r>
      <w:r w:rsidR="00B3504B" w:rsidRPr="00CF3673">
        <w:rPr>
          <w:lang w:val="pt-PT"/>
        </w:rPr>
        <w:t xml:space="preserve"> reportam 72% das suas vendas para efeitos de tributação, este número é menos 30% que os negócios informais</w:t>
      </w:r>
      <w:r w:rsidR="00B3504B" w:rsidRPr="00CF3673">
        <w:rPr>
          <w:rStyle w:val="FootnoteReference"/>
          <w:lang w:val="pt-PT"/>
        </w:rPr>
        <w:footnoteReference w:id="49"/>
      </w:r>
      <w:r w:rsidR="00B3504B" w:rsidRPr="00CF3673">
        <w:rPr>
          <w:lang w:val="pt-PT"/>
        </w:rPr>
        <w:t xml:space="preserve">. </w:t>
      </w:r>
      <w:r w:rsidR="00285382" w:rsidRPr="00CF3673">
        <w:rPr>
          <w:lang w:val="pt-PT"/>
        </w:rPr>
        <w:t>Isto porque é mais fácil esconder a produção quando se trata de produção em menos escala.</w:t>
      </w:r>
      <w:r w:rsidRPr="00CF3673">
        <w:rPr>
          <w:lang w:val="pt-PT"/>
        </w:rPr>
        <w:t xml:space="preserve">  </w:t>
      </w:r>
    </w:p>
    <w:p w:rsidR="00BC01C8" w:rsidRPr="00CF3673" w:rsidRDefault="00F12B34" w:rsidP="00BA622C">
      <w:pPr>
        <w:pStyle w:val="FigureTitle"/>
        <w:rPr>
          <w:lang w:val="pt-PT"/>
        </w:rPr>
      </w:pPr>
      <w:bookmarkStart w:id="92" w:name="_Toc360720527"/>
      <w:r w:rsidRPr="00CF3673">
        <w:rPr>
          <w:lang w:val="pt-PT"/>
        </w:rPr>
        <w:t>Figur</w:t>
      </w:r>
      <w:r w:rsidR="00285382" w:rsidRPr="00CF3673">
        <w:rPr>
          <w:lang w:val="pt-PT"/>
        </w:rPr>
        <w:t>a</w:t>
      </w:r>
      <w:r w:rsidRPr="00CF3673">
        <w:rPr>
          <w:lang w:val="pt-PT"/>
        </w:rPr>
        <w:t xml:space="preserve"> </w:t>
      </w:r>
      <w:r w:rsidR="006102AC" w:rsidRPr="00CF3673">
        <w:rPr>
          <w:lang w:val="pt-PT"/>
        </w:rPr>
        <w:t>10</w:t>
      </w:r>
      <w:r w:rsidRPr="00CF3673">
        <w:rPr>
          <w:lang w:val="pt-PT"/>
        </w:rPr>
        <w:t>.1</w:t>
      </w:r>
      <w:r w:rsidR="00215639" w:rsidRPr="00CF3673">
        <w:rPr>
          <w:lang w:val="pt-PT"/>
        </w:rPr>
        <w:t xml:space="preserve">: </w:t>
      </w:r>
      <w:r w:rsidR="00285382" w:rsidRPr="00CF3673">
        <w:rPr>
          <w:lang w:val="pt-PT"/>
        </w:rPr>
        <w:t>Contribuição das vendas reportadas para efeitos de tributação por tamanho de empresa</w:t>
      </w:r>
      <w:r w:rsidR="00BA622C" w:rsidRPr="00CF3673">
        <w:rPr>
          <w:lang w:val="pt-PT"/>
        </w:rPr>
        <w:t xml:space="preserve">, </w:t>
      </w:r>
      <w:r w:rsidR="00285382" w:rsidRPr="00CF3673">
        <w:rPr>
          <w:lang w:val="pt-PT"/>
        </w:rPr>
        <w:t>%</w:t>
      </w:r>
      <w:r w:rsidR="00BA622C" w:rsidRPr="00CF3673">
        <w:rPr>
          <w:lang w:val="pt-PT"/>
        </w:rPr>
        <w:t>.</w:t>
      </w:r>
      <w:bookmarkEnd w:id="92"/>
    </w:p>
    <w:p w:rsidR="00BA622C" w:rsidRPr="00CF3673" w:rsidRDefault="002E3D9B" w:rsidP="002E3D9B">
      <w:pPr>
        <w:spacing w:after="0"/>
        <w:jc w:val="center"/>
      </w:pPr>
      <w:r w:rsidRPr="00CF3673">
        <w:rPr>
          <w:noProof/>
          <w:lang w:val="en-US"/>
        </w:rPr>
        <w:drawing>
          <wp:inline distT="0" distB="0" distL="0" distR="0" wp14:anchorId="11D34FE9" wp14:editId="72AD5431">
            <wp:extent cx="4352926" cy="2571750"/>
            <wp:effectExtent l="0" t="0" r="9525" b="1905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bl>
      <w:tblPr>
        <w:tblStyle w:val="StandardTable"/>
        <w:tblpPr w:leftFromText="141" w:rightFromText="141" w:vertAnchor="text" w:horzAnchor="page" w:tblpX="2505" w:tblpY="95"/>
        <w:tblW w:w="0" w:type="auto"/>
        <w:tblBorders>
          <w:top w:val="none" w:sz="0" w:space="0" w:color="auto"/>
          <w:bottom w:val="none" w:sz="0" w:space="0" w:color="auto"/>
        </w:tblBorders>
        <w:tblLayout w:type="fixed"/>
        <w:tblLook w:val="04E0" w:firstRow="1" w:lastRow="1" w:firstColumn="1" w:lastColumn="0" w:noHBand="0" w:noVBand="1"/>
      </w:tblPr>
      <w:tblGrid>
        <w:gridCol w:w="6159"/>
      </w:tblGrid>
      <w:tr w:rsidR="002E3D9B" w:rsidRPr="00CF3673" w:rsidTr="002E3D9B">
        <w:trPr>
          <w:cnfStyle w:val="100000000000" w:firstRow="1" w:lastRow="0" w:firstColumn="0" w:lastColumn="0" w:oddVBand="0" w:evenVBand="0" w:oddHBand="0" w:evenHBand="0" w:firstRowFirstColumn="0" w:firstRowLastColumn="0" w:lastRowFirstColumn="0" w:lastRowLastColumn="0"/>
          <w:trHeight w:val="309"/>
        </w:trPr>
        <w:tc>
          <w:tcPr>
            <w:tcW w:w="6159" w:type="dxa"/>
            <w:tcBorders>
              <w:top w:val="none" w:sz="0" w:space="0" w:color="auto"/>
              <w:left w:val="none" w:sz="0" w:space="0" w:color="auto"/>
              <w:bottom w:val="none" w:sz="0" w:space="0" w:color="auto"/>
              <w:right w:val="none" w:sz="0" w:space="0" w:color="auto"/>
            </w:tcBorders>
            <w:noWrap/>
          </w:tcPr>
          <w:p w:rsidR="002E3D9B" w:rsidRPr="00CF3673" w:rsidRDefault="00286948" w:rsidP="00286948">
            <w:pPr>
              <w:pStyle w:val="Tablenote"/>
              <w:rPr>
                <w:b/>
                <w:lang w:val="pt-PT"/>
              </w:rPr>
            </w:pPr>
            <w:r w:rsidRPr="00CF3673">
              <w:rPr>
                <w:b/>
                <w:lang w:val="pt-PT"/>
              </w:rPr>
              <w:t>Nota</w:t>
            </w:r>
            <w:r w:rsidR="002E3D9B" w:rsidRPr="00CF3673">
              <w:rPr>
                <w:b/>
                <w:lang w:val="pt-PT"/>
              </w:rPr>
              <w:t xml:space="preserve">: </w:t>
            </w:r>
            <w:r w:rsidR="002E3D9B" w:rsidRPr="00CF3673">
              <w:rPr>
                <w:lang w:val="pt-PT"/>
              </w:rPr>
              <w:t>Num</w:t>
            </w:r>
            <w:r w:rsidRPr="00CF3673">
              <w:rPr>
                <w:lang w:val="pt-PT"/>
              </w:rPr>
              <w:t>ero</w:t>
            </w:r>
            <w:r w:rsidR="002E3D9B" w:rsidRPr="00CF3673">
              <w:rPr>
                <w:lang w:val="pt-PT"/>
              </w:rPr>
              <w:t xml:space="preserve"> </w:t>
            </w:r>
            <w:r w:rsidRPr="00CF3673">
              <w:rPr>
                <w:lang w:val="pt-PT"/>
              </w:rPr>
              <w:t>de observações</w:t>
            </w:r>
            <w:r w:rsidR="002E3D9B" w:rsidRPr="00CF3673">
              <w:rPr>
                <w:lang w:val="pt-PT"/>
              </w:rPr>
              <w:t xml:space="preserve">: 456 (205 </w:t>
            </w:r>
            <w:r w:rsidRPr="00CF3673">
              <w:rPr>
                <w:lang w:val="pt-PT"/>
              </w:rPr>
              <w:t>em falta</w:t>
            </w:r>
            <w:r w:rsidR="002E3D9B" w:rsidRPr="00CF3673">
              <w:rPr>
                <w:lang w:val="pt-PT"/>
              </w:rPr>
              <w:t xml:space="preserve">). </w:t>
            </w:r>
          </w:p>
        </w:tc>
      </w:tr>
      <w:tr w:rsidR="002E3D9B" w:rsidRPr="00CF3673" w:rsidTr="002E3D9B">
        <w:trPr>
          <w:cnfStyle w:val="010000000000" w:firstRow="0" w:lastRow="1" w:firstColumn="0" w:lastColumn="0" w:oddVBand="0" w:evenVBand="0" w:oddHBand="0" w:evenHBand="0" w:firstRowFirstColumn="0" w:firstRowLastColumn="0" w:lastRowFirstColumn="0" w:lastRowLastColumn="0"/>
          <w:trHeight w:val="309"/>
        </w:trPr>
        <w:tc>
          <w:tcPr>
            <w:tcW w:w="6159" w:type="dxa"/>
            <w:tcBorders>
              <w:top w:val="none" w:sz="0" w:space="0" w:color="auto"/>
            </w:tcBorders>
            <w:noWrap/>
          </w:tcPr>
          <w:p w:rsidR="002E3D9B" w:rsidRPr="00CF3673" w:rsidRDefault="00286948" w:rsidP="00286948">
            <w:pPr>
              <w:pStyle w:val="Tablenote"/>
              <w:rPr>
                <w:b/>
                <w:lang w:val="pt-PT"/>
              </w:rPr>
            </w:pPr>
            <w:r w:rsidRPr="00CF3673">
              <w:rPr>
                <w:b/>
                <w:lang w:val="pt-PT"/>
              </w:rPr>
              <w:t>Fonte</w:t>
            </w:r>
            <w:r w:rsidR="002E3D9B" w:rsidRPr="00CF3673">
              <w:rPr>
                <w:b/>
                <w:lang w:val="pt-PT"/>
              </w:rPr>
              <w:t>:</w:t>
            </w:r>
            <w:r w:rsidR="002E3D9B" w:rsidRPr="00CF3673">
              <w:rPr>
                <w:lang w:val="pt-PT"/>
              </w:rPr>
              <w:t xml:space="preserve"> </w:t>
            </w:r>
            <w:r w:rsidR="00761AD0" w:rsidRPr="00CF3673">
              <w:rPr>
                <w:lang w:val="pt-PT"/>
              </w:rPr>
              <w:t>Cálculos</w:t>
            </w:r>
            <w:r w:rsidRPr="00CF3673">
              <w:rPr>
                <w:lang w:val="pt-PT"/>
              </w:rPr>
              <w:t xml:space="preserve"> dos autores usando</w:t>
            </w:r>
            <w:r w:rsidR="002E3D9B" w:rsidRPr="00CF3673">
              <w:rPr>
                <w:lang w:val="pt-PT"/>
              </w:rPr>
              <w:t xml:space="preserve"> IIM 2012.</w:t>
            </w:r>
          </w:p>
        </w:tc>
      </w:tr>
    </w:tbl>
    <w:p w:rsidR="00BA622C" w:rsidRPr="00CF3673" w:rsidRDefault="00BA622C" w:rsidP="005B3241"/>
    <w:p w:rsidR="002E3D9B" w:rsidRPr="00CF3673" w:rsidRDefault="002E3D9B" w:rsidP="001E664B">
      <w:pPr>
        <w:pStyle w:val="MainText"/>
        <w:rPr>
          <w:lang w:val="pt-PT"/>
        </w:rPr>
      </w:pPr>
    </w:p>
    <w:p w:rsidR="00285382" w:rsidRPr="00CF3673" w:rsidRDefault="00285382" w:rsidP="001E664B">
      <w:pPr>
        <w:pStyle w:val="MainText"/>
        <w:rPr>
          <w:lang w:val="pt-PT"/>
        </w:rPr>
      </w:pPr>
      <w:r w:rsidRPr="00CF3673">
        <w:rPr>
          <w:lang w:val="pt-PT"/>
        </w:rPr>
        <w:t xml:space="preserve">Esta </w:t>
      </w:r>
      <w:r w:rsidR="00761AD0" w:rsidRPr="00CF3673">
        <w:rPr>
          <w:lang w:val="pt-PT"/>
        </w:rPr>
        <w:t>proporção</w:t>
      </w:r>
      <w:r w:rsidRPr="00CF3673">
        <w:rPr>
          <w:lang w:val="pt-PT"/>
        </w:rPr>
        <w:t xml:space="preserve"> de vendas reportadas para efeitos de tributação também variam de cidade para cidade, como pode se ver a figura 10.2. Em Nampula e Chimoio, é a volta de 70%; em Maputo, Matola e Beira é cerca de metade; em </w:t>
      </w:r>
      <w:proofErr w:type="spellStart"/>
      <w:r w:rsidR="00761AD0" w:rsidRPr="00CF3673">
        <w:rPr>
          <w:lang w:val="pt-PT"/>
        </w:rPr>
        <w:t>Chókwe</w:t>
      </w:r>
      <w:proofErr w:type="spellEnd"/>
      <w:r w:rsidRPr="00CF3673">
        <w:rPr>
          <w:lang w:val="pt-PT"/>
        </w:rPr>
        <w:t xml:space="preserve"> é cerca de 20% e nas restantes quatro cidades é 10% ou menos. Isto pode sugerir que os impostos não são colectadas com o mesmo nível de eficiência e existe um enorme campo para melhorias, especialmente nas províncias ao norte.  </w:t>
      </w:r>
    </w:p>
    <w:p w:rsidR="00F12B34" w:rsidRPr="00CF3673" w:rsidRDefault="00F12B34" w:rsidP="00461403">
      <w:pPr>
        <w:pStyle w:val="FigureTitle"/>
        <w:rPr>
          <w:lang w:val="pt-PT"/>
        </w:rPr>
      </w:pPr>
      <w:bookmarkStart w:id="93" w:name="_Toc360720528"/>
      <w:r w:rsidRPr="00CF3673">
        <w:rPr>
          <w:lang w:val="pt-PT"/>
        </w:rPr>
        <w:lastRenderedPageBreak/>
        <w:t xml:space="preserve">Figure </w:t>
      </w:r>
      <w:r w:rsidR="006102AC" w:rsidRPr="00CF3673">
        <w:rPr>
          <w:lang w:val="pt-PT"/>
        </w:rPr>
        <w:t>10</w:t>
      </w:r>
      <w:r w:rsidRPr="00CF3673">
        <w:rPr>
          <w:lang w:val="pt-PT"/>
        </w:rPr>
        <w:t>.2</w:t>
      </w:r>
      <w:r w:rsidR="00215639" w:rsidRPr="00CF3673">
        <w:rPr>
          <w:lang w:val="pt-PT"/>
        </w:rPr>
        <w:t>: Propor</w:t>
      </w:r>
      <w:r w:rsidR="00285382" w:rsidRPr="00CF3673">
        <w:rPr>
          <w:lang w:val="pt-PT"/>
        </w:rPr>
        <w:t>ção das vendas reportadas para efeitos de tributação por localização</w:t>
      </w:r>
      <w:r w:rsidR="00FC051A" w:rsidRPr="00CF3673">
        <w:rPr>
          <w:lang w:val="pt-PT"/>
        </w:rPr>
        <w:t>,</w:t>
      </w:r>
      <w:r w:rsidR="00285382" w:rsidRPr="00CF3673">
        <w:rPr>
          <w:lang w:val="pt-PT"/>
        </w:rPr>
        <w:t>%</w:t>
      </w:r>
      <w:r w:rsidR="00FC051A" w:rsidRPr="00CF3673">
        <w:rPr>
          <w:lang w:val="pt-PT"/>
        </w:rPr>
        <w:t>.</w:t>
      </w:r>
      <w:bookmarkEnd w:id="93"/>
    </w:p>
    <w:p w:rsidR="00BC01C8" w:rsidRPr="00CF3673" w:rsidRDefault="00BA622C" w:rsidP="006A10B4">
      <w:pPr>
        <w:spacing w:after="0"/>
        <w:jc w:val="center"/>
      </w:pPr>
      <w:r w:rsidRPr="00CF3673">
        <w:rPr>
          <w:noProof/>
          <w:lang w:val="en-US"/>
        </w:rPr>
        <w:drawing>
          <wp:inline distT="0" distB="0" distL="0" distR="0" wp14:anchorId="7E83BEA1" wp14:editId="1F3516CF">
            <wp:extent cx="4572000" cy="27432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bl>
      <w:tblPr>
        <w:tblStyle w:val="StandardTable"/>
        <w:tblpPr w:leftFromText="141" w:rightFromText="141" w:vertAnchor="text" w:horzAnchor="page" w:tblpX="2337" w:tblpY="46"/>
        <w:tblW w:w="0" w:type="auto"/>
        <w:tblBorders>
          <w:top w:val="none" w:sz="0" w:space="0" w:color="auto"/>
          <w:bottom w:val="none" w:sz="0" w:space="0" w:color="auto"/>
        </w:tblBorders>
        <w:tblLayout w:type="fixed"/>
        <w:tblLook w:val="04E0" w:firstRow="1" w:lastRow="1" w:firstColumn="1" w:lastColumn="0" w:noHBand="0" w:noVBand="1"/>
      </w:tblPr>
      <w:tblGrid>
        <w:gridCol w:w="6159"/>
      </w:tblGrid>
      <w:tr w:rsidR="006A10B4" w:rsidRPr="00CF3673" w:rsidTr="006A10B4">
        <w:trPr>
          <w:cnfStyle w:val="100000000000" w:firstRow="1" w:lastRow="0" w:firstColumn="0" w:lastColumn="0" w:oddVBand="0" w:evenVBand="0" w:oddHBand="0" w:evenHBand="0" w:firstRowFirstColumn="0" w:firstRowLastColumn="0" w:lastRowFirstColumn="0" w:lastRowLastColumn="0"/>
          <w:trHeight w:val="309"/>
        </w:trPr>
        <w:tc>
          <w:tcPr>
            <w:tcW w:w="6159" w:type="dxa"/>
            <w:tcBorders>
              <w:top w:val="none" w:sz="0" w:space="0" w:color="auto"/>
              <w:left w:val="none" w:sz="0" w:space="0" w:color="auto"/>
              <w:bottom w:val="none" w:sz="0" w:space="0" w:color="auto"/>
              <w:right w:val="none" w:sz="0" w:space="0" w:color="auto"/>
            </w:tcBorders>
            <w:noWrap/>
          </w:tcPr>
          <w:p w:rsidR="006A10B4" w:rsidRPr="00CF3673" w:rsidRDefault="006A10B4" w:rsidP="00286948">
            <w:pPr>
              <w:pStyle w:val="Tablenote"/>
              <w:rPr>
                <w:b/>
                <w:lang w:val="pt-PT"/>
              </w:rPr>
            </w:pPr>
            <w:r w:rsidRPr="00CF3673">
              <w:rPr>
                <w:b/>
                <w:lang w:val="pt-PT"/>
              </w:rPr>
              <w:t>Not</w:t>
            </w:r>
            <w:r w:rsidR="00286948" w:rsidRPr="00CF3673">
              <w:rPr>
                <w:b/>
                <w:lang w:val="pt-PT"/>
              </w:rPr>
              <w:t>a</w:t>
            </w:r>
            <w:r w:rsidRPr="00CF3673">
              <w:rPr>
                <w:b/>
                <w:lang w:val="pt-PT"/>
              </w:rPr>
              <w:t xml:space="preserve">: </w:t>
            </w:r>
            <w:r w:rsidR="00286948" w:rsidRPr="00CF3673">
              <w:rPr>
                <w:lang w:val="pt-PT"/>
              </w:rPr>
              <w:t>Número de observações</w:t>
            </w:r>
            <w:r w:rsidRPr="00CF3673">
              <w:rPr>
                <w:lang w:val="pt-PT"/>
              </w:rPr>
              <w:t xml:space="preserve">: 457 (204 </w:t>
            </w:r>
            <w:r w:rsidR="00286948" w:rsidRPr="00CF3673">
              <w:rPr>
                <w:lang w:val="pt-PT"/>
              </w:rPr>
              <w:t>em falta</w:t>
            </w:r>
            <w:r w:rsidRPr="00CF3673">
              <w:rPr>
                <w:lang w:val="pt-PT"/>
              </w:rPr>
              <w:t xml:space="preserve">). </w:t>
            </w:r>
          </w:p>
        </w:tc>
      </w:tr>
      <w:tr w:rsidR="006A10B4" w:rsidRPr="00CF3673" w:rsidTr="006A10B4">
        <w:trPr>
          <w:cnfStyle w:val="010000000000" w:firstRow="0" w:lastRow="1" w:firstColumn="0" w:lastColumn="0" w:oddVBand="0" w:evenVBand="0" w:oddHBand="0" w:evenHBand="0" w:firstRowFirstColumn="0" w:firstRowLastColumn="0" w:lastRowFirstColumn="0" w:lastRowLastColumn="0"/>
          <w:trHeight w:val="309"/>
        </w:trPr>
        <w:tc>
          <w:tcPr>
            <w:tcW w:w="6159" w:type="dxa"/>
            <w:tcBorders>
              <w:top w:val="none" w:sz="0" w:space="0" w:color="auto"/>
            </w:tcBorders>
            <w:noWrap/>
          </w:tcPr>
          <w:p w:rsidR="006A10B4" w:rsidRPr="00CF3673" w:rsidRDefault="00286948" w:rsidP="00286948">
            <w:pPr>
              <w:pStyle w:val="Tablenote"/>
              <w:rPr>
                <w:b/>
                <w:lang w:val="pt-PT"/>
              </w:rPr>
            </w:pPr>
            <w:r w:rsidRPr="00CF3673">
              <w:rPr>
                <w:b/>
                <w:lang w:val="pt-PT"/>
              </w:rPr>
              <w:t>Fonte</w:t>
            </w:r>
            <w:r w:rsidR="006A10B4" w:rsidRPr="00CF3673">
              <w:rPr>
                <w:b/>
                <w:lang w:val="pt-PT"/>
              </w:rPr>
              <w:t>:</w:t>
            </w:r>
            <w:r w:rsidR="006A10B4" w:rsidRPr="00CF3673">
              <w:rPr>
                <w:lang w:val="pt-PT"/>
              </w:rPr>
              <w:t xml:space="preserve"> </w:t>
            </w:r>
            <w:r w:rsidR="00761AD0" w:rsidRPr="00CF3673">
              <w:rPr>
                <w:lang w:val="pt-PT"/>
              </w:rPr>
              <w:t>Cálculos</w:t>
            </w:r>
            <w:r w:rsidRPr="00CF3673">
              <w:rPr>
                <w:lang w:val="pt-PT"/>
              </w:rPr>
              <w:t xml:space="preserve"> dos autores usando </w:t>
            </w:r>
            <w:r w:rsidR="006A10B4" w:rsidRPr="00CF3673">
              <w:rPr>
                <w:lang w:val="pt-PT"/>
              </w:rPr>
              <w:t>IIM 2012.</w:t>
            </w:r>
          </w:p>
        </w:tc>
      </w:tr>
    </w:tbl>
    <w:p w:rsidR="00BC24B4" w:rsidRPr="00CF3673" w:rsidRDefault="00BC24B4" w:rsidP="001E664B">
      <w:pPr>
        <w:pStyle w:val="MainText"/>
        <w:rPr>
          <w:lang w:val="pt-PT"/>
        </w:rPr>
      </w:pPr>
    </w:p>
    <w:p w:rsidR="006A10B4" w:rsidRPr="00CF3673" w:rsidRDefault="006A10B4" w:rsidP="001E664B">
      <w:pPr>
        <w:pStyle w:val="MainText"/>
        <w:rPr>
          <w:lang w:val="pt-PT"/>
        </w:rPr>
      </w:pPr>
    </w:p>
    <w:p w:rsidR="00285382" w:rsidRPr="00CF3673" w:rsidRDefault="00F807D3" w:rsidP="001E664B">
      <w:pPr>
        <w:pStyle w:val="MainText"/>
        <w:rPr>
          <w:lang w:val="pt-PT"/>
        </w:rPr>
      </w:pPr>
      <w:r w:rsidRPr="00CF3673">
        <w:rPr>
          <w:lang w:val="pt-PT"/>
        </w:rPr>
        <w:t>Enquanto cerca de 50% da amostra do DNEAP (2006) a taxa de impostos como um constrangimento, este é apenas o caso para 30% da amostra de 2012. Isto coincide com o facto de as firmas na actual amostra reportar percentagens substanciais das suas vendas.</w:t>
      </w:r>
    </w:p>
    <w:p w:rsidR="00F807D3" w:rsidRPr="00CF3673" w:rsidRDefault="00F807D3" w:rsidP="001E664B">
      <w:pPr>
        <w:pStyle w:val="MainText"/>
        <w:rPr>
          <w:lang w:val="pt-PT"/>
        </w:rPr>
      </w:pPr>
      <w:r w:rsidRPr="00CF3673">
        <w:rPr>
          <w:lang w:val="pt-PT"/>
        </w:rPr>
        <w:t>Como foi indicado, a consequência de operar informalmente pode ser o receio de que o negocio pode fechar por causa do não cumprimento com os regulamentos oficiais. Tal receio não é sem fundamento em Moçambique, dadas as declarações das autoridades sobre (e execução) perseguição do sector informal</w:t>
      </w:r>
      <w:r w:rsidRPr="00CF3673">
        <w:rPr>
          <w:rStyle w:val="FootnoteReference"/>
          <w:lang w:val="pt-PT"/>
        </w:rPr>
        <w:footnoteReference w:id="50"/>
      </w:r>
      <w:r w:rsidRPr="00CF3673">
        <w:rPr>
          <w:lang w:val="pt-PT"/>
        </w:rPr>
        <w:t>. Na figura 10.4 analisam</w:t>
      </w:r>
      <w:r w:rsidR="009E0CFF" w:rsidRPr="00CF3673">
        <w:rPr>
          <w:lang w:val="pt-PT"/>
        </w:rPr>
        <w:t>os</w:t>
      </w:r>
      <w:r w:rsidR="00A4440A" w:rsidRPr="00CF3673">
        <w:rPr>
          <w:lang w:val="pt-PT"/>
        </w:rPr>
        <w:t xml:space="preserve"> as razoes </w:t>
      </w:r>
      <w:r w:rsidR="009E0CFF" w:rsidRPr="00CF3673">
        <w:rPr>
          <w:lang w:val="pt-PT"/>
        </w:rPr>
        <w:t>por quê as empresas têm receio de fecho, divisão n</w:t>
      </w:r>
      <w:r w:rsidR="00A4440A" w:rsidRPr="00CF3673">
        <w:rPr>
          <w:lang w:val="pt-PT"/>
        </w:rPr>
        <w:t xml:space="preserve">o status de formalidade. Verificamos que ¼ de </w:t>
      </w:r>
      <w:r w:rsidR="00761AD0" w:rsidRPr="00CF3673">
        <w:rPr>
          <w:lang w:val="pt-PT"/>
        </w:rPr>
        <w:t>negócios</w:t>
      </w:r>
      <w:r w:rsidR="00A4440A" w:rsidRPr="00CF3673">
        <w:rPr>
          <w:lang w:val="pt-PT"/>
        </w:rPr>
        <w:t xml:space="preserve"> formais </w:t>
      </w:r>
      <w:proofErr w:type="spellStart"/>
      <w:r w:rsidR="00A4440A" w:rsidRPr="00CF3673">
        <w:rPr>
          <w:lang w:val="pt-PT"/>
        </w:rPr>
        <w:t>and</w:t>
      </w:r>
      <w:proofErr w:type="spellEnd"/>
      <w:r w:rsidR="00A4440A" w:rsidRPr="00CF3673">
        <w:rPr>
          <w:lang w:val="pt-PT"/>
        </w:rPr>
        <w:t xml:space="preserve"> cerca de metade dos </w:t>
      </w:r>
      <w:r w:rsidR="00761AD0" w:rsidRPr="00CF3673">
        <w:rPr>
          <w:lang w:val="pt-PT"/>
        </w:rPr>
        <w:t>negócios</w:t>
      </w:r>
      <w:r w:rsidR="00A4440A" w:rsidRPr="00CF3673">
        <w:rPr>
          <w:lang w:val="pt-PT"/>
        </w:rPr>
        <w:t xml:space="preserve"> informais respondem “</w:t>
      </w:r>
      <w:r w:rsidR="00761AD0" w:rsidRPr="00CF3673">
        <w:rPr>
          <w:lang w:val="pt-PT"/>
        </w:rPr>
        <w:t>subdeclaração</w:t>
      </w:r>
      <w:r w:rsidR="00A4440A" w:rsidRPr="00CF3673">
        <w:rPr>
          <w:lang w:val="pt-PT"/>
        </w:rPr>
        <w:t xml:space="preserve">  para </w:t>
      </w:r>
      <w:r w:rsidR="00761AD0" w:rsidRPr="00CF3673">
        <w:rPr>
          <w:lang w:val="pt-PT"/>
        </w:rPr>
        <w:t>efeitos</w:t>
      </w:r>
      <w:r w:rsidR="00A4440A" w:rsidRPr="00CF3673">
        <w:rPr>
          <w:lang w:val="pt-PT"/>
        </w:rPr>
        <w:t xml:space="preserve"> de tributação” ou “dificuldade em conformar-se com a lei”. Cerca de um terço mencionam “não-cumprimento com outros regulamentos” em ambos os casos. Isto parece que muitos dos negócios não estão a operar em obediência as leis. Surpreendentemente “decisões arbitrárias das autoridades” não aparece como uma causa comum nos dois casos, sugerindo que os negócios na generalidade não são fechados sem uma razão.  </w:t>
      </w:r>
    </w:p>
    <w:p w:rsidR="009B4380" w:rsidRPr="00CF3673" w:rsidRDefault="009B4380">
      <w:pPr>
        <w:rPr>
          <w:b/>
        </w:rPr>
      </w:pPr>
      <w:r w:rsidRPr="00CF3673">
        <w:br w:type="page"/>
      </w:r>
    </w:p>
    <w:p w:rsidR="00A4440A" w:rsidRPr="00CF3673" w:rsidRDefault="0044347B" w:rsidP="00A4440A">
      <w:pPr>
        <w:pStyle w:val="FigureTitle"/>
        <w:rPr>
          <w:lang w:val="pt-PT"/>
        </w:rPr>
      </w:pPr>
      <w:bookmarkStart w:id="94" w:name="_Toc360720529"/>
      <w:r w:rsidRPr="00CF3673">
        <w:rPr>
          <w:lang w:val="pt-PT"/>
        </w:rPr>
        <w:lastRenderedPageBreak/>
        <w:t>Figur</w:t>
      </w:r>
      <w:r w:rsidR="00A4440A" w:rsidRPr="00CF3673">
        <w:rPr>
          <w:lang w:val="pt-PT"/>
        </w:rPr>
        <w:t>a</w:t>
      </w:r>
      <w:r w:rsidRPr="00CF3673">
        <w:rPr>
          <w:lang w:val="pt-PT"/>
        </w:rPr>
        <w:t xml:space="preserve"> 10.</w:t>
      </w:r>
      <w:r w:rsidR="006C26F9" w:rsidRPr="00CF3673">
        <w:rPr>
          <w:lang w:val="pt-PT"/>
        </w:rPr>
        <w:t>3</w:t>
      </w:r>
      <w:r w:rsidRPr="00CF3673">
        <w:rPr>
          <w:lang w:val="pt-PT"/>
        </w:rPr>
        <w:t xml:space="preserve">: </w:t>
      </w:r>
      <w:r w:rsidR="00761AD0" w:rsidRPr="00CF3673">
        <w:rPr>
          <w:lang w:val="pt-PT"/>
        </w:rPr>
        <w:t>Razoes</w:t>
      </w:r>
      <w:r w:rsidR="00A4440A" w:rsidRPr="00CF3673">
        <w:rPr>
          <w:lang w:val="pt-PT"/>
        </w:rPr>
        <w:t xml:space="preserve"> para ter receio de fecho de Negócios pelas autoridades por formalidade</w:t>
      </w:r>
      <w:bookmarkEnd w:id="94"/>
    </w:p>
    <w:p w:rsidR="00A63612" w:rsidRPr="00CF3673" w:rsidRDefault="0044347B" w:rsidP="00A4440A">
      <w:pPr>
        <w:pStyle w:val="FigureTitle"/>
        <w:rPr>
          <w:b w:val="0"/>
          <w:lang w:val="pt-PT"/>
        </w:rPr>
      </w:pPr>
      <w:r w:rsidRPr="00CF3673">
        <w:rPr>
          <w:b w:val="0"/>
          <w:noProof/>
        </w:rPr>
        <mc:AlternateContent>
          <mc:Choice Requires="wpg">
            <w:drawing>
              <wp:inline distT="0" distB="0" distL="0" distR="0" wp14:anchorId="52B8C177" wp14:editId="14E2C9E6">
                <wp:extent cx="6512560" cy="2519680"/>
                <wp:effectExtent l="0" t="0" r="21590" b="13970"/>
                <wp:docPr id="8" name="Group 4"/>
                <wp:cNvGraphicFramePr/>
                <a:graphic xmlns:a="http://schemas.openxmlformats.org/drawingml/2006/main">
                  <a:graphicData uri="http://schemas.microsoft.com/office/word/2010/wordprocessingGroup">
                    <wpg:wgp>
                      <wpg:cNvGrpSpPr/>
                      <wpg:grpSpPr>
                        <a:xfrm>
                          <a:off x="0" y="0"/>
                          <a:ext cx="6512560" cy="2519680"/>
                          <a:chOff x="0" y="0"/>
                          <a:chExt cx="6512699" cy="2520000"/>
                        </a:xfrm>
                      </wpg:grpSpPr>
                      <wpg:graphicFrame>
                        <wpg:cNvPr id="10" name="Chart 10"/>
                        <wpg:cNvFrPr>
                          <a:graphicFrameLocks noChangeAspect="1"/>
                        </wpg:cNvFrPr>
                        <wpg:xfrm>
                          <a:off x="0" y="0"/>
                          <a:ext cx="2550785" cy="2520000"/>
                        </wpg:xfrm>
                        <a:graphic>
                          <a:graphicData uri="http://schemas.openxmlformats.org/drawingml/2006/chart">
                            <c:chart xmlns:c="http://schemas.openxmlformats.org/drawingml/2006/chart" xmlns:r="http://schemas.openxmlformats.org/officeDocument/2006/relationships" r:id="rId45"/>
                          </a:graphicData>
                        </a:graphic>
                      </wpg:graphicFrame>
                      <wpg:graphicFrame>
                        <wpg:cNvPr id="13" name="Chart 13"/>
                        <wpg:cNvFrPr>
                          <a:graphicFrameLocks/>
                        </wpg:cNvFrPr>
                        <wpg:xfrm>
                          <a:off x="2552699" y="0"/>
                          <a:ext cx="3960000" cy="2520000"/>
                        </wpg:xfrm>
                        <a:graphic>
                          <a:graphicData uri="http://schemas.openxmlformats.org/drawingml/2006/chart">
                            <c:chart xmlns:c="http://schemas.openxmlformats.org/drawingml/2006/chart" xmlns:r="http://schemas.openxmlformats.org/officeDocument/2006/relationships" r:id="rId46"/>
                          </a:graphicData>
                        </a:graphic>
                      </wpg:graphicFrame>
                    </wpg:wgp>
                  </a:graphicData>
                </a:graphic>
              </wp:inline>
            </w:drawing>
          </mc:Choice>
          <mc:Fallback>
            <w:pict>
              <v:group id="Group 4" o:spid="_x0000_s1026" style="width:512.8pt;height:198.4pt;mso-position-horizontal-relative:char;mso-position-vertical-relative:line" coordsize="65126,25200" o:gfxdata="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">
                <v:shape id="Chart 10" o:spid="_x0000_s1027" type="#_x0000_t75" style="position:absolute;left:-60;top:-60;width:25602;height:253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">
                  <v:imagedata r:id="rId47" o:title=""/>
                </v:shape>
                <v:shape id="Chart 13" o:spid="_x0000_s1028" type="#_x0000_t75" style="position:absolute;left:25481;top:-60;width:39686;height:253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">
                  <v:imagedata r:id="rId48" o:title=""/>
                  <o:lock v:ext="edit" aspectratio="f"/>
                </v:shape>
                <w10:anchorlock/>
              </v:group>
            </w:pict>
          </mc:Fallback>
        </mc:AlternateContent>
      </w:r>
    </w:p>
    <w:tbl>
      <w:tblPr>
        <w:tblStyle w:val="StandardTable"/>
        <w:tblpPr w:leftFromText="141" w:rightFromText="141" w:vertAnchor="text" w:horzAnchor="margin" w:tblpY="14"/>
        <w:tblW w:w="10415" w:type="dxa"/>
        <w:tblBorders>
          <w:top w:val="none" w:sz="0" w:space="0" w:color="auto"/>
          <w:bottom w:val="none" w:sz="0" w:space="0" w:color="auto"/>
        </w:tblBorders>
        <w:tblLayout w:type="fixed"/>
        <w:tblLook w:val="04E0" w:firstRow="1" w:lastRow="1" w:firstColumn="1" w:lastColumn="0" w:noHBand="0" w:noVBand="1"/>
      </w:tblPr>
      <w:tblGrid>
        <w:gridCol w:w="10415"/>
      </w:tblGrid>
      <w:tr w:rsidR="0044347B" w:rsidRPr="00CF3673" w:rsidTr="00AB0B2B">
        <w:trPr>
          <w:cnfStyle w:val="100000000000" w:firstRow="1" w:lastRow="0" w:firstColumn="0" w:lastColumn="0" w:oddVBand="0" w:evenVBand="0" w:oddHBand="0" w:evenHBand="0" w:firstRowFirstColumn="0" w:firstRowLastColumn="0" w:lastRowFirstColumn="0" w:lastRowLastColumn="0"/>
          <w:trHeight w:val="302"/>
        </w:trPr>
        <w:tc>
          <w:tcPr>
            <w:tcW w:w="10415" w:type="dxa"/>
            <w:tcBorders>
              <w:top w:val="none" w:sz="0" w:space="0" w:color="auto"/>
              <w:left w:val="none" w:sz="0" w:space="0" w:color="auto"/>
              <w:bottom w:val="none" w:sz="0" w:space="0" w:color="auto"/>
              <w:right w:val="none" w:sz="0" w:space="0" w:color="auto"/>
            </w:tcBorders>
            <w:noWrap/>
          </w:tcPr>
          <w:p w:rsidR="0044347B" w:rsidRPr="00CF3673" w:rsidRDefault="00286948" w:rsidP="00286948">
            <w:pPr>
              <w:pStyle w:val="Tablenote"/>
              <w:spacing w:before="0"/>
              <w:rPr>
                <w:lang w:val="pt-PT"/>
              </w:rPr>
            </w:pPr>
            <w:r w:rsidRPr="00CF3673">
              <w:rPr>
                <w:b/>
                <w:lang w:val="pt-PT"/>
              </w:rPr>
              <w:t>Nota</w:t>
            </w:r>
            <w:r w:rsidR="0044347B" w:rsidRPr="00CF3673">
              <w:rPr>
                <w:lang w:val="pt-PT"/>
              </w:rPr>
              <w:t xml:space="preserve">: </w:t>
            </w:r>
            <w:r w:rsidRPr="00CF3673">
              <w:rPr>
                <w:lang w:val="pt-PT"/>
              </w:rPr>
              <w:t xml:space="preserve">Somente empresas com receio de serem fechadas </w:t>
            </w:r>
            <w:r w:rsidR="00761AD0" w:rsidRPr="00CF3673">
              <w:rPr>
                <w:lang w:val="pt-PT"/>
              </w:rPr>
              <w:t>estão</w:t>
            </w:r>
            <w:r w:rsidRPr="00CF3673">
              <w:rPr>
                <w:lang w:val="pt-PT"/>
              </w:rPr>
              <w:t xml:space="preserve"> </w:t>
            </w:r>
            <w:r w:rsidR="00761AD0" w:rsidRPr="00CF3673">
              <w:rPr>
                <w:lang w:val="pt-PT"/>
              </w:rPr>
              <w:t>incluídas</w:t>
            </w:r>
            <w:r w:rsidR="00AB0B2B" w:rsidRPr="00CF3673">
              <w:rPr>
                <w:lang w:val="pt-PT"/>
              </w:rPr>
              <w:t xml:space="preserve">. </w:t>
            </w:r>
            <w:r w:rsidR="0044347B" w:rsidRPr="00CF3673">
              <w:rPr>
                <w:lang w:val="pt-PT"/>
              </w:rPr>
              <w:t>Num</w:t>
            </w:r>
            <w:r w:rsidRPr="00CF3673">
              <w:rPr>
                <w:lang w:val="pt-PT"/>
              </w:rPr>
              <w:t>ero de observações</w:t>
            </w:r>
            <w:r w:rsidR="0044347B" w:rsidRPr="00CF3673">
              <w:rPr>
                <w:lang w:val="pt-PT"/>
              </w:rPr>
              <w:t xml:space="preserve">: </w:t>
            </w:r>
            <w:r w:rsidRPr="00CF3673">
              <w:rPr>
                <w:lang w:val="pt-PT"/>
              </w:rPr>
              <w:t>267 (104 informais</w:t>
            </w:r>
            <w:r w:rsidR="00AB0B2B" w:rsidRPr="00CF3673">
              <w:rPr>
                <w:lang w:val="pt-PT"/>
              </w:rPr>
              <w:t xml:space="preserve"> </w:t>
            </w:r>
            <w:r w:rsidRPr="00CF3673">
              <w:rPr>
                <w:lang w:val="pt-PT"/>
              </w:rPr>
              <w:t>e 163 formais</w:t>
            </w:r>
            <w:r w:rsidR="0044347B" w:rsidRPr="00CF3673">
              <w:rPr>
                <w:lang w:val="pt-PT"/>
              </w:rPr>
              <w:t xml:space="preserve">). </w:t>
            </w:r>
          </w:p>
        </w:tc>
      </w:tr>
      <w:tr w:rsidR="0044347B" w:rsidRPr="00CF3673" w:rsidTr="00AB0B2B">
        <w:trPr>
          <w:cnfStyle w:val="010000000000" w:firstRow="0" w:lastRow="1" w:firstColumn="0" w:lastColumn="0" w:oddVBand="0" w:evenVBand="0" w:oddHBand="0" w:evenHBand="0" w:firstRowFirstColumn="0" w:firstRowLastColumn="0" w:lastRowFirstColumn="0" w:lastRowLastColumn="0"/>
          <w:trHeight w:val="302"/>
        </w:trPr>
        <w:tc>
          <w:tcPr>
            <w:tcW w:w="10415" w:type="dxa"/>
            <w:tcBorders>
              <w:top w:val="none" w:sz="0" w:space="0" w:color="auto"/>
            </w:tcBorders>
            <w:noWrap/>
          </w:tcPr>
          <w:p w:rsidR="0044347B" w:rsidRPr="00CF3673" w:rsidRDefault="00286948" w:rsidP="00286948">
            <w:pPr>
              <w:pStyle w:val="Tablenote"/>
              <w:spacing w:before="0"/>
              <w:rPr>
                <w:lang w:val="pt-PT"/>
              </w:rPr>
            </w:pPr>
            <w:r w:rsidRPr="00CF3673">
              <w:rPr>
                <w:b/>
                <w:lang w:val="pt-PT"/>
              </w:rPr>
              <w:t>Fonte</w:t>
            </w:r>
            <w:r w:rsidR="0044347B" w:rsidRPr="00CF3673">
              <w:rPr>
                <w:lang w:val="pt-PT"/>
              </w:rPr>
              <w:t xml:space="preserve">: </w:t>
            </w:r>
            <w:r w:rsidR="00761AD0" w:rsidRPr="00CF3673">
              <w:rPr>
                <w:lang w:val="pt-PT"/>
              </w:rPr>
              <w:t>cálculos</w:t>
            </w:r>
            <w:r w:rsidRPr="00CF3673">
              <w:rPr>
                <w:lang w:val="pt-PT"/>
              </w:rPr>
              <w:t xml:space="preserve"> dos autores usando </w:t>
            </w:r>
            <w:r w:rsidR="0044347B" w:rsidRPr="00CF3673">
              <w:rPr>
                <w:lang w:val="pt-PT"/>
              </w:rPr>
              <w:t>IIM 2012.</w:t>
            </w:r>
          </w:p>
        </w:tc>
      </w:tr>
    </w:tbl>
    <w:p w:rsidR="00A63612" w:rsidRPr="00CF3673" w:rsidRDefault="00A63612">
      <w:pPr>
        <w:rPr>
          <w:b/>
        </w:rPr>
      </w:pPr>
    </w:p>
    <w:p w:rsidR="005265E9" w:rsidRPr="00CF3673" w:rsidRDefault="006102AC" w:rsidP="001E664B">
      <w:pPr>
        <w:pStyle w:val="SectionTitle"/>
        <w:rPr>
          <w:lang w:val="pt-PT"/>
        </w:rPr>
      </w:pPr>
      <w:bookmarkStart w:id="95" w:name="_Toc360720410"/>
      <w:r w:rsidRPr="00CF3673">
        <w:rPr>
          <w:lang w:val="pt-PT"/>
        </w:rPr>
        <w:t>10</w:t>
      </w:r>
      <w:r w:rsidR="00C13A91" w:rsidRPr="00CF3673">
        <w:rPr>
          <w:lang w:val="pt-PT"/>
        </w:rPr>
        <w:t>.</w:t>
      </w:r>
      <w:r w:rsidR="00D87841" w:rsidRPr="00CF3673">
        <w:rPr>
          <w:lang w:val="pt-PT"/>
        </w:rPr>
        <w:t>2</w:t>
      </w:r>
      <w:r w:rsidR="00215639" w:rsidRPr="00CF3673">
        <w:rPr>
          <w:lang w:val="pt-PT"/>
        </w:rPr>
        <w:t>.</w:t>
      </w:r>
      <w:r w:rsidR="00C13A91" w:rsidRPr="00CF3673">
        <w:rPr>
          <w:lang w:val="pt-PT"/>
        </w:rPr>
        <w:t xml:space="preserve"> </w:t>
      </w:r>
      <w:r w:rsidR="00290934" w:rsidRPr="00CF3673">
        <w:rPr>
          <w:lang w:val="pt-PT"/>
        </w:rPr>
        <w:t>Subornos</w:t>
      </w:r>
      <w:bookmarkEnd w:id="95"/>
    </w:p>
    <w:p w:rsidR="0045744C" w:rsidRPr="00CF3673" w:rsidRDefault="0045744C" w:rsidP="00BB0AB8">
      <w:pPr>
        <w:pStyle w:val="MainText"/>
        <w:rPr>
          <w:lang w:val="pt-PT"/>
        </w:rPr>
      </w:pPr>
      <w:r w:rsidRPr="00CF3673">
        <w:rPr>
          <w:lang w:val="pt-PT"/>
        </w:rPr>
        <w:t xml:space="preserve">No questionário, existe duas perguntas relativas ao </w:t>
      </w:r>
      <w:r w:rsidR="00761AD0" w:rsidRPr="00CF3673">
        <w:rPr>
          <w:lang w:val="pt-PT"/>
        </w:rPr>
        <w:t>suborno</w:t>
      </w:r>
      <w:r w:rsidRPr="00CF3673">
        <w:rPr>
          <w:lang w:val="pt-PT"/>
        </w:rPr>
        <w:t xml:space="preserve">. Uma é directa: “no período 2009-2011, </w:t>
      </w:r>
      <w:r w:rsidR="00FB0F1D" w:rsidRPr="00CF3673">
        <w:rPr>
          <w:lang w:val="pt-PT"/>
        </w:rPr>
        <w:t xml:space="preserve">teria feito pagamento informal a um oficial </w:t>
      </w:r>
      <w:r w:rsidR="00290934" w:rsidRPr="00CF3673">
        <w:rPr>
          <w:lang w:val="pt-PT"/>
        </w:rPr>
        <w:t>público</w:t>
      </w:r>
      <w:r w:rsidR="00FB0F1D" w:rsidRPr="00CF3673">
        <w:rPr>
          <w:lang w:val="pt-PT"/>
        </w:rPr>
        <w:t xml:space="preserve"> para ter as coisas a andar? </w:t>
      </w:r>
      <w:r w:rsidRPr="00CF3673">
        <w:rPr>
          <w:lang w:val="pt-PT"/>
        </w:rPr>
        <w:t>”</w:t>
      </w:r>
      <w:r w:rsidR="00FB0F1D" w:rsidRPr="00CF3673">
        <w:rPr>
          <w:lang w:val="pt-PT"/>
        </w:rPr>
        <w:t xml:space="preserve">. Uma outras é indirecta: “Qual seria a sua estimativa duma empresa típica na linha do seu negócio com mesmo tamanho pagaria cada ano faria pagamento informais aos oficiais públicos em relação as alfandegas, impostos, licenciamento, regulamentos, </w:t>
      </w:r>
      <w:proofErr w:type="spellStart"/>
      <w:r w:rsidR="00FB0F1D" w:rsidRPr="00CF3673">
        <w:rPr>
          <w:lang w:val="pt-PT"/>
        </w:rPr>
        <w:t>etc</w:t>
      </w:r>
      <w:proofErr w:type="spellEnd"/>
      <w:r w:rsidR="00FB0F1D" w:rsidRPr="00CF3673">
        <w:rPr>
          <w:lang w:val="pt-PT"/>
        </w:rPr>
        <w:t xml:space="preserve">? ”. As empresas pode ser </w:t>
      </w:r>
      <w:r w:rsidR="00761AD0" w:rsidRPr="00CF3673">
        <w:rPr>
          <w:lang w:val="pt-PT"/>
        </w:rPr>
        <w:t>relutantes</w:t>
      </w:r>
      <w:r w:rsidR="00FB0F1D" w:rsidRPr="00CF3673">
        <w:rPr>
          <w:lang w:val="pt-PT"/>
        </w:rPr>
        <w:t xml:space="preserve"> em relação as perguntas sobre subornos porque eles não são tão orgulhosos em pagar subornos ou porque pensam que assim procedendo criariam problemas para eles. Mas quando a pergunta é sobre “uma empresa típica com tamanho similar da sua linha de negócios”, as coisas são diferentes. Na pergunta directa, apenas 5% da amostra indicaram ter pago subornos (758 observações) enquanto na pergunta indirecta, 54% referem “uma empresa típica com mesmo tamanho na sua linha de negócios” paga valores sem zero em pagamento informais (386 observações). Tomamos a pergunta indirecta para providenciar a medida fiável do pagamento de suborno e poderá ser usado daqui em diante. Este indicador </w:t>
      </w:r>
      <w:r w:rsidR="00290934" w:rsidRPr="00CF3673">
        <w:rPr>
          <w:lang w:val="pt-PT"/>
        </w:rPr>
        <w:t>tem um maior número de observações em falta, mas pode reflectir o desconhecimento dos respondentes, dado que a pergunta não se refere a empresa como tal, o que significa observações em falta não são um grande problema.</w:t>
      </w:r>
    </w:p>
    <w:p w:rsidR="00377BEC" w:rsidRPr="00CF3673" w:rsidRDefault="00377BEC" w:rsidP="00BB0AB8">
      <w:pPr>
        <w:pStyle w:val="MainText"/>
        <w:rPr>
          <w:lang w:val="pt-PT"/>
        </w:rPr>
      </w:pPr>
    </w:p>
    <w:p w:rsidR="00377BEC" w:rsidRPr="00CF3673" w:rsidRDefault="00377BEC" w:rsidP="00BB0AB8">
      <w:pPr>
        <w:pStyle w:val="MainText"/>
        <w:rPr>
          <w:lang w:val="pt-PT"/>
        </w:rPr>
      </w:pPr>
    </w:p>
    <w:p w:rsidR="00472691" w:rsidRPr="00CF3673" w:rsidRDefault="00377BEC" w:rsidP="00BB0AB8">
      <w:pPr>
        <w:pStyle w:val="MainText"/>
        <w:rPr>
          <w:lang w:val="pt-PT"/>
        </w:rPr>
      </w:pPr>
      <w:r w:rsidRPr="00CF3673">
        <w:rPr>
          <w:lang w:val="pt-PT"/>
        </w:rPr>
        <w:lastRenderedPageBreak/>
        <w:t xml:space="preserve">Na tabela 10.2 analisamos como varia a </w:t>
      </w:r>
      <w:r w:rsidR="00761AD0" w:rsidRPr="00CF3673">
        <w:rPr>
          <w:lang w:val="pt-PT"/>
        </w:rPr>
        <w:t>incidência</w:t>
      </w:r>
      <w:r w:rsidRPr="00CF3673">
        <w:rPr>
          <w:lang w:val="pt-PT"/>
        </w:rPr>
        <w:t xml:space="preserve"> do suborno varia nas diferentes empresas e como as empresas com maior percentagem de vendas pagam os subornos</w:t>
      </w:r>
      <w:r w:rsidRPr="00CF3673">
        <w:rPr>
          <w:rStyle w:val="FootnoteReference"/>
          <w:lang w:val="pt-PT"/>
        </w:rPr>
        <w:footnoteReference w:id="51"/>
      </w:r>
      <w:r w:rsidRPr="00CF3673">
        <w:rPr>
          <w:lang w:val="pt-PT"/>
        </w:rPr>
        <w:t>. Como foi indicado, 54% da amostra paga suborno</w:t>
      </w:r>
      <w:r w:rsidR="00472691" w:rsidRPr="00CF3673">
        <w:rPr>
          <w:lang w:val="pt-PT"/>
        </w:rPr>
        <w:t xml:space="preserve">, estas empresas pagam 10% das vendas em subornos- um aumento marcado de 5.7% encontrado no DNEAP (2006). As pequenas empresas tem menor propensão do que as micro e medias empresas mas também pagam menos quando os subornos são feitos. Empresas informais têm maior propensão a pagar subornos e também pagam valores substanciais das suas vendas em subornos. Pagamento de suborno varia entre regiões. Em Nampula, Chimoio e Tete, as empresas têm maior propensão a pagar subornos (92% das empresas em Chimoio pagam suborno) mas pagam menos quando subornam, enquanto o </w:t>
      </w:r>
      <w:r w:rsidR="00761AD0" w:rsidRPr="00CF3673">
        <w:rPr>
          <w:lang w:val="pt-PT"/>
        </w:rPr>
        <w:t>oposto</w:t>
      </w:r>
      <w:r w:rsidR="00472691" w:rsidRPr="00CF3673">
        <w:rPr>
          <w:lang w:val="pt-PT"/>
        </w:rPr>
        <w:t xml:space="preserve"> é verdade na Beira e Nacala. Subornos parecem mais frequentes e maiores em </w:t>
      </w:r>
      <w:proofErr w:type="spellStart"/>
      <w:r w:rsidR="00472691" w:rsidRPr="00CF3673">
        <w:rPr>
          <w:lang w:val="pt-PT"/>
        </w:rPr>
        <w:t>Xai-Xai</w:t>
      </w:r>
      <w:proofErr w:type="spellEnd"/>
      <w:r w:rsidR="00472691" w:rsidRPr="00CF3673">
        <w:rPr>
          <w:lang w:val="pt-PT"/>
        </w:rPr>
        <w:t xml:space="preserve"> e </w:t>
      </w:r>
      <w:proofErr w:type="spellStart"/>
      <w:r w:rsidR="00761AD0" w:rsidRPr="00CF3673">
        <w:rPr>
          <w:lang w:val="pt-PT"/>
        </w:rPr>
        <w:t>Chókwe</w:t>
      </w:r>
      <w:proofErr w:type="spellEnd"/>
      <w:r w:rsidR="00472691" w:rsidRPr="00CF3673">
        <w:rPr>
          <w:lang w:val="pt-PT"/>
        </w:rPr>
        <w:t xml:space="preserve"> e rara e pequenos na Matola e </w:t>
      </w:r>
      <w:proofErr w:type="spellStart"/>
      <w:r w:rsidR="00472691" w:rsidRPr="00CF3673">
        <w:rPr>
          <w:lang w:val="pt-PT"/>
        </w:rPr>
        <w:t>Moatize</w:t>
      </w:r>
      <w:proofErr w:type="spellEnd"/>
      <w:r w:rsidR="00472691" w:rsidRPr="00CF3673">
        <w:rPr>
          <w:lang w:val="pt-PT"/>
        </w:rPr>
        <w:t>.</w:t>
      </w:r>
    </w:p>
    <w:p w:rsidR="00020FFF" w:rsidRPr="00CF3673" w:rsidRDefault="00E333A2" w:rsidP="00461403">
      <w:pPr>
        <w:pStyle w:val="TableTitle"/>
        <w:rPr>
          <w:lang w:val="pt-PT"/>
        </w:rPr>
      </w:pPr>
      <w:bookmarkStart w:id="96" w:name="_Toc360720505"/>
      <w:r w:rsidRPr="00CF3673">
        <w:rPr>
          <w:lang w:val="pt-PT"/>
        </w:rPr>
        <w:t>Tab</w:t>
      </w:r>
      <w:r w:rsidR="00472691" w:rsidRPr="00CF3673">
        <w:rPr>
          <w:lang w:val="pt-PT"/>
        </w:rPr>
        <w:t>e</w:t>
      </w:r>
      <w:r w:rsidRPr="00CF3673">
        <w:rPr>
          <w:lang w:val="pt-PT"/>
        </w:rPr>
        <w:t>l</w:t>
      </w:r>
      <w:r w:rsidR="00472691" w:rsidRPr="00CF3673">
        <w:rPr>
          <w:lang w:val="pt-PT"/>
        </w:rPr>
        <w:t>a</w:t>
      </w:r>
      <w:r w:rsidR="00020FFF" w:rsidRPr="00CF3673">
        <w:rPr>
          <w:lang w:val="pt-PT"/>
        </w:rPr>
        <w:t xml:space="preserve"> </w:t>
      </w:r>
      <w:r w:rsidR="006102AC" w:rsidRPr="00CF3673">
        <w:rPr>
          <w:lang w:val="pt-PT"/>
        </w:rPr>
        <w:t>10</w:t>
      </w:r>
      <w:r w:rsidR="00020FFF" w:rsidRPr="00CF3673">
        <w:rPr>
          <w:lang w:val="pt-PT"/>
        </w:rPr>
        <w:t>.</w:t>
      </w:r>
      <w:r w:rsidR="00B038CA" w:rsidRPr="00CF3673">
        <w:rPr>
          <w:lang w:val="pt-PT"/>
        </w:rPr>
        <w:t>2</w:t>
      </w:r>
      <w:r w:rsidR="0009606A" w:rsidRPr="00CF3673">
        <w:rPr>
          <w:lang w:val="pt-PT"/>
        </w:rPr>
        <w:t xml:space="preserve">: </w:t>
      </w:r>
      <w:r w:rsidR="00472691" w:rsidRPr="00CF3673">
        <w:rPr>
          <w:lang w:val="pt-PT"/>
        </w:rPr>
        <w:t>Incidência do suborno</w:t>
      </w:r>
      <w:r w:rsidR="00B33502" w:rsidRPr="00CF3673">
        <w:rPr>
          <w:lang w:val="pt-PT"/>
        </w:rPr>
        <w:t xml:space="preserve">, </w:t>
      </w:r>
      <w:r w:rsidR="00472691" w:rsidRPr="00CF3673">
        <w:rPr>
          <w:lang w:val="pt-PT"/>
        </w:rPr>
        <w:t>%</w:t>
      </w:r>
      <w:r w:rsidR="00B33502" w:rsidRPr="00CF3673">
        <w:rPr>
          <w:lang w:val="pt-PT"/>
        </w:rPr>
        <w:t xml:space="preserve">. </w:t>
      </w:r>
      <w:r w:rsidR="00472691" w:rsidRPr="00CF3673">
        <w:rPr>
          <w:lang w:val="pt-PT"/>
        </w:rPr>
        <w:t>Das empresas e valores do suborno</w:t>
      </w:r>
      <w:r w:rsidR="00B33502" w:rsidRPr="00CF3673">
        <w:rPr>
          <w:lang w:val="pt-PT"/>
        </w:rPr>
        <w:t xml:space="preserve">, </w:t>
      </w:r>
      <w:r w:rsidR="00472691" w:rsidRPr="00CF3673">
        <w:rPr>
          <w:lang w:val="pt-PT"/>
        </w:rPr>
        <w:t>média %</w:t>
      </w:r>
      <w:r w:rsidR="00B33502" w:rsidRPr="00CF3673">
        <w:rPr>
          <w:lang w:val="pt-PT"/>
        </w:rPr>
        <w:t xml:space="preserve"> </w:t>
      </w:r>
      <w:r w:rsidR="00472691" w:rsidRPr="00CF3673">
        <w:rPr>
          <w:lang w:val="pt-PT"/>
        </w:rPr>
        <w:t>das vendas por empresa</w:t>
      </w:r>
      <w:bookmarkEnd w:id="96"/>
    </w:p>
    <w:tbl>
      <w:tblPr>
        <w:tblStyle w:val="StandardTable"/>
        <w:tblW w:w="0" w:type="auto"/>
        <w:jc w:val="center"/>
        <w:tblInd w:w="-9" w:type="dxa"/>
        <w:tblLayout w:type="fixed"/>
        <w:tblLook w:val="04A0" w:firstRow="1" w:lastRow="0" w:firstColumn="1" w:lastColumn="0" w:noHBand="0" w:noVBand="1"/>
      </w:tblPr>
      <w:tblGrid>
        <w:gridCol w:w="1121"/>
        <w:gridCol w:w="1231"/>
        <w:gridCol w:w="2276"/>
        <w:gridCol w:w="680"/>
      </w:tblGrid>
      <w:tr w:rsidR="00020FFF" w:rsidRPr="00CF3673" w:rsidTr="00472691">
        <w:trPr>
          <w:cnfStyle w:val="100000000000" w:firstRow="1" w:lastRow="0" w:firstColumn="0" w:lastColumn="0" w:oddVBand="0" w:evenVBand="0" w:oddHBand="0" w:evenHBand="0" w:firstRowFirstColumn="0" w:firstRowLastColumn="0" w:lastRowFirstColumn="0" w:lastRowLastColumn="0"/>
          <w:trHeight w:val="303"/>
          <w:jc w:val="center"/>
        </w:trPr>
        <w:tc>
          <w:tcPr>
            <w:tcW w:w="1121" w:type="dxa"/>
            <w:noWrap/>
            <w:hideMark/>
          </w:tcPr>
          <w:p w:rsidR="00020FFF" w:rsidRPr="00CF3673" w:rsidRDefault="00020FFF"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 </w:t>
            </w:r>
          </w:p>
        </w:tc>
        <w:tc>
          <w:tcPr>
            <w:tcW w:w="1231" w:type="dxa"/>
            <w:noWrap/>
            <w:hideMark/>
          </w:tcPr>
          <w:p w:rsidR="00020FFF" w:rsidRPr="00CF3673" w:rsidRDefault="00472691" w:rsidP="00472691">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Paga suborno</w:t>
            </w:r>
          </w:p>
        </w:tc>
        <w:tc>
          <w:tcPr>
            <w:tcW w:w="2276" w:type="dxa"/>
            <w:noWrap/>
            <w:hideMark/>
          </w:tcPr>
          <w:p w:rsidR="00020FFF" w:rsidRPr="00CF3673" w:rsidRDefault="00472691" w:rsidP="00472691">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Suborno como % das vendas</w:t>
            </w:r>
          </w:p>
        </w:tc>
        <w:tc>
          <w:tcPr>
            <w:tcW w:w="680" w:type="dxa"/>
            <w:noWrap/>
          </w:tcPr>
          <w:p w:rsidR="00020FFF" w:rsidRPr="00CF3673" w:rsidRDefault="00F33DA3" w:rsidP="006468A2">
            <w:pPr>
              <w:jc w:val="center"/>
              <w:rPr>
                <w:rFonts w:ascii="Calibri" w:eastAsia="Times New Roman" w:hAnsi="Calibri" w:cs="Calibri"/>
                <w:color w:val="000000"/>
                <w:lang w:eastAsia="zh-CN"/>
              </w:rPr>
            </w:pPr>
            <w:r w:rsidRPr="00CF3673">
              <w:rPr>
                <w:rFonts w:ascii="Calibri" w:eastAsia="Times New Roman" w:hAnsi="Calibri" w:cs="Calibri"/>
                <w:color w:val="000000"/>
                <w:lang w:eastAsia="zh-CN"/>
              </w:rPr>
              <w:t>Obs.</w:t>
            </w:r>
          </w:p>
        </w:tc>
      </w:tr>
      <w:tr w:rsidR="00B33502" w:rsidRPr="00CF3673" w:rsidTr="00472691">
        <w:trPr>
          <w:trHeight w:val="303"/>
          <w:jc w:val="center"/>
        </w:trPr>
        <w:tc>
          <w:tcPr>
            <w:tcW w:w="1121" w:type="dxa"/>
            <w:noWrap/>
            <w:hideMark/>
          </w:tcPr>
          <w:p w:rsidR="00B33502" w:rsidRPr="00CF3673" w:rsidRDefault="00472691"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Todas</w:t>
            </w:r>
          </w:p>
        </w:tc>
        <w:tc>
          <w:tcPr>
            <w:tcW w:w="1231" w:type="dxa"/>
            <w:noWrap/>
            <w:hideMark/>
          </w:tcPr>
          <w:p w:rsidR="00B33502" w:rsidRPr="00CF3673" w:rsidRDefault="00B33502" w:rsidP="00B33502">
            <w:pPr>
              <w:jc w:val="center"/>
            </w:pPr>
            <w:r w:rsidRPr="00CF3673">
              <w:t>53.6</w:t>
            </w:r>
          </w:p>
        </w:tc>
        <w:tc>
          <w:tcPr>
            <w:tcW w:w="2276" w:type="dxa"/>
            <w:noWrap/>
            <w:hideMark/>
          </w:tcPr>
          <w:p w:rsidR="00B33502" w:rsidRPr="00CF3673" w:rsidRDefault="00B33502" w:rsidP="00B33502">
            <w:pPr>
              <w:jc w:val="center"/>
            </w:pPr>
            <w:r w:rsidRPr="00CF3673">
              <w:t>9.9</w:t>
            </w:r>
          </w:p>
        </w:tc>
        <w:tc>
          <w:tcPr>
            <w:tcW w:w="680" w:type="dxa"/>
            <w:noWrap/>
            <w:hideMark/>
          </w:tcPr>
          <w:p w:rsidR="00B33502" w:rsidRPr="00CF3673" w:rsidRDefault="00B33502" w:rsidP="00B33502">
            <w:pPr>
              <w:jc w:val="center"/>
            </w:pPr>
            <w:r w:rsidRPr="00CF3673">
              <w:t>386</w:t>
            </w:r>
          </w:p>
        </w:tc>
      </w:tr>
      <w:tr w:rsidR="00B33502" w:rsidRPr="00CF3673" w:rsidTr="00472691">
        <w:trPr>
          <w:trHeight w:val="303"/>
          <w:jc w:val="center"/>
        </w:trPr>
        <w:tc>
          <w:tcPr>
            <w:tcW w:w="1121" w:type="dxa"/>
            <w:noWrap/>
            <w:hideMark/>
          </w:tcPr>
          <w:p w:rsidR="00B33502" w:rsidRPr="00CF3673" w:rsidRDefault="00B33502"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Micro</w:t>
            </w:r>
          </w:p>
        </w:tc>
        <w:tc>
          <w:tcPr>
            <w:tcW w:w="1231" w:type="dxa"/>
            <w:noWrap/>
            <w:hideMark/>
          </w:tcPr>
          <w:p w:rsidR="00B33502" w:rsidRPr="00CF3673" w:rsidRDefault="00B33502" w:rsidP="00B33502">
            <w:pPr>
              <w:jc w:val="center"/>
            </w:pPr>
            <w:r w:rsidRPr="00CF3673">
              <w:t>55.9</w:t>
            </w:r>
          </w:p>
        </w:tc>
        <w:tc>
          <w:tcPr>
            <w:tcW w:w="2276" w:type="dxa"/>
            <w:noWrap/>
            <w:hideMark/>
          </w:tcPr>
          <w:p w:rsidR="00B33502" w:rsidRPr="00CF3673" w:rsidRDefault="00B33502" w:rsidP="00B33502">
            <w:pPr>
              <w:jc w:val="center"/>
            </w:pPr>
            <w:r w:rsidRPr="00CF3673">
              <w:t>10.4</w:t>
            </w:r>
          </w:p>
        </w:tc>
        <w:tc>
          <w:tcPr>
            <w:tcW w:w="680" w:type="dxa"/>
            <w:noWrap/>
            <w:hideMark/>
          </w:tcPr>
          <w:p w:rsidR="00B33502" w:rsidRPr="00CF3673" w:rsidRDefault="00B33502" w:rsidP="00B33502">
            <w:pPr>
              <w:jc w:val="center"/>
            </w:pPr>
            <w:r w:rsidRPr="00CF3673">
              <w:t>247</w:t>
            </w:r>
          </w:p>
        </w:tc>
      </w:tr>
      <w:tr w:rsidR="00B33502" w:rsidRPr="00CF3673" w:rsidTr="00472691">
        <w:trPr>
          <w:trHeight w:val="303"/>
          <w:jc w:val="center"/>
        </w:trPr>
        <w:tc>
          <w:tcPr>
            <w:tcW w:w="1121" w:type="dxa"/>
            <w:tcBorders>
              <w:bottom w:val="nil"/>
            </w:tcBorders>
            <w:noWrap/>
            <w:hideMark/>
          </w:tcPr>
          <w:p w:rsidR="00B33502" w:rsidRPr="00CF3673" w:rsidRDefault="00472691"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Pequena</w:t>
            </w:r>
          </w:p>
        </w:tc>
        <w:tc>
          <w:tcPr>
            <w:tcW w:w="1231" w:type="dxa"/>
            <w:tcBorders>
              <w:bottom w:val="nil"/>
            </w:tcBorders>
            <w:noWrap/>
            <w:hideMark/>
          </w:tcPr>
          <w:p w:rsidR="00B33502" w:rsidRPr="00CF3673" w:rsidRDefault="00B33502" w:rsidP="00B33502">
            <w:pPr>
              <w:jc w:val="center"/>
            </w:pPr>
            <w:r w:rsidRPr="00CF3673">
              <w:t>48.5</w:t>
            </w:r>
          </w:p>
        </w:tc>
        <w:tc>
          <w:tcPr>
            <w:tcW w:w="2276" w:type="dxa"/>
            <w:tcBorders>
              <w:bottom w:val="nil"/>
            </w:tcBorders>
            <w:noWrap/>
            <w:hideMark/>
          </w:tcPr>
          <w:p w:rsidR="00B33502" w:rsidRPr="00CF3673" w:rsidRDefault="00B33502" w:rsidP="00B33502">
            <w:pPr>
              <w:jc w:val="center"/>
            </w:pPr>
            <w:r w:rsidRPr="00CF3673">
              <w:t>8.3</w:t>
            </w:r>
          </w:p>
        </w:tc>
        <w:tc>
          <w:tcPr>
            <w:tcW w:w="680" w:type="dxa"/>
            <w:tcBorders>
              <w:bottom w:val="nil"/>
            </w:tcBorders>
            <w:noWrap/>
            <w:hideMark/>
          </w:tcPr>
          <w:p w:rsidR="00B33502" w:rsidRPr="00CF3673" w:rsidRDefault="00B33502" w:rsidP="00B33502">
            <w:pPr>
              <w:jc w:val="center"/>
            </w:pPr>
            <w:r w:rsidRPr="00CF3673">
              <w:t>101</w:t>
            </w:r>
          </w:p>
        </w:tc>
      </w:tr>
      <w:tr w:rsidR="00B33502" w:rsidRPr="00CF3673" w:rsidTr="00472691">
        <w:trPr>
          <w:trHeight w:val="303"/>
          <w:jc w:val="center"/>
        </w:trPr>
        <w:tc>
          <w:tcPr>
            <w:tcW w:w="1121" w:type="dxa"/>
            <w:tcBorders>
              <w:top w:val="nil"/>
              <w:bottom w:val="single" w:sz="4" w:space="0" w:color="auto"/>
            </w:tcBorders>
            <w:noWrap/>
            <w:hideMark/>
          </w:tcPr>
          <w:p w:rsidR="00B33502" w:rsidRPr="00CF3673" w:rsidRDefault="00472691"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Media</w:t>
            </w:r>
          </w:p>
        </w:tc>
        <w:tc>
          <w:tcPr>
            <w:tcW w:w="1231" w:type="dxa"/>
            <w:tcBorders>
              <w:top w:val="nil"/>
              <w:bottom w:val="single" w:sz="4" w:space="0" w:color="auto"/>
            </w:tcBorders>
            <w:noWrap/>
            <w:hideMark/>
          </w:tcPr>
          <w:p w:rsidR="00B33502" w:rsidRPr="00CF3673" w:rsidRDefault="00B33502" w:rsidP="00B33502">
            <w:pPr>
              <w:jc w:val="center"/>
            </w:pPr>
            <w:r w:rsidRPr="00CF3673">
              <w:t>52.6</w:t>
            </w:r>
          </w:p>
        </w:tc>
        <w:tc>
          <w:tcPr>
            <w:tcW w:w="2276" w:type="dxa"/>
            <w:tcBorders>
              <w:top w:val="nil"/>
              <w:bottom w:val="single" w:sz="4" w:space="0" w:color="auto"/>
            </w:tcBorders>
            <w:noWrap/>
            <w:hideMark/>
          </w:tcPr>
          <w:p w:rsidR="00B33502" w:rsidRPr="00CF3673" w:rsidRDefault="00B33502" w:rsidP="00B33502">
            <w:pPr>
              <w:jc w:val="center"/>
            </w:pPr>
            <w:r w:rsidRPr="00CF3673">
              <w:t>9.8</w:t>
            </w:r>
          </w:p>
        </w:tc>
        <w:tc>
          <w:tcPr>
            <w:tcW w:w="680" w:type="dxa"/>
            <w:tcBorders>
              <w:top w:val="nil"/>
              <w:bottom w:val="single" w:sz="4" w:space="0" w:color="auto"/>
            </w:tcBorders>
            <w:noWrap/>
            <w:hideMark/>
          </w:tcPr>
          <w:p w:rsidR="00B33502" w:rsidRPr="00CF3673" w:rsidRDefault="00B33502" w:rsidP="00B33502">
            <w:pPr>
              <w:jc w:val="center"/>
            </w:pPr>
            <w:r w:rsidRPr="00CF3673">
              <w:t>38</w:t>
            </w:r>
          </w:p>
        </w:tc>
      </w:tr>
      <w:tr w:rsidR="00B33502" w:rsidRPr="00CF3673" w:rsidTr="00472691">
        <w:trPr>
          <w:trHeight w:val="303"/>
          <w:jc w:val="center"/>
        </w:trPr>
        <w:tc>
          <w:tcPr>
            <w:tcW w:w="1121" w:type="dxa"/>
            <w:tcBorders>
              <w:top w:val="single" w:sz="4" w:space="0" w:color="auto"/>
              <w:bottom w:val="nil"/>
            </w:tcBorders>
            <w:noWrap/>
            <w:hideMark/>
          </w:tcPr>
          <w:p w:rsidR="00B33502" w:rsidRPr="00CF3673" w:rsidRDefault="00B33502"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Informal</w:t>
            </w:r>
          </w:p>
        </w:tc>
        <w:tc>
          <w:tcPr>
            <w:tcW w:w="1231" w:type="dxa"/>
            <w:tcBorders>
              <w:top w:val="single" w:sz="4" w:space="0" w:color="auto"/>
              <w:bottom w:val="nil"/>
            </w:tcBorders>
            <w:noWrap/>
            <w:hideMark/>
          </w:tcPr>
          <w:p w:rsidR="00B33502" w:rsidRPr="00CF3673" w:rsidRDefault="00B33502" w:rsidP="00B33502">
            <w:pPr>
              <w:jc w:val="center"/>
            </w:pPr>
            <w:r w:rsidRPr="00CF3673">
              <w:t>68.8</w:t>
            </w:r>
          </w:p>
        </w:tc>
        <w:tc>
          <w:tcPr>
            <w:tcW w:w="2276" w:type="dxa"/>
            <w:tcBorders>
              <w:top w:val="single" w:sz="4" w:space="0" w:color="auto"/>
              <w:bottom w:val="nil"/>
            </w:tcBorders>
            <w:noWrap/>
            <w:hideMark/>
          </w:tcPr>
          <w:p w:rsidR="00B33502" w:rsidRPr="00CF3673" w:rsidRDefault="00B33502" w:rsidP="00B33502">
            <w:pPr>
              <w:jc w:val="center"/>
            </w:pPr>
            <w:r w:rsidRPr="00CF3673">
              <w:t>12.0</w:t>
            </w:r>
          </w:p>
        </w:tc>
        <w:tc>
          <w:tcPr>
            <w:tcW w:w="680" w:type="dxa"/>
            <w:tcBorders>
              <w:top w:val="single" w:sz="4" w:space="0" w:color="auto"/>
              <w:bottom w:val="nil"/>
            </w:tcBorders>
            <w:noWrap/>
            <w:hideMark/>
          </w:tcPr>
          <w:p w:rsidR="00B33502" w:rsidRPr="00CF3673" w:rsidRDefault="00B33502" w:rsidP="00B33502">
            <w:pPr>
              <w:jc w:val="center"/>
            </w:pPr>
            <w:r w:rsidRPr="00CF3673">
              <w:t>80</w:t>
            </w:r>
          </w:p>
        </w:tc>
      </w:tr>
      <w:tr w:rsidR="00B33502" w:rsidRPr="00CF3673" w:rsidTr="00472691">
        <w:trPr>
          <w:trHeight w:val="303"/>
          <w:jc w:val="center"/>
        </w:trPr>
        <w:tc>
          <w:tcPr>
            <w:tcW w:w="1121" w:type="dxa"/>
            <w:tcBorders>
              <w:top w:val="nil"/>
              <w:bottom w:val="single" w:sz="4" w:space="0" w:color="auto"/>
            </w:tcBorders>
            <w:noWrap/>
            <w:hideMark/>
          </w:tcPr>
          <w:p w:rsidR="00B33502" w:rsidRPr="00CF3673" w:rsidRDefault="00B33502" w:rsidP="006468A2">
            <w:pPr>
              <w:rPr>
                <w:rFonts w:ascii="Calibri" w:eastAsia="Times New Roman" w:hAnsi="Calibri" w:cs="Calibri"/>
                <w:color w:val="000000"/>
                <w:lang w:eastAsia="zh-CN"/>
              </w:rPr>
            </w:pPr>
            <w:r w:rsidRPr="00CF3673">
              <w:rPr>
                <w:rFonts w:ascii="Calibri" w:eastAsia="Times New Roman" w:hAnsi="Calibri" w:cs="Times New Roman"/>
                <w:lang w:eastAsia="zh-CN"/>
              </w:rPr>
              <w:t>Formal</w:t>
            </w:r>
          </w:p>
        </w:tc>
        <w:tc>
          <w:tcPr>
            <w:tcW w:w="1231" w:type="dxa"/>
            <w:tcBorders>
              <w:top w:val="nil"/>
              <w:bottom w:val="single" w:sz="4" w:space="0" w:color="auto"/>
            </w:tcBorders>
            <w:noWrap/>
            <w:hideMark/>
          </w:tcPr>
          <w:p w:rsidR="00B33502" w:rsidRPr="00CF3673" w:rsidRDefault="00B33502" w:rsidP="00B33502">
            <w:pPr>
              <w:jc w:val="center"/>
            </w:pPr>
            <w:r w:rsidRPr="00CF3673">
              <w:t>49.7</w:t>
            </w:r>
          </w:p>
        </w:tc>
        <w:tc>
          <w:tcPr>
            <w:tcW w:w="2276" w:type="dxa"/>
            <w:tcBorders>
              <w:top w:val="nil"/>
              <w:bottom w:val="single" w:sz="4" w:space="0" w:color="auto"/>
            </w:tcBorders>
            <w:noWrap/>
            <w:hideMark/>
          </w:tcPr>
          <w:p w:rsidR="00B33502" w:rsidRPr="00CF3673" w:rsidRDefault="00B33502" w:rsidP="00B33502">
            <w:pPr>
              <w:jc w:val="center"/>
            </w:pPr>
            <w:r w:rsidRPr="00CF3673">
              <w:t>9.2</w:t>
            </w:r>
          </w:p>
        </w:tc>
        <w:tc>
          <w:tcPr>
            <w:tcW w:w="680" w:type="dxa"/>
            <w:tcBorders>
              <w:top w:val="nil"/>
              <w:bottom w:val="single" w:sz="4" w:space="0" w:color="auto"/>
            </w:tcBorders>
            <w:noWrap/>
            <w:hideMark/>
          </w:tcPr>
          <w:p w:rsidR="00B33502" w:rsidRPr="00CF3673" w:rsidRDefault="00B33502" w:rsidP="00B33502">
            <w:pPr>
              <w:jc w:val="center"/>
            </w:pPr>
            <w:r w:rsidRPr="00CF3673">
              <w:t>304</w:t>
            </w:r>
          </w:p>
        </w:tc>
      </w:tr>
      <w:tr w:rsidR="00B33502" w:rsidRPr="00CF3673" w:rsidTr="00472691">
        <w:trPr>
          <w:trHeight w:val="303"/>
          <w:jc w:val="center"/>
        </w:trPr>
        <w:tc>
          <w:tcPr>
            <w:tcW w:w="1121" w:type="dxa"/>
            <w:tcBorders>
              <w:top w:val="single" w:sz="4" w:space="0" w:color="auto"/>
            </w:tcBorders>
            <w:noWrap/>
            <w:hideMark/>
          </w:tcPr>
          <w:p w:rsidR="00B33502" w:rsidRPr="00CF3673" w:rsidRDefault="00B33502"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Maputo</w:t>
            </w:r>
          </w:p>
        </w:tc>
        <w:tc>
          <w:tcPr>
            <w:tcW w:w="1231" w:type="dxa"/>
            <w:tcBorders>
              <w:top w:val="single" w:sz="4" w:space="0" w:color="auto"/>
            </w:tcBorders>
            <w:noWrap/>
            <w:hideMark/>
          </w:tcPr>
          <w:p w:rsidR="00B33502" w:rsidRPr="00CF3673" w:rsidRDefault="00B33502" w:rsidP="00B33502">
            <w:pPr>
              <w:jc w:val="center"/>
            </w:pPr>
            <w:r w:rsidRPr="00CF3673">
              <w:t>64.0</w:t>
            </w:r>
          </w:p>
        </w:tc>
        <w:tc>
          <w:tcPr>
            <w:tcW w:w="2276" w:type="dxa"/>
            <w:tcBorders>
              <w:top w:val="single" w:sz="4" w:space="0" w:color="auto"/>
            </w:tcBorders>
            <w:noWrap/>
            <w:hideMark/>
          </w:tcPr>
          <w:p w:rsidR="00B33502" w:rsidRPr="00CF3673" w:rsidRDefault="00B33502" w:rsidP="00B33502">
            <w:pPr>
              <w:jc w:val="center"/>
            </w:pPr>
            <w:r w:rsidRPr="00CF3673">
              <w:t>11.5</w:t>
            </w:r>
          </w:p>
        </w:tc>
        <w:tc>
          <w:tcPr>
            <w:tcW w:w="680" w:type="dxa"/>
            <w:tcBorders>
              <w:top w:val="single" w:sz="4" w:space="0" w:color="auto"/>
            </w:tcBorders>
            <w:noWrap/>
            <w:hideMark/>
          </w:tcPr>
          <w:p w:rsidR="00B33502" w:rsidRPr="00CF3673" w:rsidRDefault="00B33502" w:rsidP="00B33502">
            <w:pPr>
              <w:jc w:val="center"/>
            </w:pPr>
            <w:r w:rsidRPr="00CF3673">
              <w:t>125</w:t>
            </w:r>
          </w:p>
        </w:tc>
      </w:tr>
      <w:tr w:rsidR="00B33502" w:rsidRPr="00CF3673" w:rsidTr="00472691">
        <w:trPr>
          <w:trHeight w:val="303"/>
          <w:jc w:val="center"/>
        </w:trPr>
        <w:tc>
          <w:tcPr>
            <w:tcW w:w="1121" w:type="dxa"/>
            <w:noWrap/>
            <w:hideMark/>
          </w:tcPr>
          <w:p w:rsidR="00B33502" w:rsidRPr="00CF3673" w:rsidRDefault="00B33502"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Matola</w:t>
            </w:r>
          </w:p>
        </w:tc>
        <w:tc>
          <w:tcPr>
            <w:tcW w:w="1231" w:type="dxa"/>
            <w:noWrap/>
            <w:hideMark/>
          </w:tcPr>
          <w:p w:rsidR="00B33502" w:rsidRPr="00CF3673" w:rsidRDefault="00B33502" w:rsidP="00B33502">
            <w:pPr>
              <w:jc w:val="center"/>
            </w:pPr>
            <w:r w:rsidRPr="00CF3673">
              <w:t>45.0</w:t>
            </w:r>
          </w:p>
        </w:tc>
        <w:tc>
          <w:tcPr>
            <w:tcW w:w="2276" w:type="dxa"/>
            <w:noWrap/>
            <w:hideMark/>
          </w:tcPr>
          <w:p w:rsidR="00B33502" w:rsidRPr="00CF3673" w:rsidRDefault="00B33502" w:rsidP="00B33502">
            <w:pPr>
              <w:jc w:val="center"/>
            </w:pPr>
            <w:r w:rsidRPr="00CF3673">
              <w:t>7.8</w:t>
            </w:r>
          </w:p>
        </w:tc>
        <w:tc>
          <w:tcPr>
            <w:tcW w:w="680" w:type="dxa"/>
            <w:noWrap/>
            <w:hideMark/>
          </w:tcPr>
          <w:p w:rsidR="00B33502" w:rsidRPr="00CF3673" w:rsidRDefault="00B33502" w:rsidP="00B33502">
            <w:pPr>
              <w:jc w:val="center"/>
            </w:pPr>
            <w:r w:rsidRPr="00CF3673">
              <w:t>40</w:t>
            </w:r>
          </w:p>
        </w:tc>
      </w:tr>
      <w:tr w:rsidR="00B33502" w:rsidRPr="00CF3673" w:rsidTr="00472691">
        <w:trPr>
          <w:trHeight w:val="303"/>
          <w:jc w:val="center"/>
        </w:trPr>
        <w:tc>
          <w:tcPr>
            <w:tcW w:w="1121" w:type="dxa"/>
            <w:noWrap/>
            <w:hideMark/>
          </w:tcPr>
          <w:p w:rsidR="00B33502" w:rsidRPr="00CF3673" w:rsidRDefault="00B33502"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Beira</w:t>
            </w:r>
          </w:p>
        </w:tc>
        <w:tc>
          <w:tcPr>
            <w:tcW w:w="1231" w:type="dxa"/>
            <w:noWrap/>
            <w:hideMark/>
          </w:tcPr>
          <w:p w:rsidR="00B33502" w:rsidRPr="00CF3673" w:rsidRDefault="00B33502" w:rsidP="00B33502">
            <w:pPr>
              <w:jc w:val="center"/>
            </w:pPr>
            <w:r w:rsidRPr="00CF3673">
              <w:t>36.3</w:t>
            </w:r>
          </w:p>
        </w:tc>
        <w:tc>
          <w:tcPr>
            <w:tcW w:w="2276" w:type="dxa"/>
            <w:noWrap/>
            <w:hideMark/>
          </w:tcPr>
          <w:p w:rsidR="00B33502" w:rsidRPr="00CF3673" w:rsidRDefault="00B33502" w:rsidP="00B33502">
            <w:pPr>
              <w:jc w:val="center"/>
            </w:pPr>
            <w:r w:rsidRPr="00CF3673">
              <w:t>13.3</w:t>
            </w:r>
          </w:p>
        </w:tc>
        <w:tc>
          <w:tcPr>
            <w:tcW w:w="680" w:type="dxa"/>
            <w:noWrap/>
            <w:hideMark/>
          </w:tcPr>
          <w:p w:rsidR="00B33502" w:rsidRPr="00CF3673" w:rsidRDefault="00B33502" w:rsidP="00B33502">
            <w:pPr>
              <w:jc w:val="center"/>
            </w:pPr>
            <w:r w:rsidRPr="00CF3673">
              <w:t>102</w:t>
            </w:r>
          </w:p>
        </w:tc>
      </w:tr>
      <w:tr w:rsidR="00B33502" w:rsidRPr="00CF3673" w:rsidTr="00472691">
        <w:trPr>
          <w:trHeight w:val="303"/>
          <w:jc w:val="center"/>
        </w:trPr>
        <w:tc>
          <w:tcPr>
            <w:tcW w:w="1121" w:type="dxa"/>
            <w:noWrap/>
            <w:hideMark/>
          </w:tcPr>
          <w:p w:rsidR="00B33502" w:rsidRPr="00CF3673" w:rsidRDefault="00B33502"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Nampula</w:t>
            </w:r>
          </w:p>
        </w:tc>
        <w:tc>
          <w:tcPr>
            <w:tcW w:w="1231" w:type="dxa"/>
            <w:noWrap/>
            <w:hideMark/>
          </w:tcPr>
          <w:p w:rsidR="00B33502" w:rsidRPr="00CF3673" w:rsidRDefault="00B33502" w:rsidP="00B33502">
            <w:pPr>
              <w:jc w:val="center"/>
            </w:pPr>
            <w:r w:rsidRPr="00CF3673">
              <w:t>60.7</w:t>
            </w:r>
          </w:p>
        </w:tc>
        <w:tc>
          <w:tcPr>
            <w:tcW w:w="2276" w:type="dxa"/>
            <w:noWrap/>
            <w:hideMark/>
          </w:tcPr>
          <w:p w:rsidR="00B33502" w:rsidRPr="00CF3673" w:rsidRDefault="00B33502" w:rsidP="00B33502">
            <w:pPr>
              <w:jc w:val="center"/>
            </w:pPr>
            <w:r w:rsidRPr="00CF3673">
              <w:t>7.3</w:t>
            </w:r>
          </w:p>
        </w:tc>
        <w:tc>
          <w:tcPr>
            <w:tcW w:w="680" w:type="dxa"/>
            <w:noWrap/>
            <w:hideMark/>
          </w:tcPr>
          <w:p w:rsidR="00B33502" w:rsidRPr="00CF3673" w:rsidRDefault="00B33502" w:rsidP="00B33502">
            <w:pPr>
              <w:jc w:val="center"/>
            </w:pPr>
            <w:r w:rsidRPr="00CF3673">
              <w:t>28</w:t>
            </w:r>
          </w:p>
        </w:tc>
      </w:tr>
      <w:tr w:rsidR="00B33502" w:rsidRPr="00CF3673" w:rsidTr="00472691">
        <w:trPr>
          <w:trHeight w:val="303"/>
          <w:jc w:val="center"/>
        </w:trPr>
        <w:tc>
          <w:tcPr>
            <w:tcW w:w="1121" w:type="dxa"/>
            <w:noWrap/>
            <w:hideMark/>
          </w:tcPr>
          <w:p w:rsidR="00B33502" w:rsidRPr="00CF3673" w:rsidRDefault="00B33502"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Nacala</w:t>
            </w:r>
          </w:p>
        </w:tc>
        <w:tc>
          <w:tcPr>
            <w:tcW w:w="1231" w:type="dxa"/>
            <w:noWrap/>
            <w:hideMark/>
          </w:tcPr>
          <w:p w:rsidR="00B33502" w:rsidRPr="00CF3673" w:rsidRDefault="00B33502" w:rsidP="00B33502">
            <w:pPr>
              <w:jc w:val="center"/>
            </w:pPr>
            <w:r w:rsidRPr="00CF3673">
              <w:t>8.3</w:t>
            </w:r>
          </w:p>
        </w:tc>
        <w:tc>
          <w:tcPr>
            <w:tcW w:w="2276" w:type="dxa"/>
            <w:noWrap/>
            <w:hideMark/>
          </w:tcPr>
          <w:p w:rsidR="00B33502" w:rsidRPr="00CF3673" w:rsidRDefault="00B33502" w:rsidP="00B33502">
            <w:pPr>
              <w:jc w:val="center"/>
            </w:pPr>
            <w:r w:rsidRPr="00CF3673">
              <w:t>20.0</w:t>
            </w:r>
          </w:p>
        </w:tc>
        <w:tc>
          <w:tcPr>
            <w:tcW w:w="680" w:type="dxa"/>
            <w:noWrap/>
            <w:hideMark/>
          </w:tcPr>
          <w:p w:rsidR="00B33502" w:rsidRPr="00CF3673" w:rsidRDefault="00B33502" w:rsidP="00B33502">
            <w:pPr>
              <w:jc w:val="center"/>
            </w:pPr>
            <w:r w:rsidRPr="00CF3673">
              <w:t>12</w:t>
            </w:r>
          </w:p>
        </w:tc>
      </w:tr>
      <w:tr w:rsidR="00B33502" w:rsidRPr="00CF3673" w:rsidTr="00472691">
        <w:trPr>
          <w:trHeight w:val="303"/>
          <w:jc w:val="center"/>
        </w:trPr>
        <w:tc>
          <w:tcPr>
            <w:tcW w:w="1121" w:type="dxa"/>
            <w:noWrap/>
            <w:hideMark/>
          </w:tcPr>
          <w:p w:rsidR="00B33502" w:rsidRPr="00CF3673" w:rsidRDefault="00B33502"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Chimoio</w:t>
            </w:r>
          </w:p>
        </w:tc>
        <w:tc>
          <w:tcPr>
            <w:tcW w:w="1231" w:type="dxa"/>
            <w:noWrap/>
            <w:hideMark/>
          </w:tcPr>
          <w:p w:rsidR="00B33502" w:rsidRPr="00CF3673" w:rsidRDefault="00B33502" w:rsidP="00B33502">
            <w:pPr>
              <w:jc w:val="center"/>
            </w:pPr>
            <w:r w:rsidRPr="00CF3673">
              <w:t>91.7</w:t>
            </w:r>
          </w:p>
        </w:tc>
        <w:tc>
          <w:tcPr>
            <w:tcW w:w="2276" w:type="dxa"/>
            <w:noWrap/>
            <w:hideMark/>
          </w:tcPr>
          <w:p w:rsidR="00B33502" w:rsidRPr="00CF3673" w:rsidRDefault="00B33502" w:rsidP="00B33502">
            <w:pPr>
              <w:jc w:val="center"/>
            </w:pPr>
            <w:r w:rsidRPr="00CF3673">
              <w:t>1.8</w:t>
            </w:r>
          </w:p>
        </w:tc>
        <w:tc>
          <w:tcPr>
            <w:tcW w:w="680" w:type="dxa"/>
            <w:noWrap/>
            <w:hideMark/>
          </w:tcPr>
          <w:p w:rsidR="00B33502" w:rsidRPr="00CF3673" w:rsidRDefault="00B33502" w:rsidP="00B33502">
            <w:pPr>
              <w:jc w:val="center"/>
            </w:pPr>
            <w:r w:rsidRPr="00CF3673">
              <w:t>24</w:t>
            </w:r>
          </w:p>
        </w:tc>
      </w:tr>
      <w:tr w:rsidR="00B33502" w:rsidRPr="00CF3673" w:rsidTr="00472691">
        <w:trPr>
          <w:trHeight w:val="303"/>
          <w:jc w:val="center"/>
        </w:trPr>
        <w:tc>
          <w:tcPr>
            <w:tcW w:w="1121" w:type="dxa"/>
            <w:noWrap/>
            <w:hideMark/>
          </w:tcPr>
          <w:p w:rsidR="00B33502" w:rsidRPr="00CF3673" w:rsidRDefault="00B33502" w:rsidP="006468A2">
            <w:pPr>
              <w:rPr>
                <w:rFonts w:ascii="Calibri" w:eastAsia="Times New Roman" w:hAnsi="Calibri" w:cs="Calibri"/>
                <w:color w:val="000000"/>
                <w:lang w:eastAsia="zh-CN"/>
              </w:rPr>
            </w:pPr>
            <w:r w:rsidRPr="00CF3673">
              <w:rPr>
                <w:rFonts w:ascii="Calibri" w:eastAsia="Times New Roman" w:hAnsi="Calibri" w:cs="Calibri"/>
                <w:color w:val="000000"/>
                <w:lang w:eastAsia="zh-CN"/>
              </w:rPr>
              <w:t>Tete</w:t>
            </w:r>
          </w:p>
        </w:tc>
        <w:tc>
          <w:tcPr>
            <w:tcW w:w="1231" w:type="dxa"/>
            <w:noWrap/>
            <w:hideMark/>
          </w:tcPr>
          <w:p w:rsidR="00B33502" w:rsidRPr="00CF3673" w:rsidRDefault="00B33502" w:rsidP="00B33502">
            <w:pPr>
              <w:jc w:val="center"/>
            </w:pPr>
            <w:r w:rsidRPr="00CF3673">
              <w:t>65.0</w:t>
            </w:r>
          </w:p>
        </w:tc>
        <w:tc>
          <w:tcPr>
            <w:tcW w:w="2276" w:type="dxa"/>
            <w:noWrap/>
            <w:hideMark/>
          </w:tcPr>
          <w:p w:rsidR="00B33502" w:rsidRPr="00CF3673" w:rsidRDefault="00B33502" w:rsidP="00B33502">
            <w:pPr>
              <w:jc w:val="center"/>
            </w:pPr>
            <w:r w:rsidRPr="00CF3673">
              <w:t>4.5</w:t>
            </w:r>
          </w:p>
        </w:tc>
        <w:tc>
          <w:tcPr>
            <w:tcW w:w="680" w:type="dxa"/>
            <w:noWrap/>
            <w:hideMark/>
          </w:tcPr>
          <w:p w:rsidR="00B33502" w:rsidRPr="00CF3673" w:rsidRDefault="00B33502" w:rsidP="00B33502">
            <w:pPr>
              <w:jc w:val="center"/>
            </w:pPr>
            <w:r w:rsidRPr="00CF3673">
              <w:t>20</w:t>
            </w:r>
          </w:p>
        </w:tc>
      </w:tr>
      <w:tr w:rsidR="00B33502" w:rsidRPr="00CF3673" w:rsidTr="00472691">
        <w:trPr>
          <w:trHeight w:val="303"/>
          <w:jc w:val="center"/>
        </w:trPr>
        <w:tc>
          <w:tcPr>
            <w:tcW w:w="1121" w:type="dxa"/>
            <w:noWrap/>
            <w:hideMark/>
          </w:tcPr>
          <w:p w:rsidR="00B33502" w:rsidRPr="00CF3673" w:rsidRDefault="00B33502" w:rsidP="006468A2">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Moatize</w:t>
            </w:r>
            <w:proofErr w:type="spellEnd"/>
          </w:p>
        </w:tc>
        <w:tc>
          <w:tcPr>
            <w:tcW w:w="1231" w:type="dxa"/>
            <w:noWrap/>
            <w:hideMark/>
          </w:tcPr>
          <w:p w:rsidR="00B33502" w:rsidRPr="00CF3673" w:rsidRDefault="00B33502" w:rsidP="00B33502">
            <w:pPr>
              <w:jc w:val="center"/>
            </w:pPr>
            <w:r w:rsidRPr="00CF3673">
              <w:t>0.0</w:t>
            </w:r>
          </w:p>
        </w:tc>
        <w:tc>
          <w:tcPr>
            <w:tcW w:w="2276" w:type="dxa"/>
            <w:noWrap/>
            <w:hideMark/>
          </w:tcPr>
          <w:p w:rsidR="00B33502" w:rsidRPr="00CF3673" w:rsidRDefault="008D66FF" w:rsidP="00B33502">
            <w:pPr>
              <w:jc w:val="center"/>
            </w:pPr>
            <w:r w:rsidRPr="00CF3673">
              <w:t>-</w:t>
            </w:r>
          </w:p>
        </w:tc>
        <w:tc>
          <w:tcPr>
            <w:tcW w:w="680" w:type="dxa"/>
            <w:noWrap/>
            <w:hideMark/>
          </w:tcPr>
          <w:p w:rsidR="00B33502" w:rsidRPr="00CF3673" w:rsidRDefault="00B33502" w:rsidP="00B33502">
            <w:pPr>
              <w:jc w:val="center"/>
            </w:pPr>
            <w:r w:rsidRPr="00CF3673">
              <w:t>12</w:t>
            </w:r>
          </w:p>
        </w:tc>
      </w:tr>
      <w:tr w:rsidR="00B33502" w:rsidRPr="00CF3673" w:rsidTr="00472691">
        <w:trPr>
          <w:trHeight w:val="303"/>
          <w:jc w:val="center"/>
        </w:trPr>
        <w:tc>
          <w:tcPr>
            <w:tcW w:w="1121" w:type="dxa"/>
            <w:noWrap/>
            <w:hideMark/>
          </w:tcPr>
          <w:p w:rsidR="00B33502" w:rsidRPr="00CF3673" w:rsidRDefault="00B33502" w:rsidP="006468A2">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Xai-Xai</w:t>
            </w:r>
            <w:proofErr w:type="spellEnd"/>
          </w:p>
        </w:tc>
        <w:tc>
          <w:tcPr>
            <w:tcW w:w="1231" w:type="dxa"/>
            <w:noWrap/>
            <w:hideMark/>
          </w:tcPr>
          <w:p w:rsidR="00B33502" w:rsidRPr="00CF3673" w:rsidRDefault="00B33502" w:rsidP="00B33502">
            <w:pPr>
              <w:jc w:val="center"/>
            </w:pPr>
            <w:r w:rsidRPr="00CF3673">
              <w:t>76.9</w:t>
            </w:r>
          </w:p>
        </w:tc>
        <w:tc>
          <w:tcPr>
            <w:tcW w:w="2276" w:type="dxa"/>
            <w:noWrap/>
            <w:hideMark/>
          </w:tcPr>
          <w:p w:rsidR="00B33502" w:rsidRPr="00CF3673" w:rsidRDefault="00B33502" w:rsidP="00B33502">
            <w:pPr>
              <w:jc w:val="center"/>
            </w:pPr>
            <w:r w:rsidRPr="00CF3673">
              <w:t>13.8</w:t>
            </w:r>
          </w:p>
        </w:tc>
        <w:tc>
          <w:tcPr>
            <w:tcW w:w="680" w:type="dxa"/>
            <w:noWrap/>
            <w:hideMark/>
          </w:tcPr>
          <w:p w:rsidR="00B33502" w:rsidRPr="00CF3673" w:rsidRDefault="00B33502" w:rsidP="00B33502">
            <w:pPr>
              <w:jc w:val="center"/>
            </w:pPr>
            <w:r w:rsidRPr="00CF3673">
              <w:t>13</w:t>
            </w:r>
          </w:p>
        </w:tc>
      </w:tr>
      <w:tr w:rsidR="00B33502" w:rsidRPr="00CF3673" w:rsidTr="00472691">
        <w:trPr>
          <w:trHeight w:val="303"/>
          <w:jc w:val="center"/>
        </w:trPr>
        <w:tc>
          <w:tcPr>
            <w:tcW w:w="1121" w:type="dxa"/>
            <w:tcBorders>
              <w:bottom w:val="double" w:sz="4" w:space="0" w:color="auto"/>
            </w:tcBorders>
            <w:noWrap/>
            <w:hideMark/>
          </w:tcPr>
          <w:p w:rsidR="00B33502" w:rsidRPr="00CF3673" w:rsidRDefault="00761AD0" w:rsidP="006468A2">
            <w:pPr>
              <w:rPr>
                <w:rFonts w:ascii="Calibri" w:eastAsia="Times New Roman" w:hAnsi="Calibri" w:cs="Calibri"/>
                <w:color w:val="000000"/>
                <w:lang w:eastAsia="zh-CN"/>
              </w:rPr>
            </w:pPr>
            <w:proofErr w:type="spellStart"/>
            <w:r w:rsidRPr="00CF3673">
              <w:rPr>
                <w:rFonts w:ascii="Calibri" w:eastAsia="Times New Roman" w:hAnsi="Calibri" w:cs="Calibri"/>
                <w:color w:val="000000"/>
                <w:lang w:eastAsia="zh-CN"/>
              </w:rPr>
              <w:t>Chókwe</w:t>
            </w:r>
            <w:proofErr w:type="spellEnd"/>
          </w:p>
        </w:tc>
        <w:tc>
          <w:tcPr>
            <w:tcW w:w="1231" w:type="dxa"/>
            <w:tcBorders>
              <w:bottom w:val="double" w:sz="4" w:space="0" w:color="auto"/>
            </w:tcBorders>
            <w:noWrap/>
            <w:hideMark/>
          </w:tcPr>
          <w:p w:rsidR="00B33502" w:rsidRPr="00CF3673" w:rsidRDefault="00B33502" w:rsidP="00B33502">
            <w:pPr>
              <w:jc w:val="center"/>
            </w:pPr>
            <w:r w:rsidRPr="00CF3673">
              <w:t>90.0</w:t>
            </w:r>
          </w:p>
        </w:tc>
        <w:tc>
          <w:tcPr>
            <w:tcW w:w="2276" w:type="dxa"/>
            <w:tcBorders>
              <w:bottom w:val="double" w:sz="4" w:space="0" w:color="auto"/>
            </w:tcBorders>
            <w:noWrap/>
            <w:hideMark/>
          </w:tcPr>
          <w:p w:rsidR="00B33502" w:rsidRPr="00CF3673" w:rsidRDefault="00B33502" w:rsidP="00B33502">
            <w:pPr>
              <w:jc w:val="center"/>
            </w:pPr>
            <w:r w:rsidRPr="00CF3673">
              <w:t>12.2</w:t>
            </w:r>
          </w:p>
        </w:tc>
        <w:tc>
          <w:tcPr>
            <w:tcW w:w="680" w:type="dxa"/>
            <w:tcBorders>
              <w:bottom w:val="double" w:sz="4" w:space="0" w:color="auto"/>
            </w:tcBorders>
            <w:noWrap/>
            <w:hideMark/>
          </w:tcPr>
          <w:p w:rsidR="00B33502" w:rsidRPr="00CF3673" w:rsidRDefault="00B33502" w:rsidP="00B33502">
            <w:pPr>
              <w:jc w:val="center"/>
            </w:pPr>
            <w:r w:rsidRPr="00CF3673">
              <w:t>10</w:t>
            </w:r>
          </w:p>
        </w:tc>
      </w:tr>
      <w:tr w:rsidR="00B33502" w:rsidRPr="00CF3673" w:rsidTr="00472691">
        <w:trPr>
          <w:trHeight w:val="303"/>
          <w:jc w:val="center"/>
        </w:trPr>
        <w:tc>
          <w:tcPr>
            <w:tcW w:w="5308" w:type="dxa"/>
            <w:gridSpan w:val="4"/>
            <w:tcBorders>
              <w:top w:val="double" w:sz="4" w:space="0" w:color="auto"/>
              <w:bottom w:val="nil"/>
            </w:tcBorders>
            <w:noWrap/>
          </w:tcPr>
          <w:p w:rsidR="00B33502" w:rsidRPr="00CF3673" w:rsidRDefault="00B33502" w:rsidP="00286948">
            <w:pPr>
              <w:pStyle w:val="Tablenote"/>
              <w:rPr>
                <w:b/>
                <w:lang w:val="pt-PT"/>
              </w:rPr>
            </w:pPr>
            <w:r w:rsidRPr="00CF3673">
              <w:rPr>
                <w:b/>
                <w:lang w:val="pt-PT"/>
              </w:rPr>
              <w:t>Note:</w:t>
            </w:r>
            <w:r w:rsidRPr="00CF3673">
              <w:rPr>
                <w:lang w:val="pt-PT"/>
              </w:rPr>
              <w:t xml:space="preserve"> </w:t>
            </w:r>
            <w:r w:rsidR="00286948" w:rsidRPr="00CF3673">
              <w:rPr>
                <w:lang w:val="pt-PT"/>
              </w:rPr>
              <w:t xml:space="preserve">Valor do </w:t>
            </w:r>
            <w:r w:rsidR="00761AD0" w:rsidRPr="00CF3673">
              <w:rPr>
                <w:lang w:val="pt-PT"/>
              </w:rPr>
              <w:t>suborno</w:t>
            </w:r>
            <w:r w:rsidR="00286948" w:rsidRPr="00CF3673">
              <w:rPr>
                <w:lang w:val="pt-PT"/>
              </w:rPr>
              <w:t xml:space="preserve"> a 25% das vendas</w:t>
            </w:r>
            <w:r w:rsidRPr="00CF3673">
              <w:rPr>
                <w:lang w:val="pt-PT"/>
              </w:rPr>
              <w:t>.</w:t>
            </w:r>
            <w:r w:rsidR="00286948" w:rsidRPr="00CF3673">
              <w:rPr>
                <w:lang w:val="pt-PT"/>
              </w:rPr>
              <w:t xml:space="preserve"> Observações em falta</w:t>
            </w:r>
            <w:r w:rsidRPr="00CF3673">
              <w:rPr>
                <w:lang w:val="pt-PT"/>
              </w:rPr>
              <w:t>: 375.</w:t>
            </w:r>
          </w:p>
        </w:tc>
      </w:tr>
      <w:tr w:rsidR="00B33502" w:rsidRPr="00CF3673" w:rsidTr="00472691">
        <w:trPr>
          <w:trHeight w:val="303"/>
          <w:jc w:val="center"/>
        </w:trPr>
        <w:tc>
          <w:tcPr>
            <w:tcW w:w="5308" w:type="dxa"/>
            <w:gridSpan w:val="4"/>
            <w:tcBorders>
              <w:top w:val="nil"/>
              <w:bottom w:val="nil"/>
            </w:tcBorders>
            <w:noWrap/>
          </w:tcPr>
          <w:p w:rsidR="00B33502" w:rsidRPr="00CF3673" w:rsidRDefault="00286948" w:rsidP="00286948">
            <w:pPr>
              <w:pStyle w:val="Tablenote"/>
              <w:rPr>
                <w:b/>
                <w:lang w:val="pt-PT"/>
              </w:rPr>
            </w:pPr>
            <w:r w:rsidRPr="00CF3673">
              <w:rPr>
                <w:b/>
                <w:lang w:val="pt-PT"/>
              </w:rPr>
              <w:t>Fonte</w:t>
            </w:r>
            <w:r w:rsidR="00B33502" w:rsidRPr="00CF3673">
              <w:rPr>
                <w:b/>
                <w:lang w:val="pt-PT"/>
              </w:rPr>
              <w:t>:</w:t>
            </w:r>
            <w:r w:rsidR="00B33502" w:rsidRPr="00CF3673">
              <w:rPr>
                <w:lang w:val="pt-PT"/>
              </w:rPr>
              <w:t xml:space="preserve"> </w:t>
            </w:r>
            <w:r w:rsidR="00761AD0" w:rsidRPr="00CF3673">
              <w:rPr>
                <w:lang w:val="pt-PT"/>
              </w:rPr>
              <w:t>Cálculos</w:t>
            </w:r>
            <w:r w:rsidRPr="00CF3673">
              <w:rPr>
                <w:lang w:val="pt-PT"/>
              </w:rPr>
              <w:t xml:space="preserve"> dos autores usando </w:t>
            </w:r>
            <w:r w:rsidR="00B33502" w:rsidRPr="00CF3673">
              <w:rPr>
                <w:lang w:val="pt-PT"/>
              </w:rPr>
              <w:t>IIM 2012.</w:t>
            </w:r>
          </w:p>
        </w:tc>
      </w:tr>
    </w:tbl>
    <w:p w:rsidR="0063274D" w:rsidRPr="00CF3673" w:rsidRDefault="0063274D" w:rsidP="001E664B">
      <w:pPr>
        <w:pStyle w:val="MainText"/>
        <w:rPr>
          <w:lang w:val="pt-PT"/>
        </w:rPr>
      </w:pPr>
    </w:p>
    <w:p w:rsidR="000F1041" w:rsidRPr="00CF3673" w:rsidRDefault="000F1041" w:rsidP="00BB0AB8">
      <w:pPr>
        <w:pStyle w:val="MainText"/>
        <w:rPr>
          <w:lang w:val="pt-PT"/>
        </w:rPr>
      </w:pPr>
    </w:p>
    <w:p w:rsidR="00DE3C0C" w:rsidRPr="00CF3673" w:rsidRDefault="00DE3C0C" w:rsidP="00BB0AB8">
      <w:pPr>
        <w:pStyle w:val="MainText"/>
        <w:rPr>
          <w:lang w:val="pt-PT"/>
        </w:rPr>
      </w:pPr>
      <w:r w:rsidRPr="00CF3673">
        <w:rPr>
          <w:lang w:val="pt-PT"/>
        </w:rPr>
        <w:lastRenderedPageBreak/>
        <w:t xml:space="preserve">A tabela 10.3 mostra a matriz de transição do pagamento de subornos em 2006 e 2012. Tomamos a perspectiva histórica desta questão na tabela 10.3. Duma maneira geral, cada vez maior número de empresas está a pagar suborno do que em 2006- enquanto 31% das empresas pagavam suborno em 2006, 56% estão a pagar suborno presentemente. Empresas que pagaram e empresas que não pagaram em 2006 são de igual forma propensas a pagar suborno em 2012. </w:t>
      </w:r>
      <w:r w:rsidR="00DD72A9" w:rsidRPr="00CF3673">
        <w:rPr>
          <w:lang w:val="pt-PT"/>
        </w:rPr>
        <w:t>As empresas que pagam subornos parecem</w:t>
      </w:r>
      <w:r w:rsidRPr="00CF3673">
        <w:rPr>
          <w:lang w:val="pt-PT"/>
        </w:rPr>
        <w:t xml:space="preserve"> pagar mais em 2012 onde a </w:t>
      </w:r>
      <w:r w:rsidR="00DD72A9" w:rsidRPr="00CF3673">
        <w:rPr>
          <w:lang w:val="pt-PT"/>
        </w:rPr>
        <w:t>média</w:t>
      </w:r>
      <w:r w:rsidRPr="00CF3673">
        <w:rPr>
          <w:lang w:val="pt-PT"/>
        </w:rPr>
        <w:t xml:space="preserve"> por empresas no painel equilibrado sugere 10.6% das vendas em suborno. A </w:t>
      </w:r>
      <w:r w:rsidR="00DD72A9" w:rsidRPr="00CF3673">
        <w:rPr>
          <w:lang w:val="pt-PT"/>
        </w:rPr>
        <w:t>média</w:t>
      </w:r>
      <w:r w:rsidRPr="00CF3673">
        <w:rPr>
          <w:lang w:val="pt-PT"/>
        </w:rPr>
        <w:t xml:space="preserve"> em suborno em 2006 para empresas num painel equilibrado era relativamente baixa tendo</w:t>
      </w:r>
      <w:r w:rsidR="00DD72A9" w:rsidRPr="00CF3673">
        <w:rPr>
          <w:lang w:val="pt-PT"/>
        </w:rPr>
        <w:t>-</w:t>
      </w:r>
      <w:r w:rsidRPr="00CF3673">
        <w:rPr>
          <w:lang w:val="pt-PT"/>
        </w:rPr>
        <w:t>se fixado em 8.6% do total das vendas</w:t>
      </w:r>
      <w:r w:rsidRPr="00CF3673">
        <w:rPr>
          <w:rStyle w:val="FootnoteReference"/>
          <w:lang w:val="pt-PT"/>
        </w:rPr>
        <w:footnoteReference w:id="52"/>
      </w:r>
      <w:r w:rsidRPr="00CF3673">
        <w:rPr>
          <w:lang w:val="pt-PT"/>
        </w:rPr>
        <w:t xml:space="preserve"> </w:t>
      </w:r>
    </w:p>
    <w:p w:rsidR="00BB7329" w:rsidRPr="00CF3673" w:rsidRDefault="00E333A2" w:rsidP="00461403">
      <w:pPr>
        <w:pStyle w:val="TableTitle"/>
        <w:rPr>
          <w:lang w:val="pt-PT"/>
        </w:rPr>
      </w:pPr>
      <w:bookmarkStart w:id="97" w:name="_Toc360720506"/>
      <w:r w:rsidRPr="00CF3673">
        <w:rPr>
          <w:lang w:val="pt-PT"/>
        </w:rPr>
        <w:t>Tab</w:t>
      </w:r>
      <w:r w:rsidR="00BB1D52" w:rsidRPr="00CF3673">
        <w:rPr>
          <w:lang w:val="pt-PT"/>
        </w:rPr>
        <w:t>e</w:t>
      </w:r>
      <w:r w:rsidRPr="00CF3673">
        <w:rPr>
          <w:lang w:val="pt-PT"/>
        </w:rPr>
        <w:t>l</w:t>
      </w:r>
      <w:r w:rsidR="00BB1D52" w:rsidRPr="00CF3673">
        <w:rPr>
          <w:lang w:val="pt-PT"/>
        </w:rPr>
        <w:t>a</w:t>
      </w:r>
      <w:r w:rsidR="00BB7329" w:rsidRPr="00CF3673">
        <w:rPr>
          <w:lang w:val="pt-PT"/>
        </w:rPr>
        <w:t xml:space="preserve"> </w:t>
      </w:r>
      <w:r w:rsidR="006102AC" w:rsidRPr="00CF3673">
        <w:rPr>
          <w:lang w:val="pt-PT"/>
        </w:rPr>
        <w:t>10</w:t>
      </w:r>
      <w:r w:rsidR="00BB7329" w:rsidRPr="00CF3673">
        <w:rPr>
          <w:lang w:val="pt-PT"/>
        </w:rPr>
        <w:t>.</w:t>
      </w:r>
      <w:r w:rsidR="00B038CA" w:rsidRPr="00CF3673">
        <w:rPr>
          <w:lang w:val="pt-PT"/>
        </w:rPr>
        <w:t>3</w:t>
      </w:r>
      <w:r w:rsidR="00144B8E" w:rsidRPr="00CF3673">
        <w:rPr>
          <w:lang w:val="pt-PT"/>
        </w:rPr>
        <w:t xml:space="preserve">: </w:t>
      </w:r>
      <w:r w:rsidR="00BB1D52" w:rsidRPr="00CF3673">
        <w:rPr>
          <w:lang w:val="pt-PT"/>
        </w:rPr>
        <w:t>Matriz de transição sobre pagamento de suborno</w:t>
      </w:r>
      <w:r w:rsidR="00A05BB9" w:rsidRPr="00CF3673">
        <w:rPr>
          <w:lang w:val="pt-PT"/>
        </w:rPr>
        <w:t>, 2006-201</w:t>
      </w:r>
      <w:r w:rsidR="008D66FF" w:rsidRPr="00CF3673">
        <w:rPr>
          <w:lang w:val="pt-PT"/>
        </w:rPr>
        <w:t>2</w:t>
      </w:r>
      <w:bookmarkEnd w:id="97"/>
    </w:p>
    <w:tbl>
      <w:tblPr>
        <w:tblStyle w:val="StandardTable"/>
        <w:tblW w:w="0" w:type="auto"/>
        <w:jc w:val="center"/>
        <w:tblLayout w:type="fixed"/>
        <w:tblLook w:val="04A0" w:firstRow="1" w:lastRow="0" w:firstColumn="1" w:lastColumn="0" w:noHBand="0" w:noVBand="1"/>
      </w:tblPr>
      <w:tblGrid>
        <w:gridCol w:w="2346"/>
        <w:gridCol w:w="2346"/>
        <w:gridCol w:w="1566"/>
        <w:gridCol w:w="236"/>
        <w:gridCol w:w="642"/>
      </w:tblGrid>
      <w:tr w:rsidR="00033435" w:rsidRPr="00CF3673" w:rsidTr="00B33502">
        <w:trPr>
          <w:cnfStyle w:val="100000000000" w:firstRow="1" w:lastRow="0" w:firstColumn="0" w:lastColumn="0" w:oddVBand="0" w:evenVBand="0" w:oddHBand="0" w:evenHBand="0" w:firstRowFirstColumn="0" w:firstRowLastColumn="0" w:lastRowFirstColumn="0" w:lastRowLastColumn="0"/>
          <w:trHeight w:val="300"/>
          <w:jc w:val="center"/>
        </w:trPr>
        <w:tc>
          <w:tcPr>
            <w:tcW w:w="2346" w:type="dxa"/>
            <w:noWrap/>
            <w:hideMark/>
          </w:tcPr>
          <w:p w:rsidR="00033435" w:rsidRPr="00CF3673" w:rsidRDefault="00033435" w:rsidP="00C30004">
            <w:pPr>
              <w:rPr>
                <w:rFonts w:ascii="Calibri" w:eastAsia="Times New Roman" w:hAnsi="Calibri" w:cs="Times New Roman"/>
                <w:color w:val="000000"/>
                <w:lang w:eastAsia="zh-CN"/>
              </w:rPr>
            </w:pPr>
          </w:p>
        </w:tc>
        <w:tc>
          <w:tcPr>
            <w:tcW w:w="2346" w:type="dxa"/>
            <w:noWrap/>
          </w:tcPr>
          <w:p w:rsidR="00033435" w:rsidRPr="00CF3673" w:rsidRDefault="00BB1D52" w:rsidP="00BB1D52">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Não pagou suborno em</w:t>
            </w:r>
            <w:r w:rsidR="00033435" w:rsidRPr="00CF3673">
              <w:rPr>
                <w:rFonts w:ascii="Calibri" w:eastAsia="Times New Roman" w:hAnsi="Calibri" w:cs="Times New Roman"/>
                <w:color w:val="000000"/>
                <w:lang w:eastAsia="zh-CN"/>
              </w:rPr>
              <w:t xml:space="preserve"> 2012</w:t>
            </w:r>
          </w:p>
        </w:tc>
        <w:tc>
          <w:tcPr>
            <w:tcW w:w="1566" w:type="dxa"/>
            <w:noWrap/>
            <w:hideMark/>
          </w:tcPr>
          <w:p w:rsidR="00033435" w:rsidRPr="00CF3673" w:rsidRDefault="00033435" w:rsidP="00BB1D52">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P</w:t>
            </w:r>
            <w:r w:rsidR="00BB1D52" w:rsidRPr="00CF3673">
              <w:rPr>
                <w:rFonts w:ascii="Calibri" w:eastAsia="Times New Roman" w:hAnsi="Calibri" w:cs="Times New Roman"/>
                <w:color w:val="000000"/>
                <w:lang w:eastAsia="zh-CN"/>
              </w:rPr>
              <w:t xml:space="preserve">agou suborno em </w:t>
            </w:r>
            <w:r w:rsidRPr="00CF3673">
              <w:rPr>
                <w:rFonts w:ascii="Calibri" w:eastAsia="Times New Roman" w:hAnsi="Calibri" w:cs="Times New Roman"/>
                <w:color w:val="000000"/>
                <w:lang w:eastAsia="zh-CN"/>
              </w:rPr>
              <w:t>2012</w:t>
            </w:r>
          </w:p>
        </w:tc>
        <w:tc>
          <w:tcPr>
            <w:tcW w:w="236" w:type="dxa"/>
            <w:noWrap/>
            <w:hideMark/>
          </w:tcPr>
          <w:p w:rsidR="00033435" w:rsidRPr="00CF3673" w:rsidRDefault="00033435" w:rsidP="00C30004">
            <w:pPr>
              <w:rPr>
                <w:rFonts w:ascii="Calibri" w:eastAsia="Times New Roman" w:hAnsi="Calibri" w:cs="Times New Roman"/>
                <w:color w:val="000000"/>
                <w:lang w:eastAsia="zh-CN"/>
              </w:rPr>
            </w:pPr>
          </w:p>
        </w:tc>
        <w:tc>
          <w:tcPr>
            <w:tcW w:w="642" w:type="dxa"/>
          </w:tcPr>
          <w:p w:rsidR="00033435" w:rsidRPr="00CF3673" w:rsidRDefault="00033435" w:rsidP="00C44E58">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Total</w:t>
            </w:r>
          </w:p>
        </w:tc>
      </w:tr>
      <w:tr w:rsidR="00033435" w:rsidRPr="00CF3673" w:rsidTr="00B33502">
        <w:trPr>
          <w:trHeight w:val="300"/>
          <w:jc w:val="center"/>
        </w:trPr>
        <w:tc>
          <w:tcPr>
            <w:tcW w:w="2346" w:type="dxa"/>
            <w:noWrap/>
            <w:hideMark/>
          </w:tcPr>
          <w:p w:rsidR="00033435" w:rsidRPr="00CF3673" w:rsidRDefault="00BB1D52" w:rsidP="00BB1D52">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 xml:space="preserve">Não pagou </w:t>
            </w:r>
            <w:r w:rsidR="00761AD0" w:rsidRPr="00CF3673">
              <w:rPr>
                <w:rFonts w:ascii="Calibri" w:eastAsia="Times New Roman" w:hAnsi="Calibri" w:cs="Times New Roman"/>
                <w:color w:val="000000"/>
                <w:lang w:eastAsia="zh-CN"/>
              </w:rPr>
              <w:t>suborno</w:t>
            </w:r>
            <w:r w:rsidRPr="00CF3673">
              <w:rPr>
                <w:rFonts w:ascii="Calibri" w:eastAsia="Times New Roman" w:hAnsi="Calibri" w:cs="Times New Roman"/>
                <w:color w:val="000000"/>
                <w:lang w:eastAsia="zh-CN"/>
              </w:rPr>
              <w:t xml:space="preserve"> em </w:t>
            </w:r>
            <w:r w:rsidR="00033435" w:rsidRPr="00CF3673">
              <w:rPr>
                <w:rFonts w:ascii="Calibri" w:eastAsia="Times New Roman" w:hAnsi="Calibri" w:cs="Times New Roman"/>
                <w:color w:val="000000"/>
                <w:lang w:eastAsia="zh-CN"/>
              </w:rPr>
              <w:t xml:space="preserve"> 2006</w:t>
            </w:r>
          </w:p>
        </w:tc>
        <w:tc>
          <w:tcPr>
            <w:tcW w:w="2346" w:type="dxa"/>
            <w:noWrap/>
            <w:hideMark/>
          </w:tcPr>
          <w:p w:rsidR="00033435" w:rsidRPr="00CF3673" w:rsidRDefault="00033435"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28</w:t>
            </w:r>
          </w:p>
        </w:tc>
        <w:tc>
          <w:tcPr>
            <w:tcW w:w="1566" w:type="dxa"/>
            <w:noWrap/>
            <w:hideMark/>
          </w:tcPr>
          <w:p w:rsidR="00033435" w:rsidRPr="00CF3673" w:rsidRDefault="00033435"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35</w:t>
            </w:r>
          </w:p>
        </w:tc>
        <w:tc>
          <w:tcPr>
            <w:tcW w:w="236" w:type="dxa"/>
            <w:noWrap/>
          </w:tcPr>
          <w:p w:rsidR="00033435" w:rsidRPr="00CF3673" w:rsidRDefault="00033435" w:rsidP="00D87841">
            <w:pPr>
              <w:jc w:val="center"/>
              <w:rPr>
                <w:rFonts w:ascii="Calibri" w:eastAsia="Times New Roman" w:hAnsi="Calibri" w:cs="Times New Roman"/>
                <w:color w:val="000000"/>
                <w:lang w:eastAsia="zh-CN"/>
              </w:rPr>
            </w:pPr>
          </w:p>
        </w:tc>
        <w:tc>
          <w:tcPr>
            <w:tcW w:w="642" w:type="dxa"/>
          </w:tcPr>
          <w:p w:rsidR="00033435" w:rsidRPr="00CF3673" w:rsidRDefault="00033435"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63</w:t>
            </w:r>
          </w:p>
        </w:tc>
      </w:tr>
      <w:tr w:rsidR="00033435" w:rsidRPr="00CF3673" w:rsidTr="00B33502">
        <w:trPr>
          <w:trHeight w:val="300"/>
          <w:jc w:val="center"/>
        </w:trPr>
        <w:tc>
          <w:tcPr>
            <w:tcW w:w="2346" w:type="dxa"/>
            <w:noWrap/>
            <w:hideMark/>
          </w:tcPr>
          <w:p w:rsidR="00033435" w:rsidRPr="00CF3673" w:rsidRDefault="00BB1D5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D87841" w:rsidRPr="00CF3673">
              <w:rPr>
                <w:rFonts w:ascii="Calibri" w:eastAsia="Times New Roman" w:hAnsi="Calibri" w:cs="Times New Roman"/>
                <w:color w:val="000000"/>
                <w:lang w:eastAsia="zh-CN"/>
              </w:rPr>
              <w:t>.)</w:t>
            </w:r>
          </w:p>
        </w:tc>
        <w:tc>
          <w:tcPr>
            <w:tcW w:w="2346" w:type="dxa"/>
            <w:noWrap/>
            <w:hideMark/>
          </w:tcPr>
          <w:p w:rsidR="00033435" w:rsidRPr="00CF3673" w:rsidRDefault="00B3350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D87841" w:rsidRPr="00CF3673">
              <w:rPr>
                <w:rFonts w:ascii="Calibri" w:eastAsia="Times New Roman" w:hAnsi="Calibri" w:cs="Times New Roman"/>
                <w:color w:val="000000"/>
                <w:lang w:eastAsia="zh-CN"/>
              </w:rPr>
              <w:t>44.4</w:t>
            </w:r>
            <w:r w:rsidRPr="00CF3673">
              <w:rPr>
                <w:rFonts w:ascii="Calibri" w:eastAsia="Times New Roman" w:hAnsi="Calibri" w:cs="Times New Roman"/>
                <w:color w:val="000000"/>
                <w:lang w:eastAsia="zh-CN"/>
              </w:rPr>
              <w:t>)</w:t>
            </w:r>
          </w:p>
        </w:tc>
        <w:tc>
          <w:tcPr>
            <w:tcW w:w="1566" w:type="dxa"/>
            <w:noWrap/>
            <w:hideMark/>
          </w:tcPr>
          <w:p w:rsidR="00033435" w:rsidRPr="00CF3673" w:rsidRDefault="00B3350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D87841" w:rsidRPr="00CF3673">
              <w:rPr>
                <w:rFonts w:ascii="Calibri" w:eastAsia="Times New Roman" w:hAnsi="Calibri" w:cs="Times New Roman"/>
                <w:color w:val="000000"/>
                <w:lang w:eastAsia="zh-CN"/>
              </w:rPr>
              <w:t>55.6</w:t>
            </w:r>
            <w:r w:rsidRPr="00CF3673">
              <w:rPr>
                <w:rFonts w:ascii="Calibri" w:eastAsia="Times New Roman" w:hAnsi="Calibri" w:cs="Times New Roman"/>
                <w:color w:val="000000"/>
                <w:lang w:eastAsia="zh-CN"/>
              </w:rPr>
              <w:t>)</w:t>
            </w:r>
          </w:p>
        </w:tc>
        <w:tc>
          <w:tcPr>
            <w:tcW w:w="236" w:type="dxa"/>
            <w:noWrap/>
          </w:tcPr>
          <w:p w:rsidR="00033435" w:rsidRPr="00CF3673" w:rsidRDefault="00033435" w:rsidP="00D87841">
            <w:pPr>
              <w:jc w:val="center"/>
              <w:rPr>
                <w:rFonts w:ascii="Calibri" w:eastAsia="Times New Roman" w:hAnsi="Calibri" w:cs="Times New Roman"/>
                <w:color w:val="000000"/>
                <w:lang w:eastAsia="zh-CN"/>
              </w:rPr>
            </w:pPr>
          </w:p>
        </w:tc>
        <w:tc>
          <w:tcPr>
            <w:tcW w:w="642" w:type="dxa"/>
          </w:tcPr>
          <w:p w:rsidR="00033435" w:rsidRPr="00CF3673" w:rsidRDefault="00B3350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033435" w:rsidRPr="00CF3673">
              <w:rPr>
                <w:rFonts w:ascii="Calibri" w:eastAsia="Times New Roman" w:hAnsi="Calibri" w:cs="Times New Roman"/>
                <w:color w:val="000000"/>
                <w:lang w:eastAsia="zh-CN"/>
              </w:rPr>
              <w:t>100</w:t>
            </w:r>
            <w:r w:rsidRPr="00CF3673">
              <w:rPr>
                <w:rFonts w:ascii="Calibri" w:eastAsia="Times New Roman" w:hAnsi="Calibri" w:cs="Times New Roman"/>
                <w:color w:val="000000"/>
                <w:lang w:eastAsia="zh-CN"/>
              </w:rPr>
              <w:t>)</w:t>
            </w:r>
          </w:p>
        </w:tc>
      </w:tr>
      <w:tr w:rsidR="00033435" w:rsidRPr="00CF3673" w:rsidTr="00B33502">
        <w:trPr>
          <w:trHeight w:val="300"/>
          <w:jc w:val="center"/>
        </w:trPr>
        <w:tc>
          <w:tcPr>
            <w:tcW w:w="2346" w:type="dxa"/>
            <w:tcBorders>
              <w:bottom w:val="nil"/>
            </w:tcBorders>
            <w:noWrap/>
            <w:hideMark/>
          </w:tcPr>
          <w:p w:rsidR="00033435" w:rsidRPr="00CF3673" w:rsidRDefault="00033435" w:rsidP="00BB1D52">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Pa</w:t>
            </w:r>
            <w:r w:rsidR="00BB1D52" w:rsidRPr="00CF3673">
              <w:rPr>
                <w:rFonts w:ascii="Calibri" w:eastAsia="Times New Roman" w:hAnsi="Calibri" w:cs="Times New Roman"/>
                <w:color w:val="000000"/>
                <w:lang w:eastAsia="zh-CN"/>
              </w:rPr>
              <w:t xml:space="preserve">gou suborno em </w:t>
            </w:r>
            <w:r w:rsidRPr="00CF3673">
              <w:rPr>
                <w:rFonts w:ascii="Calibri" w:eastAsia="Times New Roman" w:hAnsi="Calibri" w:cs="Times New Roman"/>
                <w:color w:val="000000"/>
                <w:lang w:eastAsia="zh-CN"/>
              </w:rPr>
              <w:t>2006</w:t>
            </w:r>
          </w:p>
        </w:tc>
        <w:tc>
          <w:tcPr>
            <w:tcW w:w="2346" w:type="dxa"/>
            <w:tcBorders>
              <w:bottom w:val="nil"/>
            </w:tcBorders>
            <w:noWrap/>
            <w:hideMark/>
          </w:tcPr>
          <w:p w:rsidR="00033435" w:rsidRPr="00CF3673" w:rsidRDefault="00033435"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9</w:t>
            </w:r>
          </w:p>
        </w:tc>
        <w:tc>
          <w:tcPr>
            <w:tcW w:w="1566" w:type="dxa"/>
            <w:tcBorders>
              <w:bottom w:val="nil"/>
            </w:tcBorders>
            <w:noWrap/>
            <w:hideMark/>
          </w:tcPr>
          <w:p w:rsidR="00033435" w:rsidRPr="00CF3673" w:rsidRDefault="00D87841"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20</w:t>
            </w:r>
          </w:p>
        </w:tc>
        <w:tc>
          <w:tcPr>
            <w:tcW w:w="236" w:type="dxa"/>
            <w:tcBorders>
              <w:bottom w:val="nil"/>
            </w:tcBorders>
            <w:noWrap/>
          </w:tcPr>
          <w:p w:rsidR="00033435" w:rsidRPr="00CF3673" w:rsidRDefault="00033435" w:rsidP="00D87841">
            <w:pPr>
              <w:jc w:val="center"/>
              <w:rPr>
                <w:rFonts w:ascii="Calibri" w:eastAsia="Times New Roman" w:hAnsi="Calibri" w:cs="Times New Roman"/>
                <w:color w:val="000000"/>
                <w:lang w:eastAsia="zh-CN"/>
              </w:rPr>
            </w:pPr>
          </w:p>
        </w:tc>
        <w:tc>
          <w:tcPr>
            <w:tcW w:w="642" w:type="dxa"/>
            <w:tcBorders>
              <w:bottom w:val="nil"/>
            </w:tcBorders>
          </w:tcPr>
          <w:p w:rsidR="00033435" w:rsidRPr="00CF3673" w:rsidRDefault="00033435"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2</w:t>
            </w:r>
            <w:r w:rsidR="00D87841" w:rsidRPr="00CF3673">
              <w:rPr>
                <w:rFonts w:ascii="Calibri" w:eastAsia="Times New Roman" w:hAnsi="Calibri" w:cs="Times New Roman"/>
                <w:color w:val="000000"/>
                <w:lang w:eastAsia="zh-CN"/>
              </w:rPr>
              <w:t>9</w:t>
            </w:r>
          </w:p>
        </w:tc>
      </w:tr>
      <w:tr w:rsidR="00033435" w:rsidRPr="00CF3673" w:rsidTr="00B33502">
        <w:trPr>
          <w:trHeight w:val="300"/>
          <w:jc w:val="center"/>
        </w:trPr>
        <w:tc>
          <w:tcPr>
            <w:tcW w:w="2346" w:type="dxa"/>
            <w:tcBorders>
              <w:top w:val="nil"/>
              <w:bottom w:val="single" w:sz="4" w:space="0" w:color="auto"/>
            </w:tcBorders>
            <w:noWrap/>
            <w:hideMark/>
          </w:tcPr>
          <w:p w:rsidR="00033435" w:rsidRPr="00CF3673" w:rsidRDefault="00BB1D5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D87841" w:rsidRPr="00CF3673">
              <w:rPr>
                <w:rFonts w:ascii="Calibri" w:eastAsia="Times New Roman" w:hAnsi="Calibri" w:cs="Times New Roman"/>
                <w:color w:val="000000"/>
                <w:lang w:eastAsia="zh-CN"/>
              </w:rPr>
              <w:t>.)</w:t>
            </w:r>
          </w:p>
        </w:tc>
        <w:tc>
          <w:tcPr>
            <w:tcW w:w="2346" w:type="dxa"/>
            <w:tcBorders>
              <w:top w:val="nil"/>
              <w:bottom w:val="single" w:sz="4" w:space="0" w:color="auto"/>
            </w:tcBorders>
            <w:noWrap/>
            <w:hideMark/>
          </w:tcPr>
          <w:p w:rsidR="00033435" w:rsidRPr="00CF3673" w:rsidRDefault="00B3350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D87841" w:rsidRPr="00CF3673">
              <w:rPr>
                <w:rFonts w:ascii="Calibri" w:eastAsia="Times New Roman" w:hAnsi="Calibri" w:cs="Times New Roman"/>
                <w:color w:val="000000"/>
                <w:lang w:eastAsia="zh-CN"/>
              </w:rPr>
              <w:t>31.0</w:t>
            </w:r>
            <w:r w:rsidRPr="00CF3673">
              <w:rPr>
                <w:rFonts w:ascii="Calibri" w:eastAsia="Times New Roman" w:hAnsi="Calibri" w:cs="Times New Roman"/>
                <w:color w:val="000000"/>
                <w:lang w:eastAsia="zh-CN"/>
              </w:rPr>
              <w:t>)</w:t>
            </w:r>
          </w:p>
        </w:tc>
        <w:tc>
          <w:tcPr>
            <w:tcW w:w="1566" w:type="dxa"/>
            <w:tcBorders>
              <w:top w:val="nil"/>
              <w:bottom w:val="single" w:sz="4" w:space="0" w:color="auto"/>
            </w:tcBorders>
            <w:noWrap/>
            <w:hideMark/>
          </w:tcPr>
          <w:p w:rsidR="00033435" w:rsidRPr="00CF3673" w:rsidRDefault="00B3350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D87841" w:rsidRPr="00CF3673">
              <w:rPr>
                <w:rFonts w:ascii="Calibri" w:eastAsia="Times New Roman" w:hAnsi="Calibri" w:cs="Times New Roman"/>
                <w:color w:val="000000"/>
                <w:lang w:eastAsia="zh-CN"/>
              </w:rPr>
              <w:t>69.0</w:t>
            </w:r>
            <w:r w:rsidRPr="00CF3673">
              <w:rPr>
                <w:rFonts w:ascii="Calibri" w:eastAsia="Times New Roman" w:hAnsi="Calibri" w:cs="Times New Roman"/>
                <w:color w:val="000000"/>
                <w:lang w:eastAsia="zh-CN"/>
              </w:rPr>
              <w:t>)</w:t>
            </w:r>
          </w:p>
        </w:tc>
        <w:tc>
          <w:tcPr>
            <w:tcW w:w="236" w:type="dxa"/>
            <w:tcBorders>
              <w:top w:val="nil"/>
              <w:bottom w:val="single" w:sz="4" w:space="0" w:color="auto"/>
            </w:tcBorders>
            <w:noWrap/>
          </w:tcPr>
          <w:p w:rsidR="00033435" w:rsidRPr="00CF3673" w:rsidRDefault="00033435" w:rsidP="00D87841">
            <w:pPr>
              <w:jc w:val="center"/>
              <w:rPr>
                <w:rFonts w:ascii="Calibri" w:eastAsia="Times New Roman" w:hAnsi="Calibri" w:cs="Times New Roman"/>
                <w:color w:val="000000"/>
                <w:lang w:eastAsia="zh-CN"/>
              </w:rPr>
            </w:pPr>
          </w:p>
        </w:tc>
        <w:tc>
          <w:tcPr>
            <w:tcW w:w="642" w:type="dxa"/>
            <w:tcBorders>
              <w:top w:val="nil"/>
              <w:bottom w:val="single" w:sz="4" w:space="0" w:color="auto"/>
            </w:tcBorders>
          </w:tcPr>
          <w:p w:rsidR="00033435" w:rsidRPr="00CF3673" w:rsidRDefault="00B3350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033435" w:rsidRPr="00CF3673">
              <w:rPr>
                <w:rFonts w:ascii="Calibri" w:eastAsia="Times New Roman" w:hAnsi="Calibri" w:cs="Times New Roman"/>
                <w:color w:val="000000"/>
                <w:lang w:eastAsia="zh-CN"/>
              </w:rPr>
              <w:t>100</w:t>
            </w:r>
            <w:r w:rsidRPr="00CF3673">
              <w:rPr>
                <w:rFonts w:ascii="Calibri" w:eastAsia="Times New Roman" w:hAnsi="Calibri" w:cs="Times New Roman"/>
                <w:color w:val="000000"/>
                <w:lang w:eastAsia="zh-CN"/>
              </w:rPr>
              <w:t>)</w:t>
            </w:r>
          </w:p>
        </w:tc>
      </w:tr>
      <w:tr w:rsidR="00033435" w:rsidRPr="00CF3673" w:rsidTr="00B33502">
        <w:trPr>
          <w:trHeight w:val="300"/>
          <w:jc w:val="center"/>
        </w:trPr>
        <w:tc>
          <w:tcPr>
            <w:tcW w:w="2346" w:type="dxa"/>
            <w:tcBorders>
              <w:top w:val="single" w:sz="4" w:space="0" w:color="auto"/>
            </w:tcBorders>
            <w:noWrap/>
            <w:hideMark/>
          </w:tcPr>
          <w:p w:rsidR="00033435" w:rsidRPr="00CF3673" w:rsidRDefault="00033435" w:rsidP="00D87841">
            <w:pP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Total</w:t>
            </w:r>
          </w:p>
        </w:tc>
        <w:tc>
          <w:tcPr>
            <w:tcW w:w="2346" w:type="dxa"/>
            <w:tcBorders>
              <w:top w:val="single" w:sz="4" w:space="0" w:color="auto"/>
            </w:tcBorders>
            <w:noWrap/>
            <w:hideMark/>
          </w:tcPr>
          <w:p w:rsidR="00033435" w:rsidRPr="00CF3673" w:rsidRDefault="00033435"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37</w:t>
            </w:r>
          </w:p>
        </w:tc>
        <w:tc>
          <w:tcPr>
            <w:tcW w:w="1566" w:type="dxa"/>
            <w:tcBorders>
              <w:top w:val="single" w:sz="4" w:space="0" w:color="auto"/>
            </w:tcBorders>
            <w:noWrap/>
            <w:hideMark/>
          </w:tcPr>
          <w:p w:rsidR="00033435" w:rsidRPr="00CF3673" w:rsidRDefault="00033435"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5</w:t>
            </w:r>
            <w:r w:rsidR="00D87841" w:rsidRPr="00CF3673">
              <w:rPr>
                <w:rFonts w:ascii="Calibri" w:eastAsia="Times New Roman" w:hAnsi="Calibri" w:cs="Times New Roman"/>
                <w:color w:val="000000"/>
                <w:lang w:eastAsia="zh-CN"/>
              </w:rPr>
              <w:t>5</w:t>
            </w:r>
          </w:p>
        </w:tc>
        <w:tc>
          <w:tcPr>
            <w:tcW w:w="236" w:type="dxa"/>
            <w:tcBorders>
              <w:top w:val="single" w:sz="4" w:space="0" w:color="auto"/>
            </w:tcBorders>
            <w:noWrap/>
          </w:tcPr>
          <w:p w:rsidR="00033435" w:rsidRPr="00CF3673" w:rsidRDefault="00033435" w:rsidP="00D87841">
            <w:pPr>
              <w:jc w:val="center"/>
              <w:rPr>
                <w:rFonts w:ascii="Calibri" w:eastAsia="Times New Roman" w:hAnsi="Calibri" w:cs="Times New Roman"/>
                <w:color w:val="000000"/>
                <w:lang w:eastAsia="zh-CN"/>
              </w:rPr>
            </w:pPr>
          </w:p>
        </w:tc>
        <w:tc>
          <w:tcPr>
            <w:tcW w:w="642" w:type="dxa"/>
            <w:tcBorders>
              <w:top w:val="single" w:sz="4" w:space="0" w:color="auto"/>
            </w:tcBorders>
          </w:tcPr>
          <w:p w:rsidR="00033435" w:rsidRPr="00CF3673" w:rsidRDefault="00033435"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9</w:t>
            </w:r>
            <w:r w:rsidR="00D87841" w:rsidRPr="00CF3673">
              <w:rPr>
                <w:rFonts w:ascii="Calibri" w:eastAsia="Times New Roman" w:hAnsi="Calibri" w:cs="Times New Roman"/>
                <w:color w:val="000000"/>
                <w:lang w:eastAsia="zh-CN"/>
              </w:rPr>
              <w:t>2</w:t>
            </w:r>
          </w:p>
        </w:tc>
      </w:tr>
      <w:tr w:rsidR="00033435" w:rsidRPr="00CF3673" w:rsidTr="00B33502">
        <w:trPr>
          <w:trHeight w:val="300"/>
          <w:jc w:val="center"/>
        </w:trPr>
        <w:tc>
          <w:tcPr>
            <w:tcW w:w="2346" w:type="dxa"/>
            <w:tcBorders>
              <w:bottom w:val="double" w:sz="4" w:space="0" w:color="auto"/>
            </w:tcBorders>
            <w:noWrap/>
            <w:hideMark/>
          </w:tcPr>
          <w:p w:rsidR="00033435" w:rsidRPr="00CF3673" w:rsidRDefault="00BB1D5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D87841" w:rsidRPr="00CF3673">
              <w:rPr>
                <w:rFonts w:ascii="Calibri" w:eastAsia="Times New Roman" w:hAnsi="Calibri" w:cs="Times New Roman"/>
                <w:color w:val="000000"/>
                <w:lang w:eastAsia="zh-CN"/>
              </w:rPr>
              <w:t>.)</w:t>
            </w:r>
          </w:p>
        </w:tc>
        <w:tc>
          <w:tcPr>
            <w:tcW w:w="2346" w:type="dxa"/>
            <w:tcBorders>
              <w:bottom w:val="double" w:sz="4" w:space="0" w:color="auto"/>
            </w:tcBorders>
            <w:noWrap/>
            <w:hideMark/>
          </w:tcPr>
          <w:p w:rsidR="00033435" w:rsidRPr="00CF3673" w:rsidRDefault="00B3350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D87841" w:rsidRPr="00CF3673">
              <w:rPr>
                <w:rFonts w:ascii="Calibri" w:eastAsia="Times New Roman" w:hAnsi="Calibri" w:cs="Times New Roman"/>
                <w:color w:val="000000"/>
                <w:lang w:eastAsia="zh-CN"/>
              </w:rPr>
              <w:t>40.2</w:t>
            </w:r>
            <w:r w:rsidRPr="00CF3673">
              <w:rPr>
                <w:rFonts w:ascii="Calibri" w:eastAsia="Times New Roman" w:hAnsi="Calibri" w:cs="Times New Roman"/>
                <w:color w:val="000000"/>
                <w:lang w:eastAsia="zh-CN"/>
              </w:rPr>
              <w:t>)</w:t>
            </w:r>
          </w:p>
        </w:tc>
        <w:tc>
          <w:tcPr>
            <w:tcW w:w="1566" w:type="dxa"/>
            <w:tcBorders>
              <w:bottom w:val="double" w:sz="4" w:space="0" w:color="auto"/>
            </w:tcBorders>
            <w:noWrap/>
            <w:hideMark/>
          </w:tcPr>
          <w:p w:rsidR="00033435" w:rsidRPr="00CF3673" w:rsidRDefault="00B3350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D87841" w:rsidRPr="00CF3673">
              <w:rPr>
                <w:rFonts w:ascii="Calibri" w:eastAsia="Times New Roman" w:hAnsi="Calibri" w:cs="Times New Roman"/>
                <w:color w:val="000000"/>
                <w:lang w:eastAsia="zh-CN"/>
              </w:rPr>
              <w:t>59.8</w:t>
            </w:r>
            <w:r w:rsidRPr="00CF3673">
              <w:rPr>
                <w:rFonts w:ascii="Calibri" w:eastAsia="Times New Roman" w:hAnsi="Calibri" w:cs="Times New Roman"/>
                <w:color w:val="000000"/>
                <w:lang w:eastAsia="zh-CN"/>
              </w:rPr>
              <w:t>)</w:t>
            </w:r>
          </w:p>
        </w:tc>
        <w:tc>
          <w:tcPr>
            <w:tcW w:w="236" w:type="dxa"/>
            <w:tcBorders>
              <w:bottom w:val="double" w:sz="4" w:space="0" w:color="auto"/>
            </w:tcBorders>
            <w:noWrap/>
          </w:tcPr>
          <w:p w:rsidR="00033435" w:rsidRPr="00CF3673" w:rsidRDefault="00033435" w:rsidP="00D87841">
            <w:pPr>
              <w:jc w:val="center"/>
              <w:rPr>
                <w:rFonts w:ascii="Calibri" w:eastAsia="Times New Roman" w:hAnsi="Calibri" w:cs="Times New Roman"/>
                <w:color w:val="000000"/>
                <w:lang w:eastAsia="zh-CN"/>
              </w:rPr>
            </w:pPr>
          </w:p>
        </w:tc>
        <w:tc>
          <w:tcPr>
            <w:tcW w:w="642" w:type="dxa"/>
            <w:tcBorders>
              <w:bottom w:val="double" w:sz="4" w:space="0" w:color="auto"/>
            </w:tcBorders>
          </w:tcPr>
          <w:p w:rsidR="00033435" w:rsidRPr="00CF3673" w:rsidRDefault="00B33502" w:rsidP="00D87841">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033435" w:rsidRPr="00CF3673">
              <w:rPr>
                <w:rFonts w:ascii="Calibri" w:eastAsia="Times New Roman" w:hAnsi="Calibri" w:cs="Times New Roman"/>
                <w:color w:val="000000"/>
                <w:lang w:eastAsia="zh-CN"/>
              </w:rPr>
              <w:t>100</w:t>
            </w:r>
            <w:r w:rsidRPr="00CF3673">
              <w:rPr>
                <w:rFonts w:ascii="Calibri" w:eastAsia="Times New Roman" w:hAnsi="Calibri" w:cs="Times New Roman"/>
                <w:color w:val="000000"/>
                <w:lang w:eastAsia="zh-CN"/>
              </w:rPr>
              <w:t>)</w:t>
            </w:r>
          </w:p>
        </w:tc>
      </w:tr>
      <w:tr w:rsidR="00B33502" w:rsidRPr="00CF3673" w:rsidTr="00B33502">
        <w:trPr>
          <w:trHeight w:val="300"/>
          <w:jc w:val="center"/>
        </w:trPr>
        <w:tc>
          <w:tcPr>
            <w:tcW w:w="7136" w:type="dxa"/>
            <w:gridSpan w:val="5"/>
            <w:tcBorders>
              <w:top w:val="double" w:sz="4" w:space="0" w:color="auto"/>
              <w:bottom w:val="nil"/>
            </w:tcBorders>
            <w:noWrap/>
          </w:tcPr>
          <w:p w:rsidR="00B33502" w:rsidRPr="00CF3673" w:rsidRDefault="00BB1D52" w:rsidP="00BB1D52">
            <w:pPr>
              <w:pStyle w:val="Tablenote"/>
              <w:rPr>
                <w:b/>
                <w:lang w:val="pt-PT"/>
              </w:rPr>
            </w:pPr>
            <w:r w:rsidRPr="00CF3673">
              <w:rPr>
                <w:b/>
                <w:lang w:val="pt-PT"/>
              </w:rPr>
              <w:t>Nota</w:t>
            </w:r>
            <w:r w:rsidR="00B33502" w:rsidRPr="00CF3673">
              <w:rPr>
                <w:b/>
                <w:lang w:val="pt-PT"/>
              </w:rPr>
              <w:t>:</w:t>
            </w:r>
            <w:r w:rsidR="00B33502" w:rsidRPr="00CF3673">
              <w:rPr>
                <w:lang w:val="pt-PT"/>
              </w:rPr>
              <w:t xml:space="preserve"> </w:t>
            </w:r>
            <w:r w:rsidRPr="00CF3673">
              <w:rPr>
                <w:lang w:val="pt-PT"/>
              </w:rPr>
              <w:t>Painel equilibrado</w:t>
            </w:r>
            <w:r w:rsidR="00B33502" w:rsidRPr="00CF3673">
              <w:rPr>
                <w:lang w:val="pt-PT"/>
              </w:rPr>
              <w:t xml:space="preserve">, </w:t>
            </w:r>
            <w:r w:rsidR="00761AD0" w:rsidRPr="00CF3673">
              <w:rPr>
                <w:lang w:val="pt-PT"/>
              </w:rPr>
              <w:t>exi. e</w:t>
            </w:r>
            <w:r w:rsidR="00B33502" w:rsidRPr="00CF3673">
              <w:rPr>
                <w:lang w:val="pt-PT"/>
              </w:rPr>
              <w:t xml:space="preserve">. </w:t>
            </w:r>
            <w:r w:rsidRPr="00CF3673">
              <w:rPr>
                <w:lang w:val="pt-PT"/>
              </w:rPr>
              <w:t xml:space="preserve">seguir a mesma empresa por um </w:t>
            </w:r>
            <w:r w:rsidR="00761AD0" w:rsidRPr="00CF3673">
              <w:rPr>
                <w:lang w:val="pt-PT"/>
              </w:rPr>
              <w:t>período</w:t>
            </w:r>
            <w:r w:rsidR="00B33502" w:rsidRPr="00CF3673">
              <w:rPr>
                <w:lang w:val="pt-PT"/>
              </w:rPr>
              <w:t xml:space="preserve">. </w:t>
            </w:r>
            <w:r w:rsidRPr="00CF3673">
              <w:rPr>
                <w:lang w:val="pt-PT"/>
              </w:rPr>
              <w:t xml:space="preserve">Numero em parenteses indicam </w:t>
            </w:r>
            <w:r w:rsidR="00761AD0" w:rsidRPr="00CF3673">
              <w:rPr>
                <w:lang w:val="pt-PT"/>
              </w:rPr>
              <w:t>percentagens</w:t>
            </w:r>
            <w:r w:rsidR="009D3235" w:rsidRPr="00CF3673">
              <w:rPr>
                <w:lang w:val="pt-PT"/>
              </w:rPr>
              <w:t xml:space="preserve">. </w:t>
            </w:r>
            <w:proofErr w:type="spellStart"/>
            <w:r w:rsidR="00B33502" w:rsidRPr="00CF3673">
              <w:rPr>
                <w:lang w:val="pt-PT"/>
              </w:rPr>
              <w:t>N</w:t>
            </w:r>
            <w:r w:rsidRPr="00CF3673">
              <w:rPr>
                <w:lang w:val="pt-PT"/>
              </w:rPr>
              <w:t>r</w:t>
            </w:r>
            <w:proofErr w:type="spellEnd"/>
            <w:r w:rsidR="00B33502" w:rsidRPr="00CF3673">
              <w:rPr>
                <w:lang w:val="pt-PT"/>
              </w:rPr>
              <w:t xml:space="preserve">. </w:t>
            </w:r>
            <w:r w:rsidRPr="00CF3673">
              <w:rPr>
                <w:lang w:val="pt-PT"/>
              </w:rPr>
              <w:t>de</w:t>
            </w:r>
            <w:r w:rsidR="00B33502" w:rsidRPr="00CF3673">
              <w:rPr>
                <w:lang w:val="pt-PT"/>
              </w:rPr>
              <w:t xml:space="preserve"> </w:t>
            </w:r>
            <w:r w:rsidRPr="00CF3673">
              <w:rPr>
                <w:lang w:val="pt-PT"/>
              </w:rPr>
              <w:t>observações em falta</w:t>
            </w:r>
            <w:r w:rsidR="00B33502" w:rsidRPr="00CF3673">
              <w:rPr>
                <w:lang w:val="pt-PT"/>
              </w:rPr>
              <w:t>: 118.</w:t>
            </w:r>
          </w:p>
        </w:tc>
      </w:tr>
      <w:tr w:rsidR="00B33502" w:rsidRPr="00CF3673" w:rsidTr="00B33502">
        <w:trPr>
          <w:trHeight w:val="300"/>
          <w:jc w:val="center"/>
        </w:trPr>
        <w:tc>
          <w:tcPr>
            <w:tcW w:w="7136" w:type="dxa"/>
            <w:gridSpan w:val="5"/>
            <w:tcBorders>
              <w:top w:val="nil"/>
              <w:bottom w:val="nil"/>
            </w:tcBorders>
            <w:noWrap/>
          </w:tcPr>
          <w:p w:rsidR="00B33502" w:rsidRPr="00CF3673" w:rsidRDefault="00BB1D52" w:rsidP="00E2367D">
            <w:pPr>
              <w:pStyle w:val="Tablenote"/>
              <w:rPr>
                <w:b/>
                <w:lang w:val="pt-PT"/>
              </w:rPr>
            </w:pPr>
            <w:r w:rsidRPr="00CF3673">
              <w:rPr>
                <w:b/>
                <w:lang w:val="pt-PT"/>
              </w:rPr>
              <w:t>Fonte:</w:t>
            </w:r>
            <w:r w:rsidR="00B33502" w:rsidRPr="00CF3673">
              <w:rPr>
                <w:b/>
                <w:lang w:val="pt-PT"/>
              </w:rPr>
              <w:t>:</w:t>
            </w:r>
            <w:r w:rsidR="00B33502" w:rsidRPr="00CF3673">
              <w:rPr>
                <w:lang w:val="pt-PT"/>
              </w:rPr>
              <w:t xml:space="preserve"> </w:t>
            </w:r>
            <w:r w:rsidR="00761AD0" w:rsidRPr="00CF3673">
              <w:rPr>
                <w:lang w:val="pt-PT"/>
              </w:rPr>
              <w:t>Cálculos</w:t>
            </w:r>
            <w:r w:rsidRPr="00CF3673">
              <w:rPr>
                <w:lang w:val="pt-PT"/>
              </w:rPr>
              <w:t xml:space="preserve"> dos autores usando </w:t>
            </w:r>
            <w:r w:rsidR="00B33502" w:rsidRPr="00CF3673">
              <w:rPr>
                <w:lang w:val="pt-PT"/>
              </w:rPr>
              <w:t xml:space="preserve">IIM 2012, DNEAP (2006) </w:t>
            </w:r>
            <w:r w:rsidR="00E2367D" w:rsidRPr="00CF3673">
              <w:rPr>
                <w:lang w:val="pt-PT"/>
              </w:rPr>
              <w:t>e</w:t>
            </w:r>
            <w:r w:rsidR="00B33502" w:rsidRPr="00CF3673">
              <w:rPr>
                <w:lang w:val="pt-PT"/>
              </w:rPr>
              <w:t xml:space="preserve"> ICA (2009).</w:t>
            </w:r>
          </w:p>
        </w:tc>
      </w:tr>
    </w:tbl>
    <w:p w:rsidR="00B33502" w:rsidRPr="00CF3673" w:rsidRDefault="00B33502" w:rsidP="001E664B">
      <w:pPr>
        <w:pStyle w:val="MainText"/>
        <w:rPr>
          <w:lang w:val="pt-PT"/>
        </w:rPr>
      </w:pPr>
    </w:p>
    <w:p w:rsidR="00B825A9" w:rsidRPr="00CF3673" w:rsidRDefault="00B825A9" w:rsidP="001E664B">
      <w:pPr>
        <w:pStyle w:val="MainText"/>
        <w:rPr>
          <w:lang w:val="pt-PT"/>
        </w:rPr>
      </w:pPr>
      <w:r w:rsidRPr="00CF3673">
        <w:rPr>
          <w:lang w:val="pt-PT"/>
        </w:rPr>
        <w:t xml:space="preserve">Vendo que empresas informais 1) tem a propensão de pagar suborno, 2) pagam grandes </w:t>
      </w:r>
      <w:r w:rsidR="00761AD0" w:rsidRPr="00CF3673">
        <w:rPr>
          <w:lang w:val="pt-PT"/>
        </w:rPr>
        <w:t>porções</w:t>
      </w:r>
      <w:r w:rsidRPr="00CF3673">
        <w:rPr>
          <w:lang w:val="pt-PT"/>
        </w:rPr>
        <w:t xml:space="preserve"> das vendas em suborno, 3) pagam menos impostos como percentagem das vendas do que as empresas formais e 4) tem receio de serem fechadas, sobretudo porque elas tem dificuldade em cumprir com os regulamentos dos impostos, parece que a </w:t>
      </w:r>
      <w:r w:rsidR="00761AD0" w:rsidRPr="00CF3673">
        <w:rPr>
          <w:lang w:val="pt-PT"/>
        </w:rPr>
        <w:t>hipótese</w:t>
      </w:r>
      <w:r w:rsidRPr="00CF3673">
        <w:rPr>
          <w:lang w:val="pt-PT"/>
        </w:rPr>
        <w:t xml:space="preserve"> “subornar para esconder ” de (</w:t>
      </w:r>
      <w:proofErr w:type="spellStart"/>
      <w:r w:rsidRPr="00CF3673">
        <w:rPr>
          <w:lang w:val="pt-PT"/>
        </w:rPr>
        <w:t>Svensson</w:t>
      </w:r>
      <w:proofErr w:type="spellEnd"/>
      <w:r w:rsidRPr="00CF3673">
        <w:rPr>
          <w:lang w:val="pt-PT"/>
        </w:rPr>
        <w:t xml:space="preserve">, 2003) pode ter alguma relevância para as empresas manufactureiras moçambicanas. </w:t>
      </w:r>
    </w:p>
    <w:p w:rsidR="00B825A9" w:rsidRPr="00CF3673" w:rsidRDefault="00827856" w:rsidP="001E664B">
      <w:pPr>
        <w:pStyle w:val="MainText"/>
        <w:rPr>
          <w:lang w:val="pt-PT"/>
        </w:rPr>
      </w:pPr>
      <w:r w:rsidRPr="00CF3673">
        <w:rPr>
          <w:lang w:val="pt-PT"/>
        </w:rPr>
        <w:t>Mais ainda, é de alguma preocupação que os subornos envolvidos são enormes. 10% das receitas configura sérios custos para negocio e mais pesquisas são necessárias para compreender como subornos e corrupção constrangem as empresas e o que fazem para conter esta situação.</w:t>
      </w:r>
    </w:p>
    <w:p w:rsidR="004C6AF5" w:rsidRPr="00CF3673" w:rsidRDefault="004C6AF5" w:rsidP="001E664B">
      <w:pPr>
        <w:pStyle w:val="MainText"/>
        <w:rPr>
          <w:lang w:val="pt-PT"/>
        </w:rPr>
      </w:pPr>
      <w:r w:rsidRPr="00CF3673">
        <w:rPr>
          <w:lang w:val="pt-PT"/>
        </w:rPr>
        <w:t>Mais uma vez, como uma das motivações para avaliar as questões de corrupção e suborno foi o facto de a grande maioria das empresas entender a corrupção como um constrangimento, comparamos esta avaliação subjectiva com a medição do suborno neste capítulo na tabela 10.4</w:t>
      </w:r>
    </w:p>
    <w:p w:rsidR="001E6DDB" w:rsidRPr="00CF3673" w:rsidRDefault="001E6DDB">
      <w:pPr>
        <w:rPr>
          <w:b/>
        </w:rPr>
      </w:pPr>
      <w:r w:rsidRPr="00CF3673">
        <w:lastRenderedPageBreak/>
        <w:br w:type="page"/>
      </w:r>
    </w:p>
    <w:p w:rsidR="006C484A" w:rsidRPr="00CF3673" w:rsidRDefault="00E333A2" w:rsidP="005A0889">
      <w:pPr>
        <w:pStyle w:val="TableTitle"/>
        <w:rPr>
          <w:lang w:val="pt-PT"/>
        </w:rPr>
      </w:pPr>
      <w:bookmarkStart w:id="98" w:name="_Toc360720507"/>
      <w:r w:rsidRPr="00CF3673">
        <w:rPr>
          <w:lang w:val="pt-PT"/>
        </w:rPr>
        <w:lastRenderedPageBreak/>
        <w:t>Tab</w:t>
      </w:r>
      <w:r w:rsidR="006C484A" w:rsidRPr="00CF3673">
        <w:rPr>
          <w:lang w:val="pt-PT"/>
        </w:rPr>
        <w:t>ela</w:t>
      </w:r>
      <w:r w:rsidR="005A0889" w:rsidRPr="00CF3673">
        <w:rPr>
          <w:lang w:val="pt-PT"/>
        </w:rPr>
        <w:t xml:space="preserve"> 10.</w:t>
      </w:r>
      <w:r w:rsidR="00E65FC3" w:rsidRPr="00CF3673">
        <w:rPr>
          <w:lang w:val="pt-PT"/>
        </w:rPr>
        <w:t>4</w:t>
      </w:r>
      <w:r w:rsidR="005A0889" w:rsidRPr="00CF3673">
        <w:rPr>
          <w:lang w:val="pt-PT"/>
        </w:rPr>
        <w:t xml:space="preserve">: </w:t>
      </w:r>
      <w:r w:rsidR="006C484A" w:rsidRPr="00CF3673">
        <w:rPr>
          <w:lang w:val="pt-PT"/>
        </w:rPr>
        <w:t xml:space="preserve">Percepção dos constrangimentos da </w:t>
      </w:r>
      <w:r w:rsidR="00761AD0" w:rsidRPr="00CF3673">
        <w:rPr>
          <w:lang w:val="pt-PT"/>
        </w:rPr>
        <w:t>corrupção</w:t>
      </w:r>
      <w:r w:rsidR="006C484A" w:rsidRPr="00CF3673">
        <w:rPr>
          <w:lang w:val="pt-PT"/>
        </w:rPr>
        <w:t xml:space="preserve"> por constrangimento actual da corrupção</w:t>
      </w:r>
    </w:p>
    <w:bookmarkEnd w:id="98"/>
    <w:tbl>
      <w:tblPr>
        <w:tblStyle w:val="StandardTable"/>
        <w:tblW w:w="0" w:type="auto"/>
        <w:jc w:val="center"/>
        <w:tblLayout w:type="fixed"/>
        <w:tblLook w:val="04A0" w:firstRow="1" w:lastRow="0" w:firstColumn="1" w:lastColumn="0" w:noHBand="0" w:noVBand="1"/>
      </w:tblPr>
      <w:tblGrid>
        <w:gridCol w:w="2356"/>
        <w:gridCol w:w="992"/>
        <w:gridCol w:w="692"/>
        <w:gridCol w:w="1089"/>
      </w:tblGrid>
      <w:tr w:rsidR="005A0889" w:rsidRPr="00CF3673" w:rsidTr="009D3235">
        <w:trPr>
          <w:cnfStyle w:val="100000000000" w:firstRow="1" w:lastRow="0" w:firstColumn="0" w:lastColumn="0" w:oddVBand="0" w:evenVBand="0" w:oddHBand="0" w:evenHBand="0" w:firstRowFirstColumn="0" w:firstRowLastColumn="0" w:lastRowFirstColumn="0" w:lastRowLastColumn="0"/>
          <w:trHeight w:val="300"/>
          <w:jc w:val="center"/>
        </w:trPr>
        <w:tc>
          <w:tcPr>
            <w:tcW w:w="2356" w:type="dxa"/>
            <w:tcBorders>
              <w:bottom w:val="nil"/>
            </w:tcBorders>
            <w:noWrap/>
            <w:hideMark/>
          </w:tcPr>
          <w:p w:rsidR="005A0889" w:rsidRPr="00CF3673" w:rsidRDefault="005A0889" w:rsidP="007D454C">
            <w:pPr>
              <w:rPr>
                <w:rFonts w:ascii="Calibri" w:eastAsia="Times New Roman" w:hAnsi="Calibri" w:cs="Times New Roman"/>
                <w:color w:val="000000"/>
                <w:lang w:eastAsia="zh-CN"/>
              </w:rPr>
            </w:pPr>
          </w:p>
        </w:tc>
        <w:tc>
          <w:tcPr>
            <w:tcW w:w="1684" w:type="dxa"/>
            <w:gridSpan w:val="2"/>
            <w:noWrap/>
            <w:hideMark/>
          </w:tcPr>
          <w:p w:rsidR="005A0889" w:rsidRPr="00CF3673" w:rsidRDefault="00BB1D52" w:rsidP="00BB1D52">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Empresas pagam suborno</w:t>
            </w:r>
          </w:p>
        </w:tc>
        <w:tc>
          <w:tcPr>
            <w:tcW w:w="1089" w:type="dxa"/>
            <w:tcBorders>
              <w:bottom w:val="nil"/>
            </w:tcBorders>
            <w:noWrap/>
            <w:hideMark/>
          </w:tcPr>
          <w:p w:rsidR="005A0889" w:rsidRPr="00CF3673" w:rsidRDefault="005A0889" w:rsidP="007D454C">
            <w:pPr>
              <w:rPr>
                <w:rFonts w:ascii="Calibri" w:eastAsia="Times New Roman" w:hAnsi="Calibri" w:cs="Times New Roman"/>
                <w:color w:val="000000"/>
                <w:lang w:eastAsia="zh-CN"/>
              </w:rPr>
            </w:pPr>
          </w:p>
        </w:tc>
      </w:tr>
      <w:tr w:rsidR="005A0889" w:rsidRPr="00CF3673" w:rsidTr="009D3235">
        <w:trPr>
          <w:trHeight w:val="300"/>
          <w:jc w:val="center"/>
        </w:trPr>
        <w:tc>
          <w:tcPr>
            <w:tcW w:w="2356" w:type="dxa"/>
            <w:tcBorders>
              <w:top w:val="nil"/>
              <w:bottom w:val="single" w:sz="4" w:space="0" w:color="auto"/>
            </w:tcBorders>
            <w:noWrap/>
            <w:hideMark/>
          </w:tcPr>
          <w:p w:rsidR="00BB1D52" w:rsidRPr="00CF3673" w:rsidRDefault="00761AD0" w:rsidP="007D454C">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Corrupção</w:t>
            </w:r>
            <w:r w:rsidR="00BB1D52" w:rsidRPr="00CF3673">
              <w:rPr>
                <w:rFonts w:ascii="Calibri" w:eastAsia="Times New Roman" w:hAnsi="Calibri" w:cs="Times New Roman"/>
                <w:color w:val="000000"/>
                <w:lang w:eastAsia="zh-CN"/>
              </w:rPr>
              <w:t xml:space="preserve"> geral</w:t>
            </w:r>
          </w:p>
          <w:p w:rsidR="005A0889" w:rsidRPr="00CF3673" w:rsidRDefault="00BB1D52" w:rsidP="00BB1D52">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Vista como constrangimento</w:t>
            </w:r>
          </w:p>
        </w:tc>
        <w:tc>
          <w:tcPr>
            <w:tcW w:w="992" w:type="dxa"/>
            <w:tcBorders>
              <w:top w:val="single" w:sz="4" w:space="0" w:color="auto"/>
              <w:bottom w:val="single" w:sz="4" w:space="0" w:color="auto"/>
            </w:tcBorders>
            <w:noWrap/>
            <w:hideMark/>
          </w:tcPr>
          <w:p w:rsidR="005A0889" w:rsidRPr="00CF3673" w:rsidRDefault="00BB1D52" w:rsidP="007D454C">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Não</w:t>
            </w:r>
          </w:p>
        </w:tc>
        <w:tc>
          <w:tcPr>
            <w:tcW w:w="692" w:type="dxa"/>
            <w:tcBorders>
              <w:top w:val="single" w:sz="4" w:space="0" w:color="auto"/>
              <w:bottom w:val="single" w:sz="4" w:space="0" w:color="auto"/>
            </w:tcBorders>
            <w:noWrap/>
            <w:hideMark/>
          </w:tcPr>
          <w:p w:rsidR="005A0889" w:rsidRPr="00CF3673" w:rsidRDefault="00BB1D52" w:rsidP="00BB1D52">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Sim</w:t>
            </w:r>
          </w:p>
        </w:tc>
        <w:tc>
          <w:tcPr>
            <w:tcW w:w="1089" w:type="dxa"/>
            <w:tcBorders>
              <w:top w:val="nil"/>
              <w:bottom w:val="single" w:sz="4" w:space="0" w:color="auto"/>
            </w:tcBorders>
            <w:noWrap/>
            <w:hideMark/>
          </w:tcPr>
          <w:p w:rsidR="005A0889" w:rsidRPr="00CF3673" w:rsidRDefault="005A0889" w:rsidP="007D454C">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Total</w:t>
            </w:r>
          </w:p>
        </w:tc>
      </w:tr>
      <w:tr w:rsidR="009D3235" w:rsidRPr="00CF3673" w:rsidTr="009D3235">
        <w:trPr>
          <w:trHeight w:val="300"/>
          <w:jc w:val="center"/>
        </w:trPr>
        <w:tc>
          <w:tcPr>
            <w:tcW w:w="2356" w:type="dxa"/>
            <w:tcBorders>
              <w:top w:val="single" w:sz="4" w:space="0" w:color="auto"/>
            </w:tcBorders>
            <w:noWrap/>
            <w:hideMark/>
          </w:tcPr>
          <w:p w:rsidR="009D3235" w:rsidRPr="00CF3673" w:rsidRDefault="009D3235" w:rsidP="00BB1D52">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N</w:t>
            </w:r>
            <w:r w:rsidR="00BB1D52" w:rsidRPr="00CF3673">
              <w:rPr>
                <w:rFonts w:ascii="Calibri" w:eastAsia="Times New Roman" w:hAnsi="Calibri" w:cs="Times New Roman"/>
                <w:color w:val="000000"/>
                <w:lang w:eastAsia="zh-CN"/>
              </w:rPr>
              <w:t>ão</w:t>
            </w:r>
          </w:p>
        </w:tc>
        <w:tc>
          <w:tcPr>
            <w:tcW w:w="992" w:type="dxa"/>
            <w:tcBorders>
              <w:top w:val="single" w:sz="4" w:space="0" w:color="auto"/>
            </w:tcBorders>
            <w:noWrap/>
            <w:hideMark/>
          </w:tcPr>
          <w:p w:rsidR="009D3235" w:rsidRPr="00CF3673" w:rsidRDefault="009D3235" w:rsidP="009D3235">
            <w:pPr>
              <w:jc w:val="center"/>
            </w:pPr>
            <w:r w:rsidRPr="00CF3673">
              <w:t>61</w:t>
            </w:r>
          </w:p>
        </w:tc>
        <w:tc>
          <w:tcPr>
            <w:tcW w:w="692" w:type="dxa"/>
            <w:tcBorders>
              <w:top w:val="single" w:sz="4" w:space="0" w:color="auto"/>
            </w:tcBorders>
            <w:noWrap/>
            <w:hideMark/>
          </w:tcPr>
          <w:p w:rsidR="009D3235" w:rsidRPr="00CF3673" w:rsidRDefault="009D3235" w:rsidP="009D3235">
            <w:pPr>
              <w:jc w:val="center"/>
            </w:pPr>
            <w:r w:rsidRPr="00CF3673">
              <w:t>100</w:t>
            </w:r>
          </w:p>
        </w:tc>
        <w:tc>
          <w:tcPr>
            <w:tcW w:w="1089" w:type="dxa"/>
            <w:tcBorders>
              <w:top w:val="single" w:sz="4" w:space="0" w:color="auto"/>
            </w:tcBorders>
            <w:noWrap/>
            <w:hideMark/>
          </w:tcPr>
          <w:p w:rsidR="009D3235" w:rsidRPr="00CF3673" w:rsidRDefault="009D3235" w:rsidP="009D3235">
            <w:pPr>
              <w:jc w:val="center"/>
            </w:pPr>
            <w:r w:rsidRPr="00CF3673">
              <w:t>161</w:t>
            </w:r>
          </w:p>
        </w:tc>
      </w:tr>
      <w:tr w:rsidR="009D3235" w:rsidRPr="00CF3673" w:rsidTr="009D3235">
        <w:trPr>
          <w:trHeight w:val="300"/>
          <w:jc w:val="center"/>
        </w:trPr>
        <w:tc>
          <w:tcPr>
            <w:tcW w:w="2356" w:type="dxa"/>
            <w:noWrap/>
            <w:hideMark/>
          </w:tcPr>
          <w:p w:rsidR="009D3235" w:rsidRPr="00CF3673" w:rsidRDefault="00BB1D52" w:rsidP="007D454C">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9D3235" w:rsidRPr="00CF3673">
              <w:rPr>
                <w:rFonts w:ascii="Calibri" w:eastAsia="Times New Roman" w:hAnsi="Calibri" w:cs="Times New Roman"/>
                <w:color w:val="000000"/>
                <w:lang w:eastAsia="zh-CN"/>
              </w:rPr>
              <w:t>.)</w:t>
            </w:r>
          </w:p>
        </w:tc>
        <w:tc>
          <w:tcPr>
            <w:tcW w:w="992" w:type="dxa"/>
            <w:noWrap/>
            <w:hideMark/>
          </w:tcPr>
          <w:p w:rsidR="009D3235" w:rsidRPr="00CF3673" w:rsidRDefault="009D3235" w:rsidP="009D3235">
            <w:pPr>
              <w:jc w:val="center"/>
            </w:pPr>
            <w:r w:rsidRPr="00CF3673">
              <w:t>(37.9)</w:t>
            </w:r>
          </w:p>
        </w:tc>
        <w:tc>
          <w:tcPr>
            <w:tcW w:w="692" w:type="dxa"/>
            <w:noWrap/>
            <w:hideMark/>
          </w:tcPr>
          <w:p w:rsidR="009D3235" w:rsidRPr="00CF3673" w:rsidRDefault="009D3235" w:rsidP="009D3235">
            <w:pPr>
              <w:jc w:val="center"/>
            </w:pPr>
            <w:r w:rsidRPr="00CF3673">
              <w:t>(62.1)</w:t>
            </w:r>
          </w:p>
        </w:tc>
        <w:tc>
          <w:tcPr>
            <w:tcW w:w="1089" w:type="dxa"/>
            <w:noWrap/>
            <w:hideMark/>
          </w:tcPr>
          <w:p w:rsidR="009D3235" w:rsidRPr="00CF3673" w:rsidRDefault="009D3235" w:rsidP="009D3235">
            <w:pPr>
              <w:jc w:val="center"/>
            </w:pPr>
            <w:r w:rsidRPr="00CF3673">
              <w:t>(100.0)</w:t>
            </w:r>
          </w:p>
        </w:tc>
      </w:tr>
      <w:tr w:rsidR="009D3235" w:rsidRPr="00CF3673" w:rsidTr="009D3235">
        <w:trPr>
          <w:trHeight w:val="300"/>
          <w:jc w:val="center"/>
        </w:trPr>
        <w:tc>
          <w:tcPr>
            <w:tcW w:w="2356" w:type="dxa"/>
            <w:tcBorders>
              <w:bottom w:val="nil"/>
            </w:tcBorders>
            <w:noWrap/>
            <w:hideMark/>
          </w:tcPr>
          <w:p w:rsidR="009D3235" w:rsidRPr="00CF3673" w:rsidRDefault="00BB1D52" w:rsidP="007D454C">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Sim</w:t>
            </w:r>
          </w:p>
        </w:tc>
        <w:tc>
          <w:tcPr>
            <w:tcW w:w="992" w:type="dxa"/>
            <w:tcBorders>
              <w:bottom w:val="nil"/>
            </w:tcBorders>
            <w:noWrap/>
            <w:hideMark/>
          </w:tcPr>
          <w:p w:rsidR="009D3235" w:rsidRPr="00CF3673" w:rsidRDefault="009D3235" w:rsidP="009D3235">
            <w:pPr>
              <w:jc w:val="center"/>
            </w:pPr>
            <w:r w:rsidRPr="00CF3673">
              <w:t>69</w:t>
            </w:r>
          </w:p>
        </w:tc>
        <w:tc>
          <w:tcPr>
            <w:tcW w:w="692" w:type="dxa"/>
            <w:tcBorders>
              <w:bottom w:val="nil"/>
            </w:tcBorders>
            <w:noWrap/>
            <w:hideMark/>
          </w:tcPr>
          <w:p w:rsidR="009D3235" w:rsidRPr="00CF3673" w:rsidRDefault="009D3235" w:rsidP="009D3235">
            <w:pPr>
              <w:jc w:val="center"/>
            </w:pPr>
            <w:r w:rsidRPr="00CF3673">
              <w:t>85</w:t>
            </w:r>
          </w:p>
        </w:tc>
        <w:tc>
          <w:tcPr>
            <w:tcW w:w="1089" w:type="dxa"/>
            <w:tcBorders>
              <w:bottom w:val="nil"/>
            </w:tcBorders>
            <w:noWrap/>
            <w:hideMark/>
          </w:tcPr>
          <w:p w:rsidR="009D3235" w:rsidRPr="00CF3673" w:rsidRDefault="009D3235" w:rsidP="009D3235">
            <w:pPr>
              <w:jc w:val="center"/>
            </w:pPr>
            <w:r w:rsidRPr="00CF3673">
              <w:t>154</w:t>
            </w:r>
          </w:p>
        </w:tc>
      </w:tr>
      <w:tr w:rsidR="009D3235" w:rsidRPr="00CF3673" w:rsidTr="009D3235">
        <w:trPr>
          <w:trHeight w:val="300"/>
          <w:jc w:val="center"/>
        </w:trPr>
        <w:tc>
          <w:tcPr>
            <w:tcW w:w="2356" w:type="dxa"/>
            <w:tcBorders>
              <w:top w:val="nil"/>
              <w:bottom w:val="single" w:sz="4" w:space="0" w:color="auto"/>
            </w:tcBorders>
            <w:noWrap/>
            <w:hideMark/>
          </w:tcPr>
          <w:p w:rsidR="009D3235" w:rsidRPr="00CF3673" w:rsidRDefault="00BB1D52" w:rsidP="007D454C">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9D3235" w:rsidRPr="00CF3673">
              <w:rPr>
                <w:rFonts w:ascii="Calibri" w:eastAsia="Times New Roman" w:hAnsi="Calibri" w:cs="Times New Roman"/>
                <w:color w:val="000000"/>
                <w:lang w:eastAsia="zh-CN"/>
              </w:rPr>
              <w:t>.)</w:t>
            </w:r>
          </w:p>
        </w:tc>
        <w:tc>
          <w:tcPr>
            <w:tcW w:w="992" w:type="dxa"/>
            <w:tcBorders>
              <w:top w:val="nil"/>
              <w:bottom w:val="single" w:sz="4" w:space="0" w:color="auto"/>
            </w:tcBorders>
            <w:noWrap/>
            <w:hideMark/>
          </w:tcPr>
          <w:p w:rsidR="009D3235" w:rsidRPr="00CF3673" w:rsidRDefault="009D3235" w:rsidP="009D3235">
            <w:pPr>
              <w:jc w:val="center"/>
            </w:pPr>
            <w:r w:rsidRPr="00CF3673">
              <w:t>(44.8)</w:t>
            </w:r>
          </w:p>
        </w:tc>
        <w:tc>
          <w:tcPr>
            <w:tcW w:w="692" w:type="dxa"/>
            <w:tcBorders>
              <w:top w:val="nil"/>
              <w:bottom w:val="single" w:sz="4" w:space="0" w:color="auto"/>
            </w:tcBorders>
            <w:noWrap/>
            <w:hideMark/>
          </w:tcPr>
          <w:p w:rsidR="009D3235" w:rsidRPr="00CF3673" w:rsidRDefault="009D3235" w:rsidP="009D3235">
            <w:pPr>
              <w:jc w:val="center"/>
            </w:pPr>
            <w:r w:rsidRPr="00CF3673">
              <w:t>(55.2)</w:t>
            </w:r>
          </w:p>
        </w:tc>
        <w:tc>
          <w:tcPr>
            <w:tcW w:w="1089" w:type="dxa"/>
            <w:tcBorders>
              <w:top w:val="nil"/>
              <w:bottom w:val="single" w:sz="4" w:space="0" w:color="auto"/>
            </w:tcBorders>
            <w:noWrap/>
            <w:hideMark/>
          </w:tcPr>
          <w:p w:rsidR="009D3235" w:rsidRPr="00CF3673" w:rsidRDefault="009D3235" w:rsidP="009D3235">
            <w:pPr>
              <w:jc w:val="center"/>
            </w:pPr>
            <w:r w:rsidRPr="00CF3673">
              <w:t>(100.0)</w:t>
            </w:r>
          </w:p>
        </w:tc>
      </w:tr>
      <w:tr w:rsidR="009D3235" w:rsidRPr="00CF3673" w:rsidTr="009D3235">
        <w:trPr>
          <w:trHeight w:val="300"/>
          <w:jc w:val="center"/>
        </w:trPr>
        <w:tc>
          <w:tcPr>
            <w:tcW w:w="2356" w:type="dxa"/>
            <w:tcBorders>
              <w:top w:val="single" w:sz="4" w:space="0" w:color="auto"/>
            </w:tcBorders>
            <w:noWrap/>
            <w:hideMark/>
          </w:tcPr>
          <w:p w:rsidR="009D3235" w:rsidRPr="00CF3673" w:rsidRDefault="009D3235" w:rsidP="007D454C">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Total</w:t>
            </w:r>
          </w:p>
        </w:tc>
        <w:tc>
          <w:tcPr>
            <w:tcW w:w="992" w:type="dxa"/>
            <w:tcBorders>
              <w:top w:val="single" w:sz="4" w:space="0" w:color="auto"/>
            </w:tcBorders>
            <w:noWrap/>
            <w:hideMark/>
          </w:tcPr>
          <w:p w:rsidR="009D3235" w:rsidRPr="00CF3673" w:rsidRDefault="009D3235" w:rsidP="009D3235">
            <w:pPr>
              <w:jc w:val="center"/>
            </w:pPr>
            <w:r w:rsidRPr="00CF3673">
              <w:t>130</w:t>
            </w:r>
          </w:p>
        </w:tc>
        <w:tc>
          <w:tcPr>
            <w:tcW w:w="692" w:type="dxa"/>
            <w:tcBorders>
              <w:top w:val="single" w:sz="4" w:space="0" w:color="auto"/>
            </w:tcBorders>
            <w:noWrap/>
            <w:hideMark/>
          </w:tcPr>
          <w:p w:rsidR="009D3235" w:rsidRPr="00CF3673" w:rsidRDefault="009D3235" w:rsidP="009D3235">
            <w:pPr>
              <w:jc w:val="center"/>
            </w:pPr>
            <w:r w:rsidRPr="00CF3673">
              <w:t>185</w:t>
            </w:r>
          </w:p>
        </w:tc>
        <w:tc>
          <w:tcPr>
            <w:tcW w:w="1089" w:type="dxa"/>
            <w:tcBorders>
              <w:top w:val="single" w:sz="4" w:space="0" w:color="auto"/>
            </w:tcBorders>
            <w:noWrap/>
            <w:hideMark/>
          </w:tcPr>
          <w:p w:rsidR="009D3235" w:rsidRPr="00CF3673" w:rsidRDefault="009D3235" w:rsidP="009D3235">
            <w:pPr>
              <w:jc w:val="center"/>
            </w:pPr>
            <w:r w:rsidRPr="00CF3673">
              <w:t>315</w:t>
            </w:r>
          </w:p>
        </w:tc>
      </w:tr>
      <w:tr w:rsidR="009D3235" w:rsidRPr="00CF3673" w:rsidTr="009D3235">
        <w:trPr>
          <w:trHeight w:val="300"/>
          <w:jc w:val="center"/>
        </w:trPr>
        <w:tc>
          <w:tcPr>
            <w:tcW w:w="2356" w:type="dxa"/>
            <w:tcBorders>
              <w:bottom w:val="double" w:sz="4" w:space="0" w:color="auto"/>
            </w:tcBorders>
            <w:noWrap/>
            <w:hideMark/>
          </w:tcPr>
          <w:p w:rsidR="009D3235" w:rsidRPr="00CF3673" w:rsidRDefault="00BB1D52" w:rsidP="007D454C">
            <w:pPr>
              <w:jc w:val="center"/>
              <w:rPr>
                <w:rFonts w:ascii="Calibri" w:eastAsia="Times New Roman" w:hAnsi="Calibri" w:cs="Times New Roman"/>
                <w:color w:val="000000"/>
                <w:lang w:eastAsia="zh-CN"/>
              </w:rPr>
            </w:pPr>
            <w:r w:rsidRPr="00CF3673">
              <w:rPr>
                <w:rFonts w:ascii="Calibri" w:eastAsia="Times New Roman" w:hAnsi="Calibri" w:cs="Times New Roman"/>
                <w:color w:val="000000"/>
                <w:lang w:eastAsia="zh-CN"/>
              </w:rPr>
              <w:t>(%</w:t>
            </w:r>
            <w:r w:rsidR="009D3235" w:rsidRPr="00CF3673">
              <w:rPr>
                <w:rFonts w:ascii="Calibri" w:eastAsia="Times New Roman" w:hAnsi="Calibri" w:cs="Times New Roman"/>
                <w:color w:val="000000"/>
                <w:lang w:eastAsia="zh-CN"/>
              </w:rPr>
              <w:t>.)</w:t>
            </w:r>
          </w:p>
        </w:tc>
        <w:tc>
          <w:tcPr>
            <w:tcW w:w="992" w:type="dxa"/>
            <w:tcBorders>
              <w:bottom w:val="double" w:sz="4" w:space="0" w:color="auto"/>
            </w:tcBorders>
            <w:noWrap/>
            <w:hideMark/>
          </w:tcPr>
          <w:p w:rsidR="009D3235" w:rsidRPr="00CF3673" w:rsidRDefault="009D3235" w:rsidP="009D3235">
            <w:pPr>
              <w:jc w:val="center"/>
            </w:pPr>
            <w:r w:rsidRPr="00CF3673">
              <w:t>(41.3)</w:t>
            </w:r>
          </w:p>
        </w:tc>
        <w:tc>
          <w:tcPr>
            <w:tcW w:w="692" w:type="dxa"/>
            <w:tcBorders>
              <w:bottom w:val="double" w:sz="4" w:space="0" w:color="auto"/>
            </w:tcBorders>
            <w:noWrap/>
            <w:hideMark/>
          </w:tcPr>
          <w:p w:rsidR="009D3235" w:rsidRPr="00CF3673" w:rsidRDefault="009D3235" w:rsidP="009D3235">
            <w:pPr>
              <w:jc w:val="center"/>
            </w:pPr>
            <w:r w:rsidRPr="00CF3673">
              <w:t>(58.7)</w:t>
            </w:r>
          </w:p>
        </w:tc>
        <w:tc>
          <w:tcPr>
            <w:tcW w:w="1089" w:type="dxa"/>
            <w:tcBorders>
              <w:bottom w:val="double" w:sz="4" w:space="0" w:color="auto"/>
            </w:tcBorders>
            <w:noWrap/>
            <w:hideMark/>
          </w:tcPr>
          <w:p w:rsidR="009D3235" w:rsidRPr="00CF3673" w:rsidRDefault="009D3235" w:rsidP="009D3235">
            <w:pPr>
              <w:jc w:val="center"/>
            </w:pPr>
            <w:r w:rsidRPr="00CF3673">
              <w:t>(100.0)</w:t>
            </w:r>
          </w:p>
        </w:tc>
      </w:tr>
      <w:tr w:rsidR="009D3235" w:rsidRPr="00CF3673" w:rsidTr="009D3235">
        <w:trPr>
          <w:trHeight w:val="300"/>
          <w:jc w:val="center"/>
        </w:trPr>
        <w:tc>
          <w:tcPr>
            <w:tcW w:w="5129" w:type="dxa"/>
            <w:gridSpan w:val="4"/>
            <w:tcBorders>
              <w:top w:val="double" w:sz="4" w:space="0" w:color="auto"/>
              <w:bottom w:val="nil"/>
            </w:tcBorders>
            <w:noWrap/>
          </w:tcPr>
          <w:p w:rsidR="009D3235" w:rsidRPr="00CF3673" w:rsidRDefault="00BB1D52" w:rsidP="00BB1D52">
            <w:pPr>
              <w:pStyle w:val="Tablenote"/>
              <w:rPr>
                <w:b/>
                <w:lang w:val="pt-PT"/>
              </w:rPr>
            </w:pPr>
            <w:r w:rsidRPr="00CF3673">
              <w:rPr>
                <w:b/>
                <w:lang w:val="pt-PT"/>
              </w:rPr>
              <w:t>Nota</w:t>
            </w:r>
            <w:r w:rsidR="009D3235" w:rsidRPr="00CF3673">
              <w:rPr>
                <w:b/>
                <w:lang w:val="pt-PT"/>
              </w:rPr>
              <w:t>:</w:t>
            </w:r>
            <w:r w:rsidRPr="00CF3673">
              <w:rPr>
                <w:b/>
                <w:lang w:val="pt-PT"/>
              </w:rPr>
              <w:t xml:space="preserve"> </w:t>
            </w:r>
            <w:r w:rsidR="009D3235" w:rsidRPr="00CF3673">
              <w:rPr>
                <w:lang w:val="pt-PT"/>
              </w:rPr>
              <w:t>Num</w:t>
            </w:r>
            <w:r w:rsidRPr="00CF3673">
              <w:rPr>
                <w:lang w:val="pt-PT"/>
              </w:rPr>
              <w:t xml:space="preserve">ero em </w:t>
            </w:r>
            <w:r w:rsidR="00761AD0" w:rsidRPr="00CF3673">
              <w:rPr>
                <w:lang w:val="pt-PT"/>
              </w:rPr>
              <w:t>parêntesis</w:t>
            </w:r>
            <w:r w:rsidRPr="00CF3673">
              <w:rPr>
                <w:lang w:val="pt-PT"/>
              </w:rPr>
              <w:t xml:space="preserve"> indicam percentagem</w:t>
            </w:r>
            <w:r w:rsidR="009D3235" w:rsidRPr="00CF3673">
              <w:rPr>
                <w:lang w:val="pt-PT"/>
              </w:rPr>
              <w:t xml:space="preserve">. </w:t>
            </w:r>
            <w:proofErr w:type="spellStart"/>
            <w:r w:rsidR="009D3235" w:rsidRPr="00CF3673">
              <w:rPr>
                <w:lang w:val="pt-PT"/>
              </w:rPr>
              <w:t>N</w:t>
            </w:r>
            <w:r w:rsidRPr="00CF3673">
              <w:rPr>
                <w:lang w:val="pt-PT"/>
              </w:rPr>
              <w:t>r</w:t>
            </w:r>
            <w:proofErr w:type="spellEnd"/>
            <w:r w:rsidR="009D3235" w:rsidRPr="00CF3673">
              <w:rPr>
                <w:lang w:val="pt-PT"/>
              </w:rPr>
              <w:t>.</w:t>
            </w:r>
            <w:r w:rsidRPr="00CF3673">
              <w:rPr>
                <w:lang w:val="pt-PT"/>
              </w:rPr>
              <w:t xml:space="preserve"> de observações em falta</w:t>
            </w:r>
            <w:r w:rsidR="009D3235" w:rsidRPr="00CF3673">
              <w:rPr>
                <w:lang w:val="pt-PT"/>
              </w:rPr>
              <w:t xml:space="preserve">: </w:t>
            </w:r>
            <w:r w:rsidR="00183D03" w:rsidRPr="00CF3673">
              <w:rPr>
                <w:lang w:val="pt-PT"/>
              </w:rPr>
              <w:t>4</w:t>
            </w:r>
            <w:r w:rsidR="009D3235" w:rsidRPr="00CF3673">
              <w:rPr>
                <w:lang w:val="pt-PT"/>
              </w:rPr>
              <w:t>46.</w:t>
            </w:r>
          </w:p>
        </w:tc>
      </w:tr>
      <w:tr w:rsidR="009D3235" w:rsidRPr="00CF3673" w:rsidTr="009D3235">
        <w:trPr>
          <w:trHeight w:val="300"/>
          <w:jc w:val="center"/>
        </w:trPr>
        <w:tc>
          <w:tcPr>
            <w:tcW w:w="5129" w:type="dxa"/>
            <w:gridSpan w:val="4"/>
            <w:tcBorders>
              <w:top w:val="nil"/>
              <w:bottom w:val="nil"/>
            </w:tcBorders>
            <w:noWrap/>
          </w:tcPr>
          <w:p w:rsidR="009D3235" w:rsidRPr="00CF3673" w:rsidRDefault="00BB1D52" w:rsidP="00BB1D52">
            <w:pPr>
              <w:pStyle w:val="Tablenote"/>
              <w:rPr>
                <w:b/>
                <w:lang w:val="pt-PT"/>
              </w:rPr>
            </w:pPr>
            <w:r w:rsidRPr="00CF3673">
              <w:rPr>
                <w:b/>
                <w:lang w:val="pt-PT"/>
              </w:rPr>
              <w:t>Fonte</w:t>
            </w:r>
            <w:r w:rsidR="009D3235" w:rsidRPr="00CF3673">
              <w:rPr>
                <w:b/>
                <w:lang w:val="pt-PT"/>
              </w:rPr>
              <w:t>:</w:t>
            </w:r>
            <w:r w:rsidR="009D3235" w:rsidRPr="00CF3673">
              <w:rPr>
                <w:lang w:val="pt-PT"/>
              </w:rPr>
              <w:t xml:space="preserve"> </w:t>
            </w:r>
            <w:r w:rsidR="00761AD0" w:rsidRPr="00CF3673">
              <w:rPr>
                <w:lang w:val="pt-PT"/>
              </w:rPr>
              <w:t>Cálculos</w:t>
            </w:r>
            <w:r w:rsidRPr="00CF3673">
              <w:rPr>
                <w:lang w:val="pt-PT"/>
              </w:rPr>
              <w:t xml:space="preserve"> dos autores usando</w:t>
            </w:r>
            <w:r w:rsidR="009D3235" w:rsidRPr="00CF3673">
              <w:rPr>
                <w:lang w:val="pt-PT"/>
              </w:rPr>
              <w:t xml:space="preserve"> IIM 2012.</w:t>
            </w:r>
          </w:p>
        </w:tc>
      </w:tr>
    </w:tbl>
    <w:p w:rsidR="005A0889" w:rsidRPr="00CF3673" w:rsidRDefault="005A0889" w:rsidP="001E664B">
      <w:pPr>
        <w:pStyle w:val="MainText"/>
        <w:rPr>
          <w:lang w:val="pt-PT"/>
        </w:rPr>
      </w:pPr>
    </w:p>
    <w:p w:rsidR="005D3617" w:rsidRPr="00CF3673" w:rsidRDefault="005D3617" w:rsidP="009B4380">
      <w:pPr>
        <w:pStyle w:val="MainText"/>
        <w:rPr>
          <w:lang w:val="pt-PT"/>
        </w:rPr>
      </w:pPr>
      <w:r w:rsidRPr="00CF3673">
        <w:rPr>
          <w:lang w:val="pt-PT"/>
        </w:rPr>
        <w:t>Parece que as empresas que vem a corrupção duma forma geral um constrangimento têm menos propensão a pagar suborno e consequentemente não existe muita correlação entre pagar suborno e sentir se constrangido.</w:t>
      </w:r>
    </w:p>
    <w:p w:rsidR="001E6DDB" w:rsidRPr="00CF3673" w:rsidRDefault="001E6DDB">
      <w:pPr>
        <w:rPr>
          <w:rFonts w:asciiTheme="majorHAnsi" w:hAnsiTheme="majorHAnsi"/>
          <w:b/>
          <w:sz w:val="28"/>
        </w:rPr>
      </w:pPr>
      <w:r w:rsidRPr="00CF3673">
        <w:br w:type="page"/>
      </w:r>
    </w:p>
    <w:p w:rsidR="006C1F53" w:rsidRPr="00CF3673" w:rsidRDefault="001857C2" w:rsidP="001E664B">
      <w:pPr>
        <w:pStyle w:val="ChapterTitle"/>
        <w:rPr>
          <w:lang w:val="pt-PT"/>
        </w:rPr>
      </w:pPr>
      <w:bookmarkStart w:id="99" w:name="_Toc360720411"/>
      <w:r w:rsidRPr="00CF3673">
        <w:rPr>
          <w:lang w:val="pt-PT"/>
        </w:rPr>
        <w:lastRenderedPageBreak/>
        <w:t xml:space="preserve">11. </w:t>
      </w:r>
      <w:r w:rsidR="008C5DD3" w:rsidRPr="00CF3673">
        <w:rPr>
          <w:lang w:val="pt-PT"/>
        </w:rPr>
        <w:t>Cometários finais</w:t>
      </w:r>
      <w:r w:rsidR="006C1F53" w:rsidRPr="00CF3673">
        <w:rPr>
          <w:lang w:val="pt-PT"/>
        </w:rPr>
        <w:t xml:space="preserve"> e questões </w:t>
      </w:r>
      <w:r w:rsidR="008C5DD3" w:rsidRPr="00CF3673">
        <w:rPr>
          <w:lang w:val="pt-PT"/>
        </w:rPr>
        <w:t>de</w:t>
      </w:r>
      <w:r w:rsidR="006C1F53" w:rsidRPr="00CF3673">
        <w:rPr>
          <w:lang w:val="pt-PT"/>
        </w:rPr>
        <w:t xml:space="preserve"> políticas</w:t>
      </w:r>
    </w:p>
    <w:bookmarkEnd w:id="99"/>
    <w:p w:rsidR="006C1F53" w:rsidRPr="00CF3673" w:rsidRDefault="006C1F53" w:rsidP="001E664B">
      <w:pPr>
        <w:pStyle w:val="MainText"/>
        <w:rPr>
          <w:lang w:val="pt-PT"/>
        </w:rPr>
      </w:pPr>
    </w:p>
    <w:p w:rsidR="00873D9F" w:rsidRPr="00CF3673" w:rsidRDefault="00873D9F" w:rsidP="001E664B">
      <w:pPr>
        <w:pStyle w:val="MainText"/>
        <w:rPr>
          <w:lang w:val="pt-PT"/>
        </w:rPr>
      </w:pPr>
      <w:r w:rsidRPr="00CF3673">
        <w:rPr>
          <w:lang w:val="pt-PT"/>
        </w:rPr>
        <w:t xml:space="preserve">Este relatório documenta as constatações do </w:t>
      </w:r>
      <w:r w:rsidR="00761AD0" w:rsidRPr="00CF3673">
        <w:rPr>
          <w:lang w:val="pt-PT"/>
        </w:rPr>
        <w:t>inquérito</w:t>
      </w:r>
      <w:r w:rsidRPr="00CF3673">
        <w:rPr>
          <w:lang w:val="pt-PT"/>
        </w:rPr>
        <w:t xml:space="preserve"> sobre as empresas manufactureiras em Moçambique conduzido em 2012, o IIM2012. O </w:t>
      </w:r>
      <w:r w:rsidR="00761AD0" w:rsidRPr="00CF3673">
        <w:rPr>
          <w:lang w:val="pt-PT"/>
        </w:rPr>
        <w:t>Inquérito</w:t>
      </w:r>
      <w:r w:rsidRPr="00CF3673">
        <w:rPr>
          <w:lang w:val="pt-PT"/>
        </w:rPr>
        <w:t xml:space="preserve"> contém a dimensão </w:t>
      </w:r>
      <w:r w:rsidR="00761AD0" w:rsidRPr="00CF3673">
        <w:rPr>
          <w:lang w:val="pt-PT"/>
        </w:rPr>
        <w:t>seccional</w:t>
      </w:r>
      <w:r w:rsidRPr="00CF3673">
        <w:rPr>
          <w:lang w:val="pt-PT"/>
        </w:rPr>
        <w:t xml:space="preserve"> cruzada que compreende 761 empresas em 7 </w:t>
      </w:r>
      <w:r w:rsidR="00761AD0" w:rsidRPr="00CF3673">
        <w:rPr>
          <w:lang w:val="pt-PT"/>
        </w:rPr>
        <w:t>províncias</w:t>
      </w:r>
      <w:r w:rsidRPr="00CF3673">
        <w:rPr>
          <w:lang w:val="pt-PT"/>
        </w:rPr>
        <w:t xml:space="preserve"> e dados em painel de seguimento de 216 empresas dos </w:t>
      </w:r>
      <w:r w:rsidR="00761AD0" w:rsidRPr="00CF3673">
        <w:rPr>
          <w:lang w:val="pt-PT"/>
        </w:rPr>
        <w:t>inquéritos</w:t>
      </w:r>
      <w:r w:rsidRPr="00CF3673">
        <w:rPr>
          <w:lang w:val="pt-PT"/>
        </w:rPr>
        <w:t xml:space="preserve"> DNEAP (2006) e ICA (2009). A base de dados deste </w:t>
      </w:r>
      <w:r w:rsidR="00761AD0" w:rsidRPr="00CF3673">
        <w:rPr>
          <w:lang w:val="pt-PT"/>
        </w:rPr>
        <w:t>inquérito</w:t>
      </w:r>
      <w:r w:rsidRPr="00CF3673">
        <w:rPr>
          <w:lang w:val="pt-PT"/>
        </w:rPr>
        <w:t xml:space="preserve"> representa uma melhoria significativa dos anteriores inquéritos tanto em termos de representação, como também a cobertura e tamanho das empresas. O inquérito permite 1) analise descritiva das empresas manufactureiras moçambicanas com base num maior número de indicadores, 2) uma actualização dos desenvolvimentos recentes no ambiente de </w:t>
      </w:r>
      <w:r w:rsidR="00761AD0" w:rsidRPr="00CF3673">
        <w:rPr>
          <w:lang w:val="pt-PT"/>
        </w:rPr>
        <w:t>negócios</w:t>
      </w:r>
      <w:r w:rsidRPr="00CF3673">
        <w:rPr>
          <w:lang w:val="pt-PT"/>
        </w:rPr>
        <w:t xml:space="preserve"> do ponto de vista das empresas do sector, 3) comparação com os resultados dos anteriores inquéritos, e 3) analise básica das associações entre as características e dinâmicas das empresas, especificamente o seu crescimento e sua retirada.</w:t>
      </w:r>
    </w:p>
    <w:p w:rsidR="00873D9F" w:rsidRPr="00CF3673" w:rsidRDefault="00873D9F" w:rsidP="001E664B">
      <w:pPr>
        <w:pStyle w:val="MainText"/>
        <w:rPr>
          <w:lang w:val="pt-PT"/>
        </w:rPr>
      </w:pPr>
      <w:r w:rsidRPr="00CF3673">
        <w:rPr>
          <w:lang w:val="pt-PT"/>
        </w:rPr>
        <w:t xml:space="preserve">Um conjunto de </w:t>
      </w:r>
      <w:proofErr w:type="spellStart"/>
      <w:r w:rsidRPr="00CF3673">
        <w:rPr>
          <w:lang w:val="pt-PT"/>
        </w:rPr>
        <w:t>estatisticas</w:t>
      </w:r>
      <w:proofErr w:type="spellEnd"/>
      <w:r w:rsidRPr="00CF3673">
        <w:rPr>
          <w:lang w:val="pt-PT"/>
        </w:rPr>
        <w:t xml:space="preserve"> interessantes e </w:t>
      </w:r>
      <w:r w:rsidR="00761AD0" w:rsidRPr="00CF3673">
        <w:rPr>
          <w:lang w:val="pt-PT"/>
        </w:rPr>
        <w:t>relevantes</w:t>
      </w:r>
      <w:r w:rsidRPr="00CF3673">
        <w:rPr>
          <w:lang w:val="pt-PT"/>
        </w:rPr>
        <w:t xml:space="preserve"> Recomendações de políticas emergem dos 10 primeiros </w:t>
      </w:r>
      <w:r w:rsidR="00761AD0" w:rsidRPr="00CF3673">
        <w:rPr>
          <w:lang w:val="pt-PT"/>
        </w:rPr>
        <w:t>capítulos</w:t>
      </w:r>
      <w:r w:rsidRPr="00CF3673">
        <w:rPr>
          <w:lang w:val="pt-PT"/>
        </w:rPr>
        <w:t xml:space="preserve"> do relatório. As principais incidências são apresentadas abaixo:</w:t>
      </w:r>
    </w:p>
    <w:p w:rsidR="00873D9F" w:rsidRPr="00CF3673" w:rsidRDefault="00873D9F" w:rsidP="001E664B">
      <w:pPr>
        <w:pStyle w:val="MainText"/>
        <w:numPr>
          <w:ilvl w:val="0"/>
          <w:numId w:val="15"/>
        </w:numPr>
        <w:rPr>
          <w:lang w:val="pt-PT"/>
        </w:rPr>
      </w:pPr>
      <w:r w:rsidRPr="00CF3673">
        <w:rPr>
          <w:lang w:val="pt-PT"/>
        </w:rPr>
        <w:t xml:space="preserve">A falta </w:t>
      </w:r>
      <w:r w:rsidR="008039A0" w:rsidRPr="00CF3673">
        <w:rPr>
          <w:lang w:val="pt-PT"/>
        </w:rPr>
        <w:t>duma</w:t>
      </w:r>
      <w:r w:rsidRPr="00CF3673">
        <w:rPr>
          <w:lang w:val="pt-PT"/>
        </w:rPr>
        <w:t xml:space="preserve"> base de dados nacional fiável sobre as empresas dificulta aos analistas e fazedores de </w:t>
      </w:r>
      <w:r w:rsidR="008039A0" w:rsidRPr="00CF3673">
        <w:rPr>
          <w:lang w:val="pt-PT"/>
        </w:rPr>
        <w:t>políticas</w:t>
      </w:r>
      <w:r w:rsidRPr="00CF3673">
        <w:rPr>
          <w:lang w:val="pt-PT"/>
        </w:rPr>
        <w:t xml:space="preserve"> em obter uma perspectiva clara sobre o número de empresas em diferentes sectores e províncias</w:t>
      </w:r>
      <w:r w:rsidR="008039A0" w:rsidRPr="00CF3673">
        <w:rPr>
          <w:lang w:val="pt-PT"/>
        </w:rPr>
        <w:t xml:space="preserve">. Sem isso, pode se tonar difícil avaliar politicas industriais específicas. Dado que o processo de registo está a ter lugar ao nível das províncias, esforços deviam ser feitos para harmonizar e agregar as bases de dado provinciais numa base de dados nacional coerente, por exemplo o Ministério das </w:t>
      </w:r>
      <w:r w:rsidR="00761AD0" w:rsidRPr="00CF3673">
        <w:rPr>
          <w:lang w:val="pt-PT"/>
        </w:rPr>
        <w:t>Industria</w:t>
      </w:r>
      <w:r w:rsidR="008039A0" w:rsidRPr="00CF3673">
        <w:rPr>
          <w:lang w:val="pt-PT"/>
        </w:rPr>
        <w:t xml:space="preserve"> e Comércio. Dado o tamanho da distribuição das empresas manufactureiras moçambicanas, seria igualmente aconselhável redefinir o actual sistema de classificação e tornar “a categoria micro”- (actualmente a empregar entre 1-24 trabalhadores), em pequena    </w:t>
      </w:r>
      <w:r w:rsidRPr="00CF3673">
        <w:rPr>
          <w:lang w:val="pt-PT"/>
        </w:rPr>
        <w:t xml:space="preserve"> </w:t>
      </w:r>
    </w:p>
    <w:p w:rsidR="008039A0" w:rsidRPr="00CF3673" w:rsidRDefault="008039A0" w:rsidP="001E664B">
      <w:pPr>
        <w:pStyle w:val="MainText"/>
        <w:numPr>
          <w:ilvl w:val="0"/>
          <w:numId w:val="15"/>
        </w:numPr>
        <w:rPr>
          <w:lang w:val="pt-PT"/>
        </w:rPr>
      </w:pPr>
      <w:r w:rsidRPr="00CF3673">
        <w:rPr>
          <w:lang w:val="pt-PT"/>
        </w:rPr>
        <w:t xml:space="preserve">Uma esmagadora maioria das empresas manufactureiras </w:t>
      </w:r>
      <w:r w:rsidR="00761AD0" w:rsidRPr="00CF3673">
        <w:rPr>
          <w:lang w:val="pt-PT"/>
        </w:rPr>
        <w:t>moçambicanas</w:t>
      </w:r>
      <w:r w:rsidRPr="00CF3673">
        <w:rPr>
          <w:lang w:val="pt-PT"/>
        </w:rPr>
        <w:t xml:space="preserve"> são Muito pequenas (menos de 10 trabalhadores), produzem produtos relativamente homogéneos usando tecnologia básica e vende na maioria aos indivíduos privados na mesma localidade da firma. Fora das grandes cidades, a </w:t>
      </w:r>
      <w:r w:rsidR="00697CE2" w:rsidRPr="00CF3673">
        <w:rPr>
          <w:lang w:val="pt-PT"/>
        </w:rPr>
        <w:t>indústria</w:t>
      </w:r>
      <w:r w:rsidRPr="00CF3673">
        <w:rPr>
          <w:lang w:val="pt-PT"/>
        </w:rPr>
        <w:t xml:space="preserve"> não é </w:t>
      </w:r>
      <w:r w:rsidR="00697CE2" w:rsidRPr="00CF3673">
        <w:rPr>
          <w:lang w:val="pt-PT"/>
        </w:rPr>
        <w:t xml:space="preserve">diversificada. De outro modo, as empresas de artesanato de pequena escala dificilmente podem ser os únicos motores da industrialização. É importante assegurar condições para pequenas empresas, mas </w:t>
      </w:r>
      <w:r w:rsidR="00761AD0" w:rsidRPr="00CF3673">
        <w:rPr>
          <w:lang w:val="pt-PT"/>
        </w:rPr>
        <w:t>também</w:t>
      </w:r>
      <w:r w:rsidR="00697CE2" w:rsidRPr="00CF3673">
        <w:rPr>
          <w:lang w:val="pt-PT"/>
        </w:rPr>
        <w:t xml:space="preserve"> </w:t>
      </w:r>
      <w:r w:rsidR="00761AD0" w:rsidRPr="00CF3673">
        <w:rPr>
          <w:lang w:val="pt-PT"/>
        </w:rPr>
        <w:t>moçambique</w:t>
      </w:r>
      <w:r w:rsidR="00697CE2" w:rsidRPr="00CF3673">
        <w:rPr>
          <w:lang w:val="pt-PT"/>
        </w:rPr>
        <w:t xml:space="preserve"> deve atrair medias-empresas que sejam produtivas. A zona económica especial em Nacala é promissora a este respeito.  </w:t>
      </w:r>
    </w:p>
    <w:p w:rsidR="00697CE2" w:rsidRPr="00CF3673" w:rsidRDefault="00853CA8" w:rsidP="001E664B">
      <w:pPr>
        <w:pStyle w:val="MainText"/>
        <w:numPr>
          <w:ilvl w:val="0"/>
          <w:numId w:val="15"/>
        </w:numPr>
        <w:rPr>
          <w:lang w:val="pt-PT"/>
        </w:rPr>
      </w:pPr>
      <w:r w:rsidRPr="00CF3673">
        <w:rPr>
          <w:lang w:val="pt-PT"/>
        </w:rPr>
        <w:lastRenderedPageBreak/>
        <w:t xml:space="preserve">Na mesma linha, as grandes empresas foram vistas como tendo potencial para providenciar bons empregos no sentido de que </w:t>
      </w:r>
      <w:r w:rsidR="002021A3" w:rsidRPr="00CF3673">
        <w:rPr>
          <w:lang w:val="pt-PT"/>
        </w:rPr>
        <w:t xml:space="preserve">tem melhores ordenados, mais </w:t>
      </w:r>
      <w:r w:rsidR="00761AD0" w:rsidRPr="00CF3673">
        <w:rPr>
          <w:lang w:val="pt-PT"/>
        </w:rPr>
        <w:t>benefícios</w:t>
      </w:r>
      <w:r w:rsidR="002021A3" w:rsidRPr="00CF3673">
        <w:rPr>
          <w:lang w:val="pt-PT"/>
        </w:rPr>
        <w:t xml:space="preserve"> e emprego permanente. Dado que não encontramos efeitos sistemáticos na criação de emprego do tamanho </w:t>
      </w:r>
      <w:r w:rsidR="00761AD0" w:rsidRPr="00CF3673">
        <w:rPr>
          <w:lang w:val="pt-PT"/>
        </w:rPr>
        <w:t>inicial</w:t>
      </w:r>
      <w:r w:rsidR="002021A3" w:rsidRPr="00CF3673">
        <w:rPr>
          <w:lang w:val="pt-PT"/>
        </w:rPr>
        <w:t xml:space="preserve"> de empresas, parece de todo injustificável o enfoque unilateral das pequenas empresas na politica industrial.</w:t>
      </w:r>
    </w:p>
    <w:p w:rsidR="002021A3" w:rsidRPr="00CF3673" w:rsidRDefault="002021A3" w:rsidP="001E664B">
      <w:pPr>
        <w:pStyle w:val="MainText"/>
        <w:numPr>
          <w:ilvl w:val="0"/>
          <w:numId w:val="15"/>
        </w:numPr>
        <w:rPr>
          <w:lang w:val="pt-PT"/>
        </w:rPr>
      </w:pPr>
      <w:r w:rsidRPr="00CF3673">
        <w:rPr>
          <w:lang w:val="pt-PT"/>
        </w:rPr>
        <w:t>As Características dos gestores foram vista como sendo importantes para o crescimento do emprego na empresa; etnicidade não-</w:t>
      </w:r>
      <w:r w:rsidR="00761AD0" w:rsidRPr="00CF3673">
        <w:rPr>
          <w:lang w:val="pt-PT"/>
        </w:rPr>
        <w:t>indígena</w:t>
      </w:r>
      <w:r w:rsidRPr="00CF3673">
        <w:rPr>
          <w:lang w:val="pt-PT"/>
        </w:rPr>
        <w:t xml:space="preserve">, gestores estrangeiros e </w:t>
      </w:r>
      <w:r w:rsidR="00761AD0" w:rsidRPr="00CF3673">
        <w:rPr>
          <w:lang w:val="pt-PT"/>
        </w:rPr>
        <w:t>educação</w:t>
      </w:r>
      <w:r w:rsidRPr="00CF3673">
        <w:rPr>
          <w:lang w:val="pt-PT"/>
        </w:rPr>
        <w:t xml:space="preserve"> (incluindo educação do estrangeiro) estão inteiramente ligado ao crescimento do emprego. Se os melhores gestores poder induzir o crescimento rápido das empresas, medidas deverão ser tomadas para melhorar a qualidade dos gestores. Melhorar a educação </w:t>
      </w:r>
      <w:r w:rsidR="00755209" w:rsidRPr="00CF3673">
        <w:rPr>
          <w:lang w:val="pt-PT"/>
        </w:rPr>
        <w:t>dos gestores</w:t>
      </w:r>
      <w:r w:rsidRPr="00CF3673">
        <w:rPr>
          <w:lang w:val="pt-PT"/>
        </w:rPr>
        <w:t xml:space="preserve"> pode ser uma via com a qual se pode colher bons frutos; </w:t>
      </w:r>
    </w:p>
    <w:p w:rsidR="002021A3" w:rsidRPr="00CF3673" w:rsidRDefault="002021A3" w:rsidP="001E664B">
      <w:pPr>
        <w:pStyle w:val="MainText"/>
        <w:numPr>
          <w:ilvl w:val="0"/>
          <w:numId w:val="15"/>
        </w:numPr>
        <w:rPr>
          <w:lang w:val="pt-PT"/>
        </w:rPr>
      </w:pPr>
      <w:r w:rsidRPr="00CF3673">
        <w:rPr>
          <w:lang w:val="pt-PT"/>
        </w:rPr>
        <w:t xml:space="preserve">Vendo que </w:t>
      </w:r>
      <w:r w:rsidR="00755209" w:rsidRPr="00CF3673">
        <w:rPr>
          <w:lang w:val="pt-PT"/>
        </w:rPr>
        <w:t xml:space="preserve">os </w:t>
      </w:r>
      <w:r w:rsidR="00761AD0" w:rsidRPr="00CF3673">
        <w:rPr>
          <w:lang w:val="pt-PT"/>
        </w:rPr>
        <w:t>exportadores</w:t>
      </w:r>
      <w:r w:rsidR="00755209" w:rsidRPr="00CF3673">
        <w:rPr>
          <w:lang w:val="pt-PT"/>
        </w:rPr>
        <w:t xml:space="preserve"> têm</w:t>
      </w:r>
      <w:r w:rsidRPr="00CF3673">
        <w:rPr>
          <w:lang w:val="pt-PT"/>
        </w:rPr>
        <w:t xml:space="preserve"> melhor desempenho num conjunto de indicadores- especialmente relativos à produtividade, é preocupação </w:t>
      </w:r>
      <w:r w:rsidR="00755209" w:rsidRPr="00CF3673">
        <w:rPr>
          <w:lang w:val="pt-PT"/>
        </w:rPr>
        <w:t>que estes sejam</w:t>
      </w:r>
      <w:r w:rsidRPr="00CF3673">
        <w:rPr>
          <w:lang w:val="pt-PT"/>
        </w:rPr>
        <w:t xml:space="preserve"> 3% </w:t>
      </w:r>
      <w:r w:rsidR="00755209" w:rsidRPr="00CF3673">
        <w:rPr>
          <w:lang w:val="pt-PT"/>
        </w:rPr>
        <w:t>das empresas</w:t>
      </w:r>
      <w:r w:rsidRPr="00CF3673">
        <w:rPr>
          <w:lang w:val="pt-PT"/>
        </w:rPr>
        <w:t xml:space="preserve"> na amostra</w:t>
      </w:r>
      <w:r w:rsidR="00755209" w:rsidRPr="00CF3673">
        <w:rPr>
          <w:lang w:val="pt-PT"/>
        </w:rPr>
        <w:t xml:space="preserve">. Duas observações em ordem. Primeiro, os regulamentos aduaneiros e corrupção são entendidos como os factores que mais constrangem ao comércio internacional (exemplo empresas em </w:t>
      </w:r>
      <w:r w:rsidR="00761AD0" w:rsidRPr="00CF3673">
        <w:rPr>
          <w:lang w:val="pt-PT"/>
        </w:rPr>
        <w:t>Maputo</w:t>
      </w:r>
      <w:r w:rsidR="00755209" w:rsidRPr="00CF3673">
        <w:rPr>
          <w:lang w:val="pt-PT"/>
        </w:rPr>
        <w:t xml:space="preserve"> ou as medias empresas). Isto significa que existe sérios constrangimentos no relacionamento deste com as alfândegas o que </w:t>
      </w:r>
      <w:r w:rsidR="00761AD0" w:rsidRPr="00CF3673">
        <w:rPr>
          <w:lang w:val="pt-PT"/>
        </w:rPr>
        <w:t>deveria</w:t>
      </w:r>
      <w:r w:rsidR="00755209" w:rsidRPr="00CF3673">
        <w:rPr>
          <w:lang w:val="pt-PT"/>
        </w:rPr>
        <w:t xml:space="preserve"> ser melhorado para facilitar exportações. Segundo, muitas empresas não exportadoras indicaram “falta de conhecimento de potenciais mercados” como a principal razão eles não exportam- isto revela que os esforços para a promoção de exportações </w:t>
      </w:r>
      <w:r w:rsidR="00305C8A" w:rsidRPr="00CF3673">
        <w:rPr>
          <w:lang w:val="pt-PT"/>
        </w:rPr>
        <w:t xml:space="preserve">deverão ser incrementados, </w:t>
      </w:r>
      <w:r w:rsidR="00761AD0" w:rsidRPr="00CF3673">
        <w:rPr>
          <w:lang w:val="pt-PT"/>
        </w:rPr>
        <w:t>talvez</w:t>
      </w:r>
      <w:r w:rsidR="00305C8A" w:rsidRPr="00CF3673">
        <w:rPr>
          <w:lang w:val="pt-PT"/>
        </w:rPr>
        <w:t xml:space="preserve"> através do Instituto para a Promoção de Exportações, IPEX.</w:t>
      </w:r>
    </w:p>
    <w:p w:rsidR="00305C8A" w:rsidRPr="00CF3673" w:rsidRDefault="00305C8A" w:rsidP="001E664B">
      <w:pPr>
        <w:pStyle w:val="MainText"/>
        <w:numPr>
          <w:ilvl w:val="0"/>
          <w:numId w:val="15"/>
        </w:numPr>
        <w:rPr>
          <w:lang w:val="pt-PT"/>
        </w:rPr>
      </w:pPr>
      <w:r w:rsidRPr="00CF3673">
        <w:rPr>
          <w:lang w:val="pt-PT"/>
        </w:rPr>
        <w:t xml:space="preserve">A produtividade das empresas parece não ter melhorado desde 2006 e de acordo com algumas medidas, tem estado em </w:t>
      </w:r>
      <w:r w:rsidR="00761AD0" w:rsidRPr="00CF3673">
        <w:rPr>
          <w:lang w:val="pt-PT"/>
        </w:rPr>
        <w:t>declínio</w:t>
      </w:r>
      <w:r w:rsidRPr="00CF3673">
        <w:rPr>
          <w:lang w:val="pt-PT"/>
        </w:rPr>
        <w:t xml:space="preserve">. A luz do crescimento de 7-8% ao ano da economia de Moçambique como um todo, isto sugere que a produtividade no sector especialmente ao nível das PMEs tem estado atras do crescimento económico do país como um todo. A participação das empresas a fazer investimentos baixou de 67% das empresas em 2006 para 56% em 2012. Mais ainda, a participação das empresas a providenciar formação dos seus trabalhadores baixou desde 2006. </w:t>
      </w:r>
      <w:r w:rsidR="008310B0" w:rsidRPr="00CF3673">
        <w:rPr>
          <w:lang w:val="pt-PT"/>
        </w:rPr>
        <w:t>Mais pesquisas são necessárias para compreender a evolução da produtividade entre as empresas manufactureiras moçambicanas, dado que o ganho da produtividade no sector industrial deverá ser a principal meta da política como forma de assegurar crescimento integrado.</w:t>
      </w:r>
      <w:r w:rsidRPr="00CF3673">
        <w:rPr>
          <w:lang w:val="pt-PT"/>
        </w:rPr>
        <w:t xml:space="preserve"> </w:t>
      </w:r>
    </w:p>
    <w:p w:rsidR="008310B0" w:rsidRPr="00CF3673" w:rsidRDefault="008310B0" w:rsidP="001E664B">
      <w:pPr>
        <w:pStyle w:val="MainText"/>
        <w:numPr>
          <w:ilvl w:val="0"/>
          <w:numId w:val="15"/>
        </w:numPr>
        <w:rPr>
          <w:lang w:val="pt-PT"/>
        </w:rPr>
      </w:pPr>
      <w:r w:rsidRPr="00CF3673">
        <w:rPr>
          <w:lang w:val="pt-PT"/>
        </w:rPr>
        <w:t xml:space="preserve">O salario </w:t>
      </w:r>
      <w:r w:rsidR="00761AD0" w:rsidRPr="00CF3673">
        <w:rPr>
          <w:lang w:val="pt-PT"/>
        </w:rPr>
        <w:t>mínimo</w:t>
      </w:r>
      <w:r w:rsidRPr="00CF3673">
        <w:rPr>
          <w:lang w:val="pt-PT"/>
        </w:rPr>
        <w:t xml:space="preserve"> continua a jogar um papel central na fixação de </w:t>
      </w:r>
      <w:r w:rsidR="00761AD0" w:rsidRPr="00CF3673">
        <w:rPr>
          <w:lang w:val="pt-PT"/>
        </w:rPr>
        <w:t>salários</w:t>
      </w:r>
      <w:r w:rsidRPr="00CF3673">
        <w:rPr>
          <w:lang w:val="pt-PT"/>
        </w:rPr>
        <w:t xml:space="preserve"> em </w:t>
      </w:r>
      <w:r w:rsidR="00761AD0" w:rsidRPr="00CF3673">
        <w:rPr>
          <w:lang w:val="pt-PT"/>
        </w:rPr>
        <w:t>Moçambique</w:t>
      </w:r>
      <w:r w:rsidRPr="00CF3673">
        <w:rPr>
          <w:lang w:val="pt-PT"/>
        </w:rPr>
        <w:t xml:space="preserve">. As empresas pagam salario mínimo a 25% dos seus trabalhadores, mas aliado a isto, muitos salários </w:t>
      </w:r>
      <w:r w:rsidRPr="00CF3673">
        <w:rPr>
          <w:lang w:val="pt-PT"/>
        </w:rPr>
        <w:lastRenderedPageBreak/>
        <w:t xml:space="preserve">são fixados como funções do salario mínimo, significando que o salario mínimo tem implicações para a grande parte do mercado laboral (formal). Contudo, poucos trabalhadores recebem salário mínimo em 2012 do que em 2006. Foi indicado que é cada vez mais difícil especialmente para as micro e empresas informais pagarem salario mínimo dado que este salario tem estado a crescer acima da inflação (o salário mínimo aumentou em 115% de 2006 a 2011, enquanto o nível de preço aumentou em 60% durante o mesmo </w:t>
      </w:r>
      <w:r w:rsidR="00761AD0" w:rsidRPr="00CF3673">
        <w:rPr>
          <w:lang w:val="pt-PT"/>
        </w:rPr>
        <w:t>período</w:t>
      </w:r>
      <w:r w:rsidRPr="00CF3673">
        <w:rPr>
          <w:lang w:val="pt-PT"/>
        </w:rPr>
        <w:t xml:space="preserve">). Foi demonstrado que o </w:t>
      </w:r>
      <w:r w:rsidR="00761AD0" w:rsidRPr="00CF3673">
        <w:rPr>
          <w:lang w:val="pt-PT"/>
        </w:rPr>
        <w:t>salário</w:t>
      </w:r>
      <w:r w:rsidRPr="00CF3673">
        <w:rPr>
          <w:lang w:val="pt-PT"/>
        </w:rPr>
        <w:t xml:space="preserve"> mínimo esta acima do valor da mediana adicionada por </w:t>
      </w:r>
      <w:r w:rsidR="00761AD0" w:rsidRPr="00CF3673">
        <w:rPr>
          <w:lang w:val="pt-PT"/>
        </w:rPr>
        <w:t>trabalhador</w:t>
      </w:r>
      <w:r w:rsidRPr="00CF3673">
        <w:rPr>
          <w:lang w:val="pt-PT"/>
        </w:rPr>
        <w:t xml:space="preserve"> no sector informal e </w:t>
      </w:r>
      <w:r w:rsidR="00761AD0" w:rsidRPr="00CF3673">
        <w:rPr>
          <w:lang w:val="pt-PT"/>
        </w:rPr>
        <w:t>microempresas</w:t>
      </w:r>
      <w:r w:rsidRPr="00CF3673">
        <w:rPr>
          <w:lang w:val="pt-PT"/>
        </w:rPr>
        <w:t xml:space="preserve">. Dada a importância do salario </w:t>
      </w:r>
      <w:r w:rsidR="00271545" w:rsidRPr="00CF3673">
        <w:rPr>
          <w:lang w:val="pt-PT"/>
        </w:rPr>
        <w:t xml:space="preserve">mínimo em </w:t>
      </w:r>
      <w:r w:rsidR="00761AD0" w:rsidRPr="00CF3673">
        <w:rPr>
          <w:lang w:val="pt-PT"/>
        </w:rPr>
        <w:t>Moçambique</w:t>
      </w:r>
      <w:r w:rsidR="00271545" w:rsidRPr="00CF3673">
        <w:rPr>
          <w:lang w:val="pt-PT"/>
        </w:rPr>
        <w:t xml:space="preserve">, os fazedores de politicas deverão ter em mente não deixar o aumento do salario mínimo aumentar em demasia quando a </w:t>
      </w:r>
      <w:r w:rsidR="00761AD0" w:rsidRPr="00CF3673">
        <w:rPr>
          <w:lang w:val="pt-PT"/>
        </w:rPr>
        <w:t>produtividade</w:t>
      </w:r>
      <w:r w:rsidR="00271545" w:rsidRPr="00CF3673">
        <w:rPr>
          <w:lang w:val="pt-PT"/>
        </w:rPr>
        <w:t xml:space="preserve"> estagnou.</w:t>
      </w:r>
    </w:p>
    <w:p w:rsidR="00271545" w:rsidRPr="00CF3673" w:rsidRDefault="00271545" w:rsidP="001E664B">
      <w:pPr>
        <w:pStyle w:val="MainText"/>
        <w:numPr>
          <w:ilvl w:val="0"/>
          <w:numId w:val="15"/>
        </w:numPr>
        <w:rPr>
          <w:lang w:val="pt-PT"/>
        </w:rPr>
      </w:pPr>
      <w:r w:rsidRPr="00CF3673">
        <w:rPr>
          <w:lang w:val="pt-PT"/>
        </w:rPr>
        <w:t xml:space="preserve">Acesso ao credito e o custo do financiamento do negócio continua no topo de lista como dos principais constrangimentos mesmo que as empresas em media se sintam menos constrangidas por este factor do que 2006. Acesso aos mercado financeiros terá modestamente melhorado desde 2006, mas 23% das empresas na amostra continuam a ser constrangidos com o acesso ao </w:t>
      </w:r>
      <w:r w:rsidR="007E2C0A" w:rsidRPr="00CF3673">
        <w:rPr>
          <w:lang w:val="pt-PT"/>
        </w:rPr>
        <w:t>crédito</w:t>
      </w:r>
      <w:r w:rsidRPr="00CF3673">
        <w:rPr>
          <w:lang w:val="pt-PT"/>
        </w:rPr>
        <w:t xml:space="preserve"> e a maioria desta empresas ainda financiam investimento com recursos próprios. As </w:t>
      </w:r>
      <w:r w:rsidR="00761AD0" w:rsidRPr="00CF3673">
        <w:rPr>
          <w:lang w:val="pt-PT"/>
        </w:rPr>
        <w:t>microempresas</w:t>
      </w:r>
      <w:r w:rsidRPr="00CF3673">
        <w:rPr>
          <w:lang w:val="pt-PT"/>
        </w:rPr>
        <w:t xml:space="preserve"> </w:t>
      </w:r>
      <w:r w:rsidR="007E2C0A" w:rsidRPr="00CF3673">
        <w:rPr>
          <w:lang w:val="pt-PT"/>
        </w:rPr>
        <w:t>tê</w:t>
      </w:r>
      <w:r w:rsidRPr="00CF3673">
        <w:rPr>
          <w:lang w:val="pt-PT"/>
        </w:rPr>
        <w:t>m</w:t>
      </w:r>
      <w:r w:rsidR="007E2C0A" w:rsidRPr="00CF3673">
        <w:rPr>
          <w:lang w:val="pt-PT"/>
        </w:rPr>
        <w:t xml:space="preserve"> maior propensão de serem constrangidas com problemas de crédito que as </w:t>
      </w:r>
      <w:r w:rsidR="00761AD0" w:rsidRPr="00CF3673">
        <w:rPr>
          <w:lang w:val="pt-PT"/>
        </w:rPr>
        <w:t>grandes</w:t>
      </w:r>
      <w:r w:rsidR="007E2C0A" w:rsidRPr="00CF3673">
        <w:rPr>
          <w:lang w:val="pt-PT"/>
        </w:rPr>
        <w:t xml:space="preserve"> empresas, muito porque </w:t>
      </w:r>
      <w:r w:rsidR="00761AD0" w:rsidRPr="00CF3673">
        <w:rPr>
          <w:lang w:val="pt-PT"/>
        </w:rPr>
        <w:t>aquelas</w:t>
      </w:r>
      <w:r w:rsidR="007E2C0A" w:rsidRPr="00CF3673">
        <w:rPr>
          <w:lang w:val="pt-PT"/>
        </w:rPr>
        <w:t xml:space="preserve"> não conseguem satisfazer os requisitos em relação das garantias e os procedimentos de aplicação. Duma maneira geral, crédito continua a ser um constrangimento importante, mas a avaliação subjectiva exagera a real extensão do constrangimento ao crédito que confronta o sector manufactureiro.</w:t>
      </w:r>
      <w:r w:rsidRPr="00CF3673">
        <w:rPr>
          <w:lang w:val="pt-PT"/>
        </w:rPr>
        <w:t xml:space="preserve"> </w:t>
      </w:r>
    </w:p>
    <w:p w:rsidR="007E2C0A" w:rsidRPr="00CF3673" w:rsidRDefault="007E2C0A" w:rsidP="001E664B">
      <w:pPr>
        <w:pStyle w:val="MainText"/>
        <w:numPr>
          <w:ilvl w:val="0"/>
          <w:numId w:val="15"/>
        </w:numPr>
        <w:rPr>
          <w:lang w:val="pt-PT"/>
        </w:rPr>
      </w:pPr>
      <w:r w:rsidRPr="00CF3673">
        <w:rPr>
          <w:lang w:val="pt-PT"/>
        </w:rPr>
        <w:t xml:space="preserve">A corrupção é entendida como um constrangimento seria em </w:t>
      </w:r>
      <w:r w:rsidR="00761AD0" w:rsidRPr="00CF3673">
        <w:rPr>
          <w:lang w:val="pt-PT"/>
        </w:rPr>
        <w:t>relação</w:t>
      </w:r>
      <w:r w:rsidRPr="00CF3673">
        <w:rPr>
          <w:lang w:val="pt-PT"/>
        </w:rPr>
        <w:t xml:space="preserve"> a 2006, e actualmente é dos constrangimentos mais severos. 54% das empresas na amostra pagam suborno e a media dos valores pagos são próximo de 10% das vendas. As empresas informais têm maior propensão em pagar subornos que as formais, indicando a relevância do “suborno para esconder”, por hipótese. </w:t>
      </w:r>
    </w:p>
    <w:p w:rsidR="007E2C0A" w:rsidRPr="00CF3673" w:rsidRDefault="007E2C0A" w:rsidP="001E664B">
      <w:pPr>
        <w:pStyle w:val="MainText"/>
        <w:numPr>
          <w:ilvl w:val="0"/>
          <w:numId w:val="15"/>
        </w:numPr>
        <w:rPr>
          <w:lang w:val="pt-PT"/>
        </w:rPr>
      </w:pPr>
      <w:r w:rsidRPr="00CF3673">
        <w:rPr>
          <w:lang w:val="pt-PT"/>
        </w:rPr>
        <w:t xml:space="preserve">Enquanto a </w:t>
      </w:r>
      <w:r w:rsidR="00761AD0" w:rsidRPr="00CF3673">
        <w:rPr>
          <w:lang w:val="pt-PT"/>
        </w:rPr>
        <w:t>proporção</w:t>
      </w:r>
      <w:r w:rsidRPr="00CF3673">
        <w:rPr>
          <w:lang w:val="pt-PT"/>
        </w:rPr>
        <w:t xml:space="preserve"> das vendas para </w:t>
      </w:r>
      <w:r w:rsidR="00761AD0" w:rsidRPr="00CF3673">
        <w:rPr>
          <w:lang w:val="pt-PT"/>
        </w:rPr>
        <w:t>propósito</w:t>
      </w:r>
      <w:r w:rsidRPr="00CF3673">
        <w:rPr>
          <w:lang w:val="pt-PT"/>
        </w:rPr>
        <w:t xml:space="preserve"> de impostos aumentou em todos os tipos de empresas, </w:t>
      </w:r>
      <w:r w:rsidR="00382721" w:rsidRPr="00CF3673">
        <w:rPr>
          <w:lang w:val="pt-PT"/>
        </w:rPr>
        <w:t xml:space="preserve">os valores são diferentes ao longo das cidades, indicando que a colecta de imposto não é realizada com o mesmo nível de eficiência no país. Nalgumas cidades- nomeadamente Nacala, Tete, </w:t>
      </w:r>
      <w:proofErr w:type="spellStart"/>
      <w:r w:rsidR="00382721" w:rsidRPr="00CF3673">
        <w:rPr>
          <w:lang w:val="pt-PT"/>
        </w:rPr>
        <w:t>Moatize</w:t>
      </w:r>
      <w:proofErr w:type="spellEnd"/>
      <w:r w:rsidR="00382721" w:rsidRPr="00CF3673">
        <w:rPr>
          <w:lang w:val="pt-PT"/>
        </w:rPr>
        <w:t xml:space="preserve"> e </w:t>
      </w:r>
      <w:proofErr w:type="spellStart"/>
      <w:r w:rsidR="00761AD0" w:rsidRPr="00CF3673">
        <w:rPr>
          <w:lang w:val="pt-PT"/>
        </w:rPr>
        <w:t>Chókwe</w:t>
      </w:r>
      <w:proofErr w:type="spellEnd"/>
      <w:r w:rsidR="00382721" w:rsidRPr="00CF3673">
        <w:rPr>
          <w:lang w:val="pt-PT"/>
        </w:rPr>
        <w:t xml:space="preserve"> existe </w:t>
      </w:r>
      <w:r w:rsidR="00761AD0" w:rsidRPr="00CF3673">
        <w:rPr>
          <w:lang w:val="pt-PT"/>
        </w:rPr>
        <w:t>espaço</w:t>
      </w:r>
      <w:r w:rsidR="00382721" w:rsidRPr="00CF3673">
        <w:rPr>
          <w:lang w:val="pt-PT"/>
        </w:rPr>
        <w:t xml:space="preserve"> para melhoria na colecta de impostos </w:t>
      </w:r>
    </w:p>
    <w:p w:rsidR="00382721" w:rsidRPr="00CF3673" w:rsidRDefault="00382721" w:rsidP="001E664B">
      <w:pPr>
        <w:pStyle w:val="MainText"/>
        <w:numPr>
          <w:ilvl w:val="0"/>
          <w:numId w:val="15"/>
        </w:numPr>
        <w:rPr>
          <w:lang w:val="pt-PT"/>
        </w:rPr>
      </w:pPr>
      <w:r w:rsidRPr="00CF3673">
        <w:rPr>
          <w:lang w:val="pt-PT"/>
        </w:rPr>
        <w:t xml:space="preserve">O emprego temporário, tendo ele sido um grande problema em 2006 actualmente baixou e representa 8% dos trabalhadores das empresas, e é prevalecente nas pequenas empresas e nas empresas do sector informal. Isto é provavelmente o efeito da nova lei do trabalho de 2007 que drasticamente cortou os custos de despedimento dos trabalhadores. Esta interpretação é </w:t>
      </w:r>
      <w:r w:rsidRPr="00CF3673">
        <w:rPr>
          <w:lang w:val="pt-PT"/>
        </w:rPr>
        <w:lastRenderedPageBreak/>
        <w:t>suportada pelo facto de a maior parte da empresas entender que a lei labora é actualmente menos constrangedor.</w:t>
      </w:r>
    </w:p>
    <w:p w:rsidR="00382721" w:rsidRPr="00CF3673" w:rsidRDefault="00382721" w:rsidP="001E664B">
      <w:pPr>
        <w:pStyle w:val="MainText"/>
        <w:numPr>
          <w:ilvl w:val="0"/>
          <w:numId w:val="15"/>
        </w:numPr>
        <w:rPr>
          <w:lang w:val="pt-PT"/>
        </w:rPr>
      </w:pPr>
      <w:r w:rsidRPr="00CF3673">
        <w:rPr>
          <w:lang w:val="pt-PT"/>
        </w:rPr>
        <w:t xml:space="preserve">A </w:t>
      </w:r>
      <w:r w:rsidR="00761AD0" w:rsidRPr="00CF3673">
        <w:rPr>
          <w:lang w:val="pt-PT"/>
        </w:rPr>
        <w:t>tendência</w:t>
      </w:r>
      <w:r w:rsidRPr="00CF3673">
        <w:rPr>
          <w:lang w:val="pt-PT"/>
        </w:rPr>
        <w:t xml:space="preserve"> das importações </w:t>
      </w:r>
      <w:r w:rsidR="000B7CA1" w:rsidRPr="00CF3673">
        <w:rPr>
          <w:lang w:val="pt-PT"/>
        </w:rPr>
        <w:t xml:space="preserve">era Muito elevada entre as empresas manufactureiras em </w:t>
      </w:r>
      <w:r w:rsidR="00761AD0" w:rsidRPr="00CF3673">
        <w:rPr>
          <w:lang w:val="pt-PT"/>
        </w:rPr>
        <w:t>Moçambique</w:t>
      </w:r>
      <w:r w:rsidR="000B7CA1" w:rsidRPr="00CF3673">
        <w:rPr>
          <w:lang w:val="pt-PT"/>
        </w:rPr>
        <w:t xml:space="preserve"> como resultado da fraca ligação </w:t>
      </w:r>
      <w:r w:rsidR="00761AD0" w:rsidRPr="00CF3673">
        <w:rPr>
          <w:lang w:val="pt-PT"/>
        </w:rPr>
        <w:t>interempresas</w:t>
      </w:r>
      <w:r w:rsidR="000B7CA1" w:rsidRPr="00CF3673">
        <w:rPr>
          <w:lang w:val="pt-PT"/>
        </w:rPr>
        <w:t xml:space="preserve">. Desde 2006, a composição das importações do total de insumos baixou </w:t>
      </w:r>
      <w:r w:rsidR="00761AD0" w:rsidRPr="00CF3673">
        <w:rPr>
          <w:lang w:val="pt-PT"/>
        </w:rPr>
        <w:t>substancialmente</w:t>
      </w:r>
      <w:r w:rsidR="000B7CA1" w:rsidRPr="00CF3673">
        <w:rPr>
          <w:lang w:val="pt-PT"/>
        </w:rPr>
        <w:t xml:space="preserve"> (de 28% para 19% dos insumos) e a disponibilidade de insumos melhorou, tanto em termos de qualidade bem como em termos de quantidade. Mercados altamente interligados é o </w:t>
      </w:r>
      <w:r w:rsidR="00761AD0" w:rsidRPr="00CF3673">
        <w:rPr>
          <w:lang w:val="pt-PT"/>
        </w:rPr>
        <w:t>pré-requisito</w:t>
      </w:r>
      <w:r w:rsidR="000B7CA1" w:rsidRPr="00CF3673">
        <w:rPr>
          <w:lang w:val="pt-PT"/>
        </w:rPr>
        <w:t xml:space="preserve"> para o efeito transbordo, por exemplo da exploração de recursos naturais, assim </w:t>
      </w:r>
      <w:r w:rsidR="00761AD0" w:rsidRPr="00CF3673">
        <w:rPr>
          <w:lang w:val="pt-PT"/>
        </w:rPr>
        <w:t>Moçambique</w:t>
      </w:r>
      <w:r w:rsidR="000B7CA1" w:rsidRPr="00CF3673">
        <w:rPr>
          <w:lang w:val="pt-PT"/>
        </w:rPr>
        <w:t xml:space="preserve"> deve continuar a melhorar a ligação entre empresas e ligação do mercado regional. </w:t>
      </w:r>
    </w:p>
    <w:p w:rsidR="000B7CA1" w:rsidRPr="00CF3673" w:rsidRDefault="000B7CA1" w:rsidP="001E664B">
      <w:pPr>
        <w:pStyle w:val="MainText"/>
        <w:numPr>
          <w:ilvl w:val="0"/>
          <w:numId w:val="15"/>
        </w:numPr>
        <w:rPr>
          <w:lang w:val="pt-PT"/>
        </w:rPr>
      </w:pPr>
      <w:r w:rsidRPr="00CF3673">
        <w:rPr>
          <w:lang w:val="pt-PT"/>
        </w:rPr>
        <w:t xml:space="preserve">O acesso a terra como constrangimento subiu consideravelmente, como mais de metade das empresas em 2012 a sentirem mais constrangidas. Este resultado é mais influenciado pelas empresas em Maputo, Matola e Beira; este assunto é menos pressionante nas pequenas cidades. A provável causa é a combinação da rápida urbanização, inadequada urbanização e a especulação da terra. Dado que o stress da terra irá aumentar em </w:t>
      </w:r>
      <w:r w:rsidR="00761AD0" w:rsidRPr="00CF3673">
        <w:rPr>
          <w:lang w:val="pt-PT"/>
        </w:rPr>
        <w:t>Moçambique</w:t>
      </w:r>
      <w:r w:rsidRPr="00CF3673">
        <w:rPr>
          <w:lang w:val="pt-PT"/>
        </w:rPr>
        <w:t xml:space="preserve">, devera haver uma </w:t>
      </w:r>
      <w:r w:rsidR="00761AD0" w:rsidRPr="00CF3673">
        <w:rPr>
          <w:lang w:val="pt-PT"/>
        </w:rPr>
        <w:t>prudente</w:t>
      </w:r>
      <w:r w:rsidRPr="00CF3673">
        <w:rPr>
          <w:lang w:val="pt-PT"/>
        </w:rPr>
        <w:t xml:space="preserve"> gestão da terra urbana e coordenar os vários interesses relevantes (por exemplo habitação, industria e espaços </w:t>
      </w:r>
      <w:r w:rsidR="00761AD0" w:rsidRPr="00CF3673">
        <w:rPr>
          <w:lang w:val="pt-PT"/>
        </w:rPr>
        <w:t>públicos</w:t>
      </w:r>
      <w:r w:rsidRPr="00CF3673">
        <w:rPr>
          <w:lang w:val="pt-PT"/>
        </w:rPr>
        <w:t>).</w:t>
      </w:r>
    </w:p>
    <w:p w:rsidR="000B7CA1" w:rsidRPr="00CF3673" w:rsidRDefault="000B7CA1" w:rsidP="001E664B">
      <w:pPr>
        <w:pStyle w:val="MainText"/>
        <w:rPr>
          <w:lang w:val="pt-PT"/>
        </w:rPr>
      </w:pPr>
      <w:r w:rsidRPr="00CF3673">
        <w:rPr>
          <w:lang w:val="pt-PT"/>
        </w:rPr>
        <w:t xml:space="preserve">Concluindo, neste Relatório </w:t>
      </w:r>
      <w:r w:rsidR="00761AD0" w:rsidRPr="00CF3673">
        <w:rPr>
          <w:lang w:val="pt-PT"/>
        </w:rPr>
        <w:t>tínhamos</w:t>
      </w:r>
      <w:r w:rsidRPr="00CF3673">
        <w:rPr>
          <w:lang w:val="pt-PT"/>
        </w:rPr>
        <w:t xml:space="preserve"> a </w:t>
      </w:r>
      <w:r w:rsidR="00761AD0" w:rsidRPr="00CF3673">
        <w:rPr>
          <w:lang w:val="pt-PT"/>
        </w:rPr>
        <w:t>intenção</w:t>
      </w:r>
      <w:r w:rsidRPr="00CF3673">
        <w:rPr>
          <w:lang w:val="pt-PT"/>
        </w:rPr>
        <w:t xml:space="preserve"> de trazer o que se pode aprender da </w:t>
      </w:r>
      <w:r w:rsidR="0037699D" w:rsidRPr="00CF3673">
        <w:rPr>
          <w:lang w:val="pt-PT"/>
        </w:rPr>
        <w:t>análise</w:t>
      </w:r>
      <w:r w:rsidRPr="00CF3673">
        <w:rPr>
          <w:lang w:val="pt-PT"/>
        </w:rPr>
        <w:t xml:space="preserve"> descritiva </w:t>
      </w:r>
      <w:r w:rsidR="0037699D" w:rsidRPr="00CF3673">
        <w:rPr>
          <w:lang w:val="pt-PT"/>
        </w:rPr>
        <w:t>do inquérito</w:t>
      </w:r>
      <w:r w:rsidRPr="00CF3673">
        <w:rPr>
          <w:lang w:val="pt-PT"/>
        </w:rPr>
        <w:t xml:space="preserve"> </w:t>
      </w:r>
      <w:r w:rsidR="0037699D" w:rsidRPr="00CF3673">
        <w:rPr>
          <w:lang w:val="pt-PT"/>
        </w:rPr>
        <w:t>à</w:t>
      </w:r>
      <w:r w:rsidRPr="00CF3673">
        <w:rPr>
          <w:lang w:val="pt-PT"/>
        </w:rPr>
        <w:t xml:space="preserve">s empresas manufactureira (IIM2012). </w:t>
      </w:r>
      <w:r w:rsidR="0037699D" w:rsidRPr="00CF3673">
        <w:rPr>
          <w:lang w:val="pt-PT"/>
        </w:rPr>
        <w:t>Decidimos sublinhar assuntos que esperamos que são de interesse dos fazedores de políticas. Naturalmente, muitos dos assuntos abordados merecem analise mais profunda. Esperamos que este relatório sirva como ancora e irá inspirar outros estudos sobre o desenvolvimento do sector privado em Moçambique.</w:t>
      </w:r>
    </w:p>
    <w:p w:rsidR="0001484F" w:rsidRPr="00CF3673" w:rsidRDefault="0001484F" w:rsidP="001E664B">
      <w:pPr>
        <w:pStyle w:val="MainText"/>
        <w:rPr>
          <w:lang w:val="pt-PT"/>
        </w:rPr>
      </w:pPr>
      <w:r w:rsidRPr="00CF3673">
        <w:rPr>
          <w:lang w:val="pt-PT"/>
        </w:rPr>
        <w:br w:type="page"/>
      </w:r>
    </w:p>
    <w:p w:rsidR="00421EF3" w:rsidRPr="00323980" w:rsidRDefault="00421EF3" w:rsidP="001E664B">
      <w:pPr>
        <w:pStyle w:val="ChapterTitle"/>
        <w:rPr>
          <w:lang w:val="en-GB"/>
        </w:rPr>
      </w:pPr>
      <w:bookmarkStart w:id="100" w:name="_Toc360720412"/>
      <w:r w:rsidRPr="00323980">
        <w:rPr>
          <w:lang w:val="en-GB"/>
        </w:rPr>
        <w:lastRenderedPageBreak/>
        <w:t>Literatur</w:t>
      </w:r>
      <w:bookmarkEnd w:id="100"/>
      <w:r w:rsidR="0037699D" w:rsidRPr="00323980">
        <w:rPr>
          <w:lang w:val="en-GB"/>
        </w:rPr>
        <w:t>a</w:t>
      </w:r>
    </w:p>
    <w:p w:rsidR="005A0BC4" w:rsidRPr="00323980" w:rsidRDefault="005A0BC4" w:rsidP="009B3E73">
      <w:pPr>
        <w:pStyle w:val="MainText"/>
        <w:rPr>
          <w:lang w:val="en-GB"/>
        </w:rPr>
      </w:pPr>
      <w:r w:rsidRPr="00323980">
        <w:rPr>
          <w:lang w:val="en-GB"/>
        </w:rPr>
        <w:t xml:space="preserve">Barr, A.M. (2000), “Social Capital and Technical Information Flows in the Ghanaian Manufacturing Sector”, </w:t>
      </w:r>
      <w:r w:rsidRPr="00323980">
        <w:rPr>
          <w:i/>
          <w:lang w:val="en-GB"/>
        </w:rPr>
        <w:t>Oxford Economic Papers</w:t>
      </w:r>
      <w:r w:rsidRPr="00323980">
        <w:rPr>
          <w:lang w:val="en-GB"/>
        </w:rPr>
        <w:t>, Vol. 52, pp. 539-559.</w:t>
      </w:r>
    </w:p>
    <w:p w:rsidR="005A0BC4" w:rsidRPr="00CF3673" w:rsidRDefault="005A0BC4" w:rsidP="009B3E73">
      <w:pPr>
        <w:pStyle w:val="MainText"/>
        <w:rPr>
          <w:lang w:val="pt-PT"/>
        </w:rPr>
      </w:pPr>
      <w:r w:rsidRPr="00323980">
        <w:rPr>
          <w:lang w:val="en-GB"/>
        </w:rPr>
        <w:t xml:space="preserve">Bigsten, A.P. et al. </w:t>
      </w:r>
      <w:r w:rsidRPr="00CF3673">
        <w:rPr>
          <w:lang w:val="pt-PT"/>
        </w:rPr>
        <w:t>(2000), “</w:t>
      </w:r>
      <w:proofErr w:type="spellStart"/>
      <w:r w:rsidRPr="00CF3673">
        <w:rPr>
          <w:lang w:val="pt-PT"/>
        </w:rPr>
        <w:t>Contract</w:t>
      </w:r>
      <w:proofErr w:type="spellEnd"/>
      <w:r w:rsidRPr="00CF3673">
        <w:rPr>
          <w:lang w:val="pt-PT"/>
        </w:rPr>
        <w:t xml:space="preserve"> </w:t>
      </w:r>
      <w:proofErr w:type="spellStart"/>
      <w:r w:rsidRPr="00CF3673">
        <w:rPr>
          <w:lang w:val="pt-PT"/>
        </w:rPr>
        <w:t>Flexibility</w:t>
      </w:r>
      <w:proofErr w:type="spellEnd"/>
      <w:r w:rsidRPr="00CF3673">
        <w:rPr>
          <w:lang w:val="pt-PT"/>
        </w:rPr>
        <w:t xml:space="preserve"> </w:t>
      </w:r>
      <w:proofErr w:type="spellStart"/>
      <w:r w:rsidRPr="00CF3673">
        <w:rPr>
          <w:lang w:val="pt-PT"/>
        </w:rPr>
        <w:t>and</w:t>
      </w:r>
      <w:proofErr w:type="spellEnd"/>
      <w:r w:rsidRPr="00CF3673">
        <w:rPr>
          <w:lang w:val="pt-PT"/>
        </w:rPr>
        <w:t xml:space="preserve"> Dispute </w:t>
      </w:r>
      <w:proofErr w:type="spellStart"/>
      <w:r w:rsidRPr="00CF3673">
        <w:rPr>
          <w:lang w:val="pt-PT"/>
        </w:rPr>
        <w:t>Resolution</w:t>
      </w:r>
      <w:proofErr w:type="spellEnd"/>
      <w:r w:rsidRPr="00CF3673">
        <w:rPr>
          <w:lang w:val="pt-PT"/>
        </w:rPr>
        <w:t xml:space="preserve"> in </w:t>
      </w:r>
      <w:proofErr w:type="spellStart"/>
      <w:r w:rsidRPr="00CF3673">
        <w:rPr>
          <w:lang w:val="pt-PT"/>
        </w:rPr>
        <w:t>African</w:t>
      </w:r>
      <w:proofErr w:type="spellEnd"/>
      <w:r w:rsidRPr="00CF3673">
        <w:rPr>
          <w:lang w:val="pt-PT"/>
        </w:rPr>
        <w:t xml:space="preserve"> </w:t>
      </w:r>
      <w:proofErr w:type="spellStart"/>
      <w:r w:rsidRPr="00CF3673">
        <w:rPr>
          <w:lang w:val="pt-PT"/>
        </w:rPr>
        <w:t>Manufacturing</w:t>
      </w:r>
      <w:proofErr w:type="spellEnd"/>
      <w:r w:rsidRPr="00CF3673">
        <w:rPr>
          <w:lang w:val="pt-PT"/>
        </w:rPr>
        <w:t xml:space="preserve">”, </w:t>
      </w:r>
      <w:proofErr w:type="spellStart"/>
      <w:r w:rsidRPr="00CF3673">
        <w:rPr>
          <w:i/>
          <w:lang w:val="pt-PT"/>
        </w:rPr>
        <w:t>Journal</w:t>
      </w:r>
      <w:proofErr w:type="spellEnd"/>
      <w:r w:rsidRPr="00CF3673">
        <w:rPr>
          <w:i/>
          <w:lang w:val="pt-PT"/>
        </w:rPr>
        <w:t xml:space="preserve"> </w:t>
      </w:r>
      <w:proofErr w:type="spellStart"/>
      <w:r w:rsidRPr="00CF3673">
        <w:rPr>
          <w:i/>
          <w:lang w:val="pt-PT"/>
        </w:rPr>
        <w:t>of</w:t>
      </w:r>
      <w:proofErr w:type="spellEnd"/>
      <w:r w:rsidRPr="00CF3673">
        <w:rPr>
          <w:i/>
          <w:lang w:val="pt-PT"/>
        </w:rPr>
        <w:t xml:space="preserve"> </w:t>
      </w:r>
      <w:proofErr w:type="spellStart"/>
      <w:r w:rsidRPr="00CF3673">
        <w:rPr>
          <w:i/>
          <w:lang w:val="pt-PT"/>
        </w:rPr>
        <w:t>Development</w:t>
      </w:r>
      <w:proofErr w:type="spellEnd"/>
      <w:r w:rsidRPr="00CF3673">
        <w:rPr>
          <w:i/>
          <w:lang w:val="pt-PT"/>
        </w:rPr>
        <w:t xml:space="preserve"> </w:t>
      </w:r>
      <w:proofErr w:type="spellStart"/>
      <w:r w:rsidRPr="00CF3673">
        <w:rPr>
          <w:i/>
          <w:lang w:val="pt-PT"/>
        </w:rPr>
        <w:t>Studies</w:t>
      </w:r>
      <w:proofErr w:type="spellEnd"/>
      <w:r w:rsidRPr="00CF3673">
        <w:rPr>
          <w:lang w:val="pt-PT"/>
        </w:rPr>
        <w:t>, Vol. 36, No. 4, pp. 1-37.</w:t>
      </w:r>
    </w:p>
    <w:p w:rsidR="00421EF3" w:rsidRPr="00323980" w:rsidRDefault="00421EF3" w:rsidP="009B3E73">
      <w:pPr>
        <w:pStyle w:val="MainText"/>
        <w:rPr>
          <w:lang w:val="en-GB"/>
        </w:rPr>
      </w:pPr>
      <w:r w:rsidRPr="00323980">
        <w:rPr>
          <w:lang w:val="en-GB"/>
        </w:rPr>
        <w:t xml:space="preserve">Bigsten, A.; Collier, P; Dercon, S.; Fafchamps, M.; Gauthier, B.; Gunning, J.W.; Oduro, A.; Oostendorf, R.; Patillo, C.; Soderbom, M.; Teal, F. and Zeufack, A. (2003), “Credit Constraints in Manufacturing Enterprises in Africa”, </w:t>
      </w:r>
      <w:r w:rsidRPr="00323980">
        <w:rPr>
          <w:i/>
          <w:lang w:val="en-GB"/>
        </w:rPr>
        <w:t>Journal of African Economies</w:t>
      </w:r>
      <w:r w:rsidRPr="00323980">
        <w:rPr>
          <w:lang w:val="en-GB"/>
        </w:rPr>
        <w:t>, vol. 12, pp. 104-125.</w:t>
      </w:r>
    </w:p>
    <w:p w:rsidR="0043095F" w:rsidRPr="00323980" w:rsidRDefault="0043095F" w:rsidP="009B3E73">
      <w:pPr>
        <w:pStyle w:val="MainText"/>
        <w:rPr>
          <w:lang w:val="en-GB"/>
        </w:rPr>
      </w:pPr>
      <w:r w:rsidRPr="00323980">
        <w:rPr>
          <w:lang w:val="en-GB"/>
        </w:rPr>
        <w:t xml:space="preserve">Bigsten, A.; Collier, P; Dercon, S.; Fafchamps, M.; Gauthier, B.; Gunning, J.W.; Oduro, A.; Oostendorf, R.; Patillo, C.; Söderbom, M.; Teal, F. and Zeufack, A. (2004), “Do African Manufacturing Firms Learn from Exporting?”, </w:t>
      </w:r>
      <w:r w:rsidRPr="00323980">
        <w:rPr>
          <w:i/>
          <w:lang w:val="en-GB"/>
        </w:rPr>
        <w:t>The Journal of Development Studies</w:t>
      </w:r>
      <w:r w:rsidRPr="00323980">
        <w:rPr>
          <w:lang w:val="en-GB"/>
        </w:rPr>
        <w:t>, Vol. 40, No. 3, pp. 115-141.</w:t>
      </w:r>
    </w:p>
    <w:p w:rsidR="006040B4" w:rsidRPr="00323980" w:rsidRDefault="006040B4" w:rsidP="009B3E73">
      <w:pPr>
        <w:pStyle w:val="MainText"/>
        <w:rPr>
          <w:lang w:val="en-GB"/>
        </w:rPr>
      </w:pPr>
      <w:r w:rsidRPr="00323980">
        <w:rPr>
          <w:lang w:val="en-GB"/>
        </w:rPr>
        <w:t>Bigsten Arne and Söderbom, Måns (2006): "What Have We Learned from a Decade of Manufacturing Enterprise Surveys in Africa?</w:t>
      </w:r>
      <w:proofErr w:type="gramStart"/>
      <w:r w:rsidRPr="00323980">
        <w:rPr>
          <w:lang w:val="en-GB"/>
        </w:rPr>
        <w:t>",</w:t>
      </w:r>
      <w:proofErr w:type="gramEnd"/>
      <w:r w:rsidRPr="00323980">
        <w:rPr>
          <w:lang w:val="en-GB"/>
        </w:rPr>
        <w:t xml:space="preserve"> World Bank Research Observer, World Bank Group, Vol. 21, No. 2, pp. 241-265.</w:t>
      </w:r>
    </w:p>
    <w:p w:rsidR="00421EF3" w:rsidRPr="00323980" w:rsidRDefault="00421EF3" w:rsidP="009B3E73">
      <w:pPr>
        <w:pStyle w:val="MainText"/>
        <w:rPr>
          <w:lang w:val="en-GB"/>
        </w:rPr>
      </w:pPr>
      <w:r w:rsidRPr="00323980">
        <w:rPr>
          <w:lang w:val="en-GB"/>
        </w:rPr>
        <w:t>Bila, Sandra and Rand, John (2011), “Reconsidering the Association between Firm-Level Technical Efficiency and Constraints to Doing Business: The Case of Mozambican Manufacturing”, DNEAP discussion paper 71E, Mozambique.</w:t>
      </w:r>
    </w:p>
    <w:p w:rsidR="00513C76" w:rsidRPr="00323980" w:rsidRDefault="00513C76" w:rsidP="009B3E73">
      <w:pPr>
        <w:pStyle w:val="MainText"/>
        <w:rPr>
          <w:lang w:val="en-GB"/>
        </w:rPr>
      </w:pPr>
      <w:r w:rsidRPr="00323980">
        <w:rPr>
          <w:lang w:val="en-GB"/>
        </w:rPr>
        <w:t>Bjerge, Benedikte (2013), Ethnographic fieldwork, University of Copenhagen. Mimeo.</w:t>
      </w:r>
    </w:p>
    <w:p w:rsidR="005A0BC4" w:rsidRPr="00323980" w:rsidRDefault="005A0BC4" w:rsidP="009B3E73">
      <w:pPr>
        <w:pStyle w:val="MainText"/>
        <w:rPr>
          <w:lang w:val="en-GB"/>
        </w:rPr>
      </w:pPr>
      <w:r w:rsidRPr="00323980">
        <w:rPr>
          <w:lang w:val="en-GB"/>
        </w:rPr>
        <w:t>Burt, R. (1992), “Structural Holes. The Social Structure of Competition”, Cambridge MA, Harvard University Press.</w:t>
      </w:r>
    </w:p>
    <w:p w:rsidR="00421EF3" w:rsidRPr="00323980" w:rsidRDefault="00421EF3" w:rsidP="009B3E73">
      <w:pPr>
        <w:pStyle w:val="MainText"/>
        <w:rPr>
          <w:lang w:val="en-GB"/>
        </w:rPr>
      </w:pPr>
      <w:r w:rsidRPr="00323980">
        <w:rPr>
          <w:lang w:val="en-GB"/>
        </w:rPr>
        <w:t>Byiers, Bruce (2008), “Firm Growth Threshold Effects – a case study of Mozambican Manufacturers”.</w:t>
      </w:r>
    </w:p>
    <w:p w:rsidR="00421EF3" w:rsidRPr="00323980" w:rsidRDefault="00421EF3" w:rsidP="009B3E73">
      <w:pPr>
        <w:pStyle w:val="MainText"/>
        <w:rPr>
          <w:lang w:val="en-GB"/>
        </w:rPr>
      </w:pPr>
      <w:r w:rsidRPr="00323980">
        <w:rPr>
          <w:lang w:val="en-GB"/>
        </w:rPr>
        <w:t>Byiers, Bruce (2009), “Informality in Mozambique: Characteristics, Performance and Policy Issues”. Available online here (31</w:t>
      </w:r>
      <w:r w:rsidRPr="00323980">
        <w:rPr>
          <w:vertAlign w:val="superscript"/>
          <w:lang w:val="en-GB"/>
        </w:rPr>
        <w:t>st</w:t>
      </w:r>
      <w:r w:rsidRPr="00323980">
        <w:rPr>
          <w:lang w:val="en-GB"/>
        </w:rPr>
        <w:t xml:space="preserve"> December 2012): </w:t>
      </w:r>
      <w:hyperlink r:id="rId49" w:history="1">
        <w:r w:rsidR="009B3E73" w:rsidRPr="00323980">
          <w:rPr>
            <w:rStyle w:val="Hyperlink"/>
            <w:lang w:val="en-GB"/>
          </w:rPr>
          <w:t>http://www.tipmoz.com/library/resources/documents/</w:t>
        </w:r>
        <w:r w:rsidR="009B3E73" w:rsidRPr="00323980">
          <w:rPr>
            <w:rStyle w:val="Hyperlink"/>
            <w:lang w:val="en-GB"/>
          </w:rPr>
          <w:softHyphen/>
          <w:t>byiers_</w:t>
        </w:r>
        <w:r w:rsidR="009B3E73" w:rsidRPr="00323980">
          <w:rPr>
            <w:rStyle w:val="Hyperlink"/>
            <w:lang w:val="en-GB"/>
          </w:rPr>
          <w:softHyphen/>
          <w:t>informalityinmozambique_181109.pdf</w:t>
        </w:r>
      </w:hyperlink>
    </w:p>
    <w:p w:rsidR="00421EF3" w:rsidRPr="00323980" w:rsidRDefault="00421EF3" w:rsidP="009B3E73">
      <w:pPr>
        <w:pStyle w:val="MainText"/>
        <w:rPr>
          <w:lang w:val="en-GB"/>
        </w:rPr>
      </w:pPr>
      <w:r w:rsidRPr="00323980">
        <w:rPr>
          <w:lang w:val="en-GB"/>
        </w:rPr>
        <w:t xml:space="preserve">Byiers, Bruce; John Rand; Finn Tarp </w:t>
      </w:r>
      <w:r w:rsidR="0012156B" w:rsidRPr="00323980">
        <w:rPr>
          <w:lang w:val="en-GB"/>
        </w:rPr>
        <w:t>and</w:t>
      </w:r>
      <w:r w:rsidRPr="00323980">
        <w:rPr>
          <w:lang w:val="en-GB"/>
        </w:rPr>
        <w:t xml:space="preserve"> Jeanet Bentzen (2010),</w:t>
      </w:r>
      <w:r w:rsidR="008B5BF2" w:rsidRPr="00323980">
        <w:rPr>
          <w:lang w:val="en-GB"/>
        </w:rPr>
        <w:t xml:space="preserve"> </w:t>
      </w:r>
      <w:r w:rsidRPr="00323980">
        <w:rPr>
          <w:lang w:val="en-GB"/>
        </w:rPr>
        <w:t xml:space="preserve">"Credit demand in Mozambican manufacturing", </w:t>
      </w:r>
      <w:r w:rsidRPr="00323980">
        <w:rPr>
          <w:i/>
          <w:lang w:val="en-GB"/>
        </w:rPr>
        <w:t>Journal of International Development</w:t>
      </w:r>
      <w:r w:rsidRPr="00323980">
        <w:rPr>
          <w:lang w:val="en-GB"/>
        </w:rPr>
        <w:t>, vol. 22(1), pp. 37-55.</w:t>
      </w:r>
    </w:p>
    <w:p w:rsidR="00421EF3" w:rsidRPr="00CF3673" w:rsidRDefault="00421EF3" w:rsidP="009B3E73">
      <w:pPr>
        <w:pStyle w:val="MainText"/>
        <w:rPr>
          <w:lang w:val="pt-PT"/>
        </w:rPr>
      </w:pPr>
      <w:r w:rsidRPr="00CF3673">
        <w:rPr>
          <w:lang w:val="pt-PT"/>
        </w:rPr>
        <w:lastRenderedPageBreak/>
        <w:t xml:space="preserve">Castel-Branco, Carlos N. (2010), “Economia extractiva e desafios de industrialização em Moçambique”, pp. 19-128 in </w:t>
      </w:r>
      <w:r w:rsidRPr="00CF3673">
        <w:rPr>
          <w:i/>
          <w:lang w:val="pt-PT"/>
        </w:rPr>
        <w:t>Economia extractiva e desafios de industrialização em Moçambique</w:t>
      </w:r>
      <w:r w:rsidRPr="00CF3673">
        <w:rPr>
          <w:lang w:val="pt-PT"/>
        </w:rPr>
        <w:t>, IESE, Maputo, Mozambique, 2010.</w:t>
      </w:r>
    </w:p>
    <w:p w:rsidR="005A78DA" w:rsidRPr="00CF3673" w:rsidRDefault="005A78DA" w:rsidP="009B3E73">
      <w:pPr>
        <w:pStyle w:val="MainText"/>
        <w:rPr>
          <w:lang w:val="pt-PT"/>
        </w:rPr>
      </w:pPr>
      <w:r w:rsidRPr="00323980">
        <w:rPr>
          <w:lang w:val="en-GB"/>
        </w:rPr>
        <w:t xml:space="preserve">Clarke, George R.G. (2012), “Manufacturing firms in Africa”, chapter 3 in Dinh, Hinh T. and Clarke, George R.G. (eds.) </w:t>
      </w:r>
      <w:r w:rsidRPr="00CF3673">
        <w:rPr>
          <w:i/>
          <w:lang w:val="pt-PT"/>
        </w:rPr>
        <w:t xml:space="preserve">Performance </w:t>
      </w:r>
      <w:proofErr w:type="spellStart"/>
      <w:r w:rsidRPr="00CF3673">
        <w:rPr>
          <w:i/>
          <w:lang w:val="pt-PT"/>
        </w:rPr>
        <w:t>of</w:t>
      </w:r>
      <w:proofErr w:type="spellEnd"/>
      <w:r w:rsidRPr="00CF3673">
        <w:rPr>
          <w:i/>
          <w:lang w:val="pt-PT"/>
        </w:rPr>
        <w:t xml:space="preserve"> </w:t>
      </w:r>
      <w:proofErr w:type="spellStart"/>
      <w:r w:rsidRPr="00CF3673">
        <w:rPr>
          <w:i/>
          <w:lang w:val="pt-PT"/>
        </w:rPr>
        <w:t>Manufacturing</w:t>
      </w:r>
      <w:proofErr w:type="spellEnd"/>
      <w:r w:rsidRPr="00CF3673">
        <w:rPr>
          <w:i/>
          <w:lang w:val="pt-PT"/>
        </w:rPr>
        <w:t xml:space="preserve"> </w:t>
      </w:r>
      <w:proofErr w:type="spellStart"/>
      <w:r w:rsidRPr="00CF3673">
        <w:rPr>
          <w:i/>
          <w:lang w:val="pt-PT"/>
        </w:rPr>
        <w:t>Firms</w:t>
      </w:r>
      <w:proofErr w:type="spellEnd"/>
      <w:r w:rsidRPr="00CF3673">
        <w:rPr>
          <w:i/>
          <w:lang w:val="pt-PT"/>
        </w:rPr>
        <w:t xml:space="preserve"> in Africa – </w:t>
      </w:r>
      <w:proofErr w:type="spellStart"/>
      <w:r w:rsidRPr="00CF3673">
        <w:rPr>
          <w:i/>
          <w:lang w:val="pt-PT"/>
        </w:rPr>
        <w:t>An</w:t>
      </w:r>
      <w:proofErr w:type="spellEnd"/>
      <w:r w:rsidRPr="00CF3673">
        <w:rPr>
          <w:i/>
          <w:lang w:val="pt-PT"/>
        </w:rPr>
        <w:t xml:space="preserve"> </w:t>
      </w:r>
      <w:proofErr w:type="spellStart"/>
      <w:r w:rsidRPr="00CF3673">
        <w:rPr>
          <w:i/>
          <w:lang w:val="pt-PT"/>
        </w:rPr>
        <w:t>Empirical</w:t>
      </w:r>
      <w:proofErr w:type="spellEnd"/>
      <w:r w:rsidRPr="00CF3673">
        <w:rPr>
          <w:i/>
          <w:lang w:val="pt-PT"/>
        </w:rPr>
        <w:t xml:space="preserve"> </w:t>
      </w:r>
      <w:proofErr w:type="spellStart"/>
      <w:r w:rsidRPr="00CF3673">
        <w:rPr>
          <w:i/>
          <w:lang w:val="pt-PT"/>
        </w:rPr>
        <w:t>Analysis</w:t>
      </w:r>
      <w:proofErr w:type="spellEnd"/>
      <w:r w:rsidRPr="00CF3673">
        <w:rPr>
          <w:lang w:val="pt-PT"/>
        </w:rPr>
        <w:t xml:space="preserve">, </w:t>
      </w:r>
      <w:proofErr w:type="spellStart"/>
      <w:r w:rsidRPr="00CF3673">
        <w:rPr>
          <w:lang w:val="pt-PT"/>
        </w:rPr>
        <w:t>the</w:t>
      </w:r>
      <w:proofErr w:type="spellEnd"/>
      <w:r w:rsidRPr="00CF3673">
        <w:rPr>
          <w:lang w:val="pt-PT"/>
        </w:rPr>
        <w:t xml:space="preserve"> </w:t>
      </w:r>
      <w:proofErr w:type="spellStart"/>
      <w:r w:rsidRPr="00CF3673">
        <w:rPr>
          <w:lang w:val="pt-PT"/>
        </w:rPr>
        <w:t>World</w:t>
      </w:r>
      <w:proofErr w:type="spellEnd"/>
      <w:r w:rsidRPr="00CF3673">
        <w:rPr>
          <w:lang w:val="pt-PT"/>
        </w:rPr>
        <w:t xml:space="preserve"> </w:t>
      </w:r>
      <w:proofErr w:type="spellStart"/>
      <w:r w:rsidRPr="00CF3673">
        <w:rPr>
          <w:lang w:val="pt-PT"/>
        </w:rPr>
        <w:t>Bank</w:t>
      </w:r>
      <w:proofErr w:type="spellEnd"/>
      <w:r w:rsidRPr="00CF3673">
        <w:rPr>
          <w:lang w:val="pt-PT"/>
        </w:rPr>
        <w:t>, Washington DC.</w:t>
      </w:r>
    </w:p>
    <w:p w:rsidR="00421EF3" w:rsidRPr="00323980" w:rsidRDefault="00421EF3" w:rsidP="009B3E73">
      <w:pPr>
        <w:pStyle w:val="MainText"/>
        <w:rPr>
          <w:rFonts w:ascii="Calibri" w:hAnsi="Calibri" w:cs="Calibri"/>
          <w:lang w:val="en-GB"/>
        </w:rPr>
      </w:pPr>
      <w:r w:rsidRPr="00323980">
        <w:rPr>
          <w:rFonts w:ascii="Calibri" w:hAnsi="Calibri" w:cs="Calibri"/>
          <w:lang w:val="en-GB"/>
        </w:rPr>
        <w:t>Cochran, W.G. (1977), "Sampling Techniques", A Wiley Publication in Applied Statistics, Wiley and Sons, New York.</w:t>
      </w:r>
    </w:p>
    <w:p w:rsidR="00B9662F" w:rsidRPr="00323980" w:rsidRDefault="00B9662F" w:rsidP="009B3E73">
      <w:pPr>
        <w:pStyle w:val="MainText"/>
        <w:rPr>
          <w:rFonts w:ascii="Calibri" w:hAnsi="Calibri" w:cs="Calibri"/>
          <w:lang w:val="en-GB"/>
        </w:rPr>
      </w:pPr>
      <w:r w:rsidRPr="00323980">
        <w:rPr>
          <w:rFonts w:ascii="Calibri" w:hAnsi="Calibri" w:cs="Calibri"/>
          <w:lang w:val="en-GB"/>
        </w:rPr>
        <w:t>Cruz, António; Newman, Carol; Rand, John and Tarp, Finn (2013), “Learning by Exporting: The Case of Mozambican Manufacturing”, paper prepared under the joint UNU-WIDER/Brookings Institution project Learning to Compete. Forthcoming.</w:t>
      </w:r>
    </w:p>
    <w:p w:rsidR="00421EF3" w:rsidRPr="00323980" w:rsidRDefault="00421EF3" w:rsidP="009B3E73">
      <w:pPr>
        <w:pStyle w:val="MainText"/>
        <w:rPr>
          <w:rFonts w:cs="Times New Roman"/>
          <w:bCs/>
          <w:lang w:val="en-GB"/>
        </w:rPr>
      </w:pPr>
      <w:r w:rsidRPr="00323980">
        <w:rPr>
          <w:lang w:val="en-GB"/>
        </w:rPr>
        <w:t>DNEAP (2006), “</w:t>
      </w:r>
      <w:r w:rsidRPr="00323980">
        <w:rPr>
          <w:rFonts w:cs="Arial"/>
          <w:bCs/>
          <w:lang w:val="en-GB"/>
        </w:rPr>
        <w:t xml:space="preserve">Enterprise Development in Mozambique: Results Based on Manufacturing Surveys Conducted in 2002 and 2006”, </w:t>
      </w:r>
      <w:r w:rsidRPr="00323980">
        <w:rPr>
          <w:rFonts w:cs="Times New Roman"/>
          <w:bCs/>
          <w:i/>
          <w:lang w:val="en-GB"/>
        </w:rPr>
        <w:t>National Directorate of Studies and Policy Analysis</w:t>
      </w:r>
      <w:r w:rsidRPr="00323980">
        <w:rPr>
          <w:rFonts w:cs="Times New Roman"/>
          <w:bCs/>
          <w:lang w:val="en-GB"/>
        </w:rPr>
        <w:t>, Ministry of Planning and Development, Mozambique.</w:t>
      </w:r>
    </w:p>
    <w:p w:rsidR="00421EF3" w:rsidRPr="00323980" w:rsidRDefault="00421EF3" w:rsidP="009B3E73">
      <w:pPr>
        <w:pStyle w:val="MainText"/>
        <w:rPr>
          <w:rFonts w:cs="Times New Roman"/>
          <w:bCs/>
          <w:lang w:val="en-GB"/>
        </w:rPr>
      </w:pPr>
      <w:proofErr w:type="gramStart"/>
      <w:r w:rsidRPr="00323980">
        <w:rPr>
          <w:rFonts w:cs="Times New Roman"/>
          <w:bCs/>
          <w:lang w:val="en-GB"/>
        </w:rPr>
        <w:t xml:space="preserve">DNEAP (2010), “Third National Poverty Assessment”, </w:t>
      </w:r>
      <w:r w:rsidRPr="00323980">
        <w:rPr>
          <w:rFonts w:cs="Times New Roman"/>
          <w:bCs/>
          <w:i/>
          <w:lang w:val="en-GB"/>
        </w:rPr>
        <w:t>National Directorate of Studies and Policy Analysis, Ministry of Planning and Development</w:t>
      </w:r>
      <w:r w:rsidRPr="00323980">
        <w:rPr>
          <w:rFonts w:cs="Times New Roman"/>
          <w:bCs/>
          <w:lang w:val="en-GB"/>
        </w:rPr>
        <w:t>, Mozambique.</w:t>
      </w:r>
      <w:proofErr w:type="gramEnd"/>
    </w:p>
    <w:p w:rsidR="00063143" w:rsidRPr="00323980" w:rsidRDefault="00063143" w:rsidP="009B3E73">
      <w:pPr>
        <w:pStyle w:val="MainText"/>
        <w:rPr>
          <w:lang w:val="en-GB"/>
        </w:rPr>
      </w:pPr>
      <w:r w:rsidRPr="00323980">
        <w:rPr>
          <w:lang w:val="en-GB"/>
        </w:rPr>
        <w:t xml:space="preserve">Doner, R. F. and B. R. Schneider (2000), “Business Associations and Economic Development: Why Some Associations Contribute More Than Others”, </w:t>
      </w:r>
      <w:r w:rsidRPr="00323980">
        <w:rPr>
          <w:i/>
          <w:lang w:val="en-GB"/>
        </w:rPr>
        <w:t>Business and Politics</w:t>
      </w:r>
      <w:r w:rsidRPr="00323980">
        <w:rPr>
          <w:lang w:val="en-GB"/>
        </w:rPr>
        <w:t>, Vol. 2, No. 3, pp. 261-288.</w:t>
      </w:r>
    </w:p>
    <w:p w:rsidR="00594F6A" w:rsidRPr="00323980" w:rsidRDefault="00594F6A" w:rsidP="009B3E73">
      <w:pPr>
        <w:pStyle w:val="MainText"/>
        <w:rPr>
          <w:lang w:val="en-GB"/>
        </w:rPr>
      </w:pPr>
      <w:r w:rsidRPr="00323980">
        <w:rPr>
          <w:lang w:val="en-GB"/>
        </w:rPr>
        <w:t>EDM (2010), “Sumário Estatístico 2010”, Maputo. Available online here (21</w:t>
      </w:r>
      <w:r w:rsidRPr="00323980">
        <w:rPr>
          <w:vertAlign w:val="superscript"/>
          <w:lang w:val="en-GB"/>
        </w:rPr>
        <w:t>st</w:t>
      </w:r>
      <w:r w:rsidRPr="00323980">
        <w:rPr>
          <w:lang w:val="en-GB"/>
        </w:rPr>
        <w:t xml:space="preserve"> March 2013): </w:t>
      </w:r>
      <w:hyperlink r:id="rId50" w:history="1">
        <w:r w:rsidR="001E1137" w:rsidRPr="00323980">
          <w:rPr>
            <w:rStyle w:val="Hyperlink"/>
            <w:lang w:val="en-GB"/>
          </w:rPr>
          <w:t>http://www.</w:t>
        </w:r>
        <w:r w:rsidR="001E1137" w:rsidRPr="00323980">
          <w:rPr>
            <w:rStyle w:val="Hyperlink"/>
            <w:lang w:val="en-GB"/>
          </w:rPr>
          <w:softHyphen/>
          <w:t>edm.co.mz/index.php?option=com_docman&amp;task=doc_download&amp;gid=80&amp;Itemid=68&amp;lang=pt</w:t>
        </w:r>
      </w:hyperlink>
    </w:p>
    <w:p w:rsidR="005A0BC4" w:rsidRPr="00323980" w:rsidRDefault="005A0BC4" w:rsidP="009B3E73">
      <w:pPr>
        <w:pStyle w:val="MainText"/>
        <w:rPr>
          <w:lang w:val="en-GB"/>
        </w:rPr>
      </w:pPr>
      <w:r w:rsidRPr="00323980">
        <w:rPr>
          <w:lang w:val="en-GB"/>
        </w:rPr>
        <w:t xml:space="preserve">Fafchamps, M. (1992), “Solidarity Networks in Preindustrial Societies: Rational Peasants with a Moral Economy”, </w:t>
      </w:r>
      <w:r w:rsidRPr="00323980">
        <w:rPr>
          <w:i/>
          <w:lang w:val="en-GB"/>
        </w:rPr>
        <w:t>Economic Development and Cultural Change</w:t>
      </w:r>
      <w:r w:rsidRPr="00323980">
        <w:rPr>
          <w:lang w:val="en-GB"/>
        </w:rPr>
        <w:t>, Vol. 41, No. 1, pp. 147-174.</w:t>
      </w:r>
    </w:p>
    <w:p w:rsidR="005A0BC4" w:rsidRPr="00323980" w:rsidRDefault="005A0BC4" w:rsidP="009B3E73">
      <w:pPr>
        <w:pStyle w:val="MainText"/>
        <w:rPr>
          <w:lang w:val="en-GB"/>
        </w:rPr>
      </w:pPr>
      <w:proofErr w:type="gramStart"/>
      <w:r w:rsidRPr="00323980">
        <w:rPr>
          <w:lang w:val="en-GB"/>
        </w:rPr>
        <w:t xml:space="preserve">Fafchamps, M. and Minten, B. (2002), “Returns to social network capital among traders”, </w:t>
      </w:r>
      <w:r w:rsidRPr="00323980">
        <w:rPr>
          <w:i/>
          <w:lang w:val="en-GB"/>
        </w:rPr>
        <w:t>Oxford Economic Papers</w:t>
      </w:r>
      <w:r w:rsidRPr="00323980">
        <w:rPr>
          <w:lang w:val="en-GB"/>
        </w:rPr>
        <w:t>, Vol. 54, pp. 173-206.</w:t>
      </w:r>
      <w:proofErr w:type="gramEnd"/>
    </w:p>
    <w:p w:rsidR="005A0BC4" w:rsidRPr="00323980" w:rsidRDefault="005A0BC4" w:rsidP="009B3E73">
      <w:pPr>
        <w:pStyle w:val="MainText"/>
        <w:rPr>
          <w:lang w:val="en-GB"/>
        </w:rPr>
      </w:pPr>
      <w:r w:rsidRPr="00323980">
        <w:rPr>
          <w:lang w:val="en-GB"/>
        </w:rPr>
        <w:t>Fafchamps, M. and Söderbom, M. (2011), “Network Proximity and Business Practices in African Manufacturing”, CSAE Working Paper.</w:t>
      </w:r>
    </w:p>
    <w:p w:rsidR="00421EF3" w:rsidRPr="00CF3673" w:rsidRDefault="00421EF3" w:rsidP="009B3E73">
      <w:pPr>
        <w:pStyle w:val="MainText"/>
        <w:rPr>
          <w:rFonts w:cs="Times New Roman"/>
          <w:bCs/>
          <w:lang w:val="pt-PT"/>
        </w:rPr>
      </w:pPr>
      <w:proofErr w:type="spellStart"/>
      <w:r w:rsidRPr="00CF3673">
        <w:rPr>
          <w:rFonts w:cs="Times New Roman"/>
          <w:bCs/>
          <w:lang w:val="pt-PT"/>
        </w:rPr>
        <w:t>GoM</w:t>
      </w:r>
      <w:proofErr w:type="spellEnd"/>
      <w:r w:rsidRPr="00CF3673">
        <w:rPr>
          <w:rFonts w:cs="Times New Roman"/>
          <w:bCs/>
          <w:lang w:val="pt-PT"/>
        </w:rPr>
        <w:t xml:space="preserve"> (2003), “Regulamento do Licenciamento da Actividade Industrial”, </w:t>
      </w:r>
      <w:r w:rsidRPr="00CF3673">
        <w:rPr>
          <w:rFonts w:cs="Times New Roman"/>
          <w:bCs/>
          <w:i/>
          <w:lang w:val="pt-PT"/>
        </w:rPr>
        <w:t>Boletim da República</w:t>
      </w:r>
      <w:r w:rsidRPr="00CF3673">
        <w:rPr>
          <w:rFonts w:cs="Times New Roman"/>
          <w:bCs/>
          <w:lang w:val="pt-PT"/>
        </w:rPr>
        <w:t>: Decreto n. 39/2003.</w:t>
      </w:r>
    </w:p>
    <w:p w:rsidR="00256A5B" w:rsidRPr="00CF3673" w:rsidRDefault="00256A5B" w:rsidP="009B3E73">
      <w:pPr>
        <w:pStyle w:val="MainText"/>
        <w:rPr>
          <w:rFonts w:cs="Times New Roman"/>
          <w:bCs/>
          <w:lang w:val="pt-PT"/>
        </w:rPr>
      </w:pPr>
      <w:proofErr w:type="spellStart"/>
      <w:r w:rsidRPr="00CF3673">
        <w:rPr>
          <w:rFonts w:cs="Times New Roman"/>
          <w:bCs/>
          <w:lang w:val="pt-PT"/>
        </w:rPr>
        <w:lastRenderedPageBreak/>
        <w:t>GoM</w:t>
      </w:r>
      <w:proofErr w:type="spellEnd"/>
      <w:r w:rsidRPr="00CF3673">
        <w:rPr>
          <w:rFonts w:cs="Times New Roman"/>
          <w:bCs/>
          <w:lang w:val="pt-PT"/>
        </w:rPr>
        <w:t xml:space="preserve"> (2007a), “Lei do Trabalho”, </w:t>
      </w:r>
      <w:r w:rsidRPr="00CF3673">
        <w:rPr>
          <w:rFonts w:cs="Times New Roman"/>
          <w:bCs/>
          <w:i/>
          <w:lang w:val="pt-PT"/>
        </w:rPr>
        <w:t>Boletim da República</w:t>
      </w:r>
      <w:r w:rsidRPr="00CF3673">
        <w:rPr>
          <w:rFonts w:cs="Times New Roman"/>
          <w:bCs/>
          <w:lang w:val="pt-PT"/>
        </w:rPr>
        <w:t>: lei n.º 23/2007.</w:t>
      </w:r>
    </w:p>
    <w:p w:rsidR="00421EF3" w:rsidRPr="00CF3673" w:rsidRDefault="00421EF3" w:rsidP="009B3E73">
      <w:pPr>
        <w:pStyle w:val="MainText"/>
        <w:rPr>
          <w:rFonts w:cs="Times New Roman"/>
          <w:bCs/>
          <w:lang w:val="pt-PT"/>
        </w:rPr>
      </w:pPr>
      <w:proofErr w:type="spellStart"/>
      <w:r w:rsidRPr="00CF3673">
        <w:rPr>
          <w:rFonts w:cs="Times New Roman"/>
          <w:bCs/>
          <w:lang w:val="pt-PT"/>
        </w:rPr>
        <w:t>GoM</w:t>
      </w:r>
      <w:proofErr w:type="spellEnd"/>
      <w:r w:rsidRPr="00CF3673">
        <w:rPr>
          <w:rFonts w:cs="Times New Roman"/>
          <w:bCs/>
          <w:lang w:val="pt-PT"/>
        </w:rPr>
        <w:t xml:space="preserve"> (2007</w:t>
      </w:r>
      <w:r w:rsidR="00256A5B" w:rsidRPr="00CF3673">
        <w:rPr>
          <w:rFonts w:cs="Times New Roman"/>
          <w:bCs/>
          <w:lang w:val="pt-PT"/>
        </w:rPr>
        <w:t>b</w:t>
      </w:r>
      <w:r w:rsidRPr="00CF3673">
        <w:rPr>
          <w:rFonts w:cs="Times New Roman"/>
          <w:bCs/>
          <w:lang w:val="pt-PT"/>
        </w:rPr>
        <w:t xml:space="preserve">), “Política e Estratégia Industrial”, </w:t>
      </w:r>
      <w:r w:rsidRPr="00CF3673">
        <w:rPr>
          <w:rFonts w:cs="Times New Roman"/>
          <w:bCs/>
          <w:i/>
          <w:lang w:val="pt-PT"/>
        </w:rPr>
        <w:t>Boletim da República</w:t>
      </w:r>
      <w:r w:rsidRPr="00CF3673">
        <w:rPr>
          <w:rFonts w:cs="Times New Roman"/>
          <w:bCs/>
          <w:lang w:val="pt-PT"/>
        </w:rPr>
        <w:t>: resolução n. 38/2007.</w:t>
      </w:r>
    </w:p>
    <w:p w:rsidR="00421EF3" w:rsidRPr="00323980" w:rsidRDefault="00421EF3" w:rsidP="009B3E73">
      <w:pPr>
        <w:pStyle w:val="MainText"/>
        <w:rPr>
          <w:lang w:val="en-GB"/>
        </w:rPr>
      </w:pPr>
      <w:proofErr w:type="spellStart"/>
      <w:r w:rsidRPr="00CF3673">
        <w:rPr>
          <w:lang w:val="pt-PT"/>
        </w:rPr>
        <w:t>GoM</w:t>
      </w:r>
      <w:proofErr w:type="spellEnd"/>
      <w:r w:rsidRPr="00CF3673">
        <w:rPr>
          <w:lang w:val="pt-PT"/>
        </w:rPr>
        <w:t xml:space="preserve"> (2010), “Plano Económico e Social para 2010”. </w:t>
      </w:r>
      <w:r w:rsidRPr="00323980">
        <w:rPr>
          <w:lang w:val="en-GB"/>
        </w:rPr>
        <w:t>Available online here (31</w:t>
      </w:r>
      <w:r w:rsidRPr="00323980">
        <w:rPr>
          <w:vertAlign w:val="superscript"/>
          <w:lang w:val="en-GB"/>
        </w:rPr>
        <w:t>st</w:t>
      </w:r>
      <w:r w:rsidRPr="00323980">
        <w:rPr>
          <w:lang w:val="en-GB"/>
        </w:rPr>
        <w:t xml:space="preserve"> December 2012): </w:t>
      </w:r>
      <w:hyperlink r:id="rId51" w:history="1">
        <w:r w:rsidR="001E1137" w:rsidRPr="00323980">
          <w:rPr>
            <w:rStyle w:val="Hyperlink"/>
            <w:lang w:val="en-GB"/>
          </w:rPr>
          <w:t>http://</w:t>
        </w:r>
        <w:r w:rsidR="001E1137" w:rsidRPr="00323980">
          <w:rPr>
            <w:rStyle w:val="Hyperlink"/>
            <w:lang w:val="en-GB"/>
          </w:rPr>
          <w:softHyphen/>
          <w:t>www</w:t>
        </w:r>
        <w:r w:rsidR="001E1137" w:rsidRPr="00323980">
          <w:rPr>
            <w:rStyle w:val="Hyperlink"/>
            <w:lang w:val="en-GB"/>
          </w:rPr>
          <w:softHyphen/>
          <w:t>.</w:t>
        </w:r>
        <w:r w:rsidR="001E1137" w:rsidRPr="00323980">
          <w:rPr>
            <w:rStyle w:val="Hyperlink"/>
            <w:lang w:val="en-GB"/>
          </w:rPr>
          <w:softHyphen/>
          <w:t>portaldogoverno.gov.mz/docs_gov/programa/PES_2010_APROVADO_A_16_de_Abril.pdf/view</w:t>
        </w:r>
      </w:hyperlink>
    </w:p>
    <w:p w:rsidR="00421EF3" w:rsidRPr="00323980" w:rsidRDefault="00421EF3" w:rsidP="009B3E73">
      <w:pPr>
        <w:pStyle w:val="MainText"/>
        <w:rPr>
          <w:lang w:val="en-GB"/>
        </w:rPr>
      </w:pPr>
      <w:r w:rsidRPr="00323980">
        <w:rPr>
          <w:lang w:val="en-GB"/>
        </w:rPr>
        <w:t>GoM (2011), “Poverty Reduction Action Plan (PARP) 2011-2014”, taken from IMF Country Report No. 11/132 (June, 2011)</w:t>
      </w:r>
    </w:p>
    <w:p w:rsidR="005A0BC4" w:rsidRPr="00323980" w:rsidRDefault="005A0BC4" w:rsidP="009B3E73">
      <w:pPr>
        <w:pStyle w:val="MainText"/>
        <w:rPr>
          <w:rFonts w:cstheme="minorHAnsi"/>
          <w:lang w:val="en-GB"/>
        </w:rPr>
      </w:pPr>
      <w:r w:rsidRPr="00323980">
        <w:rPr>
          <w:rFonts w:cstheme="minorHAnsi"/>
          <w:lang w:val="en-GB"/>
        </w:rPr>
        <w:t>Granovetter, M. (1995), “</w:t>
      </w:r>
      <w:r w:rsidRPr="00323980">
        <w:rPr>
          <w:rFonts w:cstheme="minorHAnsi"/>
          <w:iCs/>
          <w:lang w:val="en-GB"/>
        </w:rPr>
        <w:t>Getting a Job: A Study of Contacts and Careers”</w:t>
      </w:r>
      <w:r w:rsidRPr="00323980">
        <w:rPr>
          <w:rFonts w:cstheme="minorHAnsi"/>
          <w:lang w:val="en-GB"/>
        </w:rPr>
        <w:t>, 2nd edition, Chicago and London: University of Chicago Press.</w:t>
      </w:r>
    </w:p>
    <w:p w:rsidR="007B1F16" w:rsidRPr="00323980" w:rsidRDefault="007B1F16" w:rsidP="009B3E73">
      <w:pPr>
        <w:pStyle w:val="MainText"/>
        <w:rPr>
          <w:lang w:val="en-GB"/>
        </w:rPr>
      </w:pPr>
      <w:r w:rsidRPr="00323980">
        <w:rPr>
          <w:lang w:val="en-GB"/>
        </w:rPr>
        <w:t>Hanlon, Joseph (2011), “Graphs and tables linked to MOZAMBIQUE 182 – News reports &amp; clippings, 11 July 2011”. Available online here (20</w:t>
      </w:r>
      <w:r w:rsidRPr="00323980">
        <w:rPr>
          <w:vertAlign w:val="superscript"/>
          <w:lang w:val="en-GB"/>
        </w:rPr>
        <w:t>th</w:t>
      </w:r>
      <w:r w:rsidRPr="00323980">
        <w:rPr>
          <w:lang w:val="en-GB"/>
        </w:rPr>
        <w:t xml:space="preserve"> March, 2013): </w:t>
      </w:r>
      <w:hyperlink r:id="rId52" w:history="1">
        <w:r w:rsidR="001E1137" w:rsidRPr="00323980">
          <w:rPr>
            <w:rStyle w:val="Hyperlink"/>
            <w:lang w:val="en-GB"/>
          </w:rPr>
          <w:t>http://www.open.ac.uk/technology/mozambique</w:t>
        </w:r>
        <w:r w:rsidR="001E1137" w:rsidRPr="00323980">
          <w:rPr>
            <w:rStyle w:val="Hyperlink"/>
            <w:lang w:val="en-GB"/>
          </w:rPr>
          <w:softHyphen/>
          <w:t>/sites/</w:t>
        </w:r>
        <w:r w:rsidR="001E1137" w:rsidRPr="00323980">
          <w:rPr>
            <w:rStyle w:val="Hyperlink"/>
            <w:lang w:val="en-GB"/>
          </w:rPr>
          <w:softHyphen/>
          <w:t>www.open</w:t>
        </w:r>
        <w:r w:rsidR="001E1137" w:rsidRPr="00323980">
          <w:rPr>
            <w:rStyle w:val="Hyperlink"/>
            <w:lang w:val="en-GB"/>
          </w:rPr>
          <w:softHyphen/>
          <w:t>.ac.uk.technology.mozambique/files/pics/d130987.pdf</w:t>
        </w:r>
      </w:hyperlink>
    </w:p>
    <w:p w:rsidR="007B1F16" w:rsidRPr="00323980" w:rsidRDefault="007B1F16" w:rsidP="009B3E73">
      <w:pPr>
        <w:pStyle w:val="MainText"/>
        <w:rPr>
          <w:lang w:val="en-GB"/>
        </w:rPr>
      </w:pPr>
      <w:r w:rsidRPr="00323980">
        <w:rPr>
          <w:lang w:val="en-GB"/>
        </w:rPr>
        <w:t>Hansen, Henrik and Rand, John (2012), “</w:t>
      </w:r>
      <w:r w:rsidRPr="00323980">
        <w:rPr>
          <w:i/>
          <w:lang w:val="en-GB"/>
        </w:rPr>
        <w:t>Another Perspective on Gender Specific Access to Credit in Africa</w:t>
      </w:r>
      <w:r w:rsidRPr="00323980">
        <w:rPr>
          <w:lang w:val="en-GB"/>
        </w:rPr>
        <w:t xml:space="preserve">”, </w:t>
      </w:r>
      <w:proofErr w:type="gramStart"/>
      <w:r w:rsidRPr="00323980">
        <w:rPr>
          <w:lang w:val="en-GB"/>
        </w:rPr>
        <w:t>Working</w:t>
      </w:r>
      <w:proofErr w:type="gramEnd"/>
      <w:r w:rsidRPr="00323980">
        <w:rPr>
          <w:lang w:val="en-GB"/>
        </w:rPr>
        <w:t xml:space="preserve"> paper. Available online here (29</w:t>
      </w:r>
      <w:r w:rsidRPr="00323980">
        <w:rPr>
          <w:vertAlign w:val="superscript"/>
          <w:lang w:val="en-GB"/>
        </w:rPr>
        <w:t>th</w:t>
      </w:r>
      <w:r w:rsidRPr="00323980">
        <w:rPr>
          <w:lang w:val="en-GB"/>
        </w:rPr>
        <w:t xml:space="preserve"> January 2013): </w:t>
      </w:r>
      <w:hyperlink r:id="rId53" w:history="1">
        <w:r w:rsidR="001E1137" w:rsidRPr="00323980">
          <w:rPr>
            <w:rStyle w:val="Hyperlink"/>
            <w:lang w:val="en-GB"/>
          </w:rPr>
          <w:t>http://econpapers.repec.org/scripts/redir.pf?</w:t>
        </w:r>
        <w:r w:rsidR="001E1137" w:rsidRPr="00323980">
          <w:rPr>
            <w:rStyle w:val="Hyperlink"/>
            <w:lang w:val="en-GB"/>
          </w:rPr>
          <w:softHyphen/>
          <w:t>u=http%3A%2F%2Fokonomi.foi.dk%2Fworkingpapers%2FWPpdf%2FWP2011%2FWP_2011_14_gender_specific_credit.pdf;h=repec:foi:wpaper:2011_14</w:t>
        </w:r>
      </w:hyperlink>
    </w:p>
    <w:p w:rsidR="00421EF3" w:rsidRPr="00323980" w:rsidRDefault="00421EF3" w:rsidP="009B3E73">
      <w:pPr>
        <w:pStyle w:val="MainText"/>
        <w:rPr>
          <w:lang w:val="en-GB"/>
        </w:rPr>
      </w:pPr>
      <w:proofErr w:type="gramStart"/>
      <w:r w:rsidRPr="00323980">
        <w:rPr>
          <w:lang w:val="en-GB"/>
        </w:rPr>
        <w:t xml:space="preserve">ICA (2003), “Mozambique Industrial Performance and Investment Climate 2003”, the World Bank, </w:t>
      </w:r>
      <w:r w:rsidRPr="00323980">
        <w:rPr>
          <w:i/>
          <w:lang w:val="en-GB"/>
        </w:rPr>
        <w:t>Regional Program for Enterprise Development (RPED)</w:t>
      </w:r>
      <w:r w:rsidRPr="00323980">
        <w:rPr>
          <w:lang w:val="en-GB"/>
        </w:rPr>
        <w:t>, Africa Private Sector Group.</w:t>
      </w:r>
      <w:proofErr w:type="gramEnd"/>
    </w:p>
    <w:p w:rsidR="00421EF3" w:rsidRPr="00323980" w:rsidRDefault="00421EF3" w:rsidP="009B3E73">
      <w:pPr>
        <w:pStyle w:val="MainText"/>
        <w:rPr>
          <w:lang w:val="en-GB"/>
        </w:rPr>
      </w:pPr>
      <w:proofErr w:type="gramStart"/>
      <w:r w:rsidRPr="00323980">
        <w:rPr>
          <w:lang w:val="en-GB"/>
        </w:rPr>
        <w:t xml:space="preserve">ICA (2009), “Mozambique Investment Climate Assessment”, the World Bank, </w:t>
      </w:r>
      <w:r w:rsidRPr="00323980">
        <w:rPr>
          <w:i/>
          <w:lang w:val="en-GB"/>
        </w:rPr>
        <w:t>Regional Program for Enterprise Development (RPED)</w:t>
      </w:r>
      <w:r w:rsidRPr="00323980">
        <w:rPr>
          <w:lang w:val="en-GB"/>
        </w:rPr>
        <w:t>, Africa Finance and Private Sector (AFTFP).</w:t>
      </w:r>
      <w:proofErr w:type="gramEnd"/>
    </w:p>
    <w:p w:rsidR="00421EF3" w:rsidRPr="00323980" w:rsidRDefault="00421EF3" w:rsidP="009B3E73">
      <w:pPr>
        <w:pStyle w:val="MainText"/>
        <w:rPr>
          <w:rFonts w:ascii="Calibri" w:hAnsi="Calibri" w:cs="Calibri"/>
          <w:lang w:val="en-GB"/>
        </w:rPr>
      </w:pPr>
      <w:r w:rsidRPr="00323980">
        <w:rPr>
          <w:rFonts w:ascii="Calibri" w:hAnsi="Calibri" w:cs="Calibri"/>
          <w:lang w:val="en-GB"/>
        </w:rPr>
        <w:t>IMF (2012), “</w:t>
      </w:r>
      <w:r w:rsidRPr="00323980">
        <w:rPr>
          <w:rFonts w:ascii="Calibri" w:hAnsi="Calibri" w:cs="Calibri"/>
          <w:i/>
          <w:lang w:val="en-GB"/>
        </w:rPr>
        <w:t>Maputo Headline Inflation – April 2012</w:t>
      </w:r>
      <w:r w:rsidRPr="00323980">
        <w:rPr>
          <w:rFonts w:ascii="Calibri" w:hAnsi="Calibri" w:cs="Calibri"/>
          <w:lang w:val="en-GB"/>
        </w:rPr>
        <w:t>”, Office of the Resident Representative, Maputo, Mozambique.</w:t>
      </w:r>
      <w:r w:rsidRPr="00323980">
        <w:rPr>
          <w:lang w:val="en-GB"/>
        </w:rPr>
        <w:t xml:space="preserve"> Available online here (31st December 2012): </w:t>
      </w:r>
      <w:hyperlink r:id="rId54" w:history="1">
        <w:r w:rsidR="001E1137" w:rsidRPr="00323980">
          <w:rPr>
            <w:rStyle w:val="Hyperlink"/>
            <w:rFonts w:ascii="Calibri" w:hAnsi="Calibri" w:cs="Calibri"/>
            <w:lang w:val="en-GB"/>
          </w:rPr>
          <w:t>http://www.imf.org/external/country/moz</w:t>
        </w:r>
        <w:r w:rsidR="001E1137" w:rsidRPr="00323980">
          <w:rPr>
            <w:rStyle w:val="Hyperlink"/>
            <w:rFonts w:ascii="Calibri" w:hAnsi="Calibri" w:cs="Calibri"/>
            <w:lang w:val="en-GB"/>
          </w:rPr>
          <w:softHyphen/>
          <w:t>/rr/2012/040112.pdf</w:t>
        </w:r>
      </w:hyperlink>
    </w:p>
    <w:p w:rsidR="00421EF3" w:rsidRPr="00CF3673" w:rsidRDefault="00421EF3" w:rsidP="009B3E73">
      <w:pPr>
        <w:pStyle w:val="MainText"/>
        <w:rPr>
          <w:rFonts w:ascii="Calibri" w:hAnsi="Calibri" w:cs="Calibri"/>
          <w:lang w:val="pt-PT"/>
        </w:rPr>
      </w:pPr>
      <w:r w:rsidRPr="00CF3673">
        <w:rPr>
          <w:rFonts w:ascii="Calibri" w:hAnsi="Calibri" w:cs="Calibri"/>
          <w:lang w:val="pt-PT"/>
        </w:rPr>
        <w:t>INE (2011), “CEMPRE 2002” (</w:t>
      </w:r>
      <w:proofErr w:type="spellStart"/>
      <w:r w:rsidRPr="00CF3673">
        <w:rPr>
          <w:rFonts w:ascii="Calibri" w:hAnsi="Calibri" w:cs="Calibri"/>
          <w:lang w:val="pt-PT"/>
        </w:rPr>
        <w:t>revised</w:t>
      </w:r>
      <w:proofErr w:type="spellEnd"/>
      <w:r w:rsidRPr="00CF3673">
        <w:rPr>
          <w:rFonts w:ascii="Calibri" w:hAnsi="Calibri" w:cs="Calibri"/>
          <w:lang w:val="pt-PT"/>
        </w:rPr>
        <w:t xml:space="preserve"> in 2011), </w:t>
      </w:r>
      <w:r w:rsidRPr="00CF3673">
        <w:rPr>
          <w:rFonts w:ascii="Calibri" w:hAnsi="Calibri" w:cs="Calibri"/>
          <w:i/>
          <w:lang w:val="pt-PT"/>
        </w:rPr>
        <w:t xml:space="preserve">Instituto </w:t>
      </w:r>
      <w:proofErr w:type="spellStart"/>
      <w:r w:rsidRPr="00CF3673">
        <w:rPr>
          <w:rFonts w:ascii="Calibri" w:hAnsi="Calibri" w:cs="Calibri"/>
          <w:i/>
          <w:lang w:val="pt-PT"/>
        </w:rPr>
        <w:t>Naçional</w:t>
      </w:r>
      <w:proofErr w:type="spellEnd"/>
      <w:r w:rsidRPr="00CF3673">
        <w:rPr>
          <w:rFonts w:ascii="Calibri" w:hAnsi="Calibri" w:cs="Calibri"/>
          <w:i/>
          <w:lang w:val="pt-PT"/>
        </w:rPr>
        <w:t xml:space="preserve"> de </w:t>
      </w:r>
      <w:proofErr w:type="spellStart"/>
      <w:r w:rsidRPr="00CF3673">
        <w:rPr>
          <w:rFonts w:ascii="Calibri" w:hAnsi="Calibri" w:cs="Calibri"/>
          <w:i/>
          <w:lang w:val="pt-PT"/>
        </w:rPr>
        <w:t>Estatistica</w:t>
      </w:r>
      <w:proofErr w:type="spellEnd"/>
      <w:r w:rsidRPr="00CF3673">
        <w:rPr>
          <w:rFonts w:ascii="Calibri" w:hAnsi="Calibri" w:cs="Calibri"/>
          <w:i/>
          <w:lang w:val="pt-PT"/>
        </w:rPr>
        <w:t xml:space="preserve"> (INE)</w:t>
      </w:r>
      <w:r w:rsidRPr="00CF3673">
        <w:rPr>
          <w:rFonts w:ascii="Calibri" w:hAnsi="Calibri" w:cs="Calibri"/>
          <w:lang w:val="pt-PT"/>
        </w:rPr>
        <w:t xml:space="preserve"> </w:t>
      </w:r>
    </w:p>
    <w:p w:rsidR="00421EF3" w:rsidRPr="00323980" w:rsidRDefault="00421EF3" w:rsidP="009B3E73">
      <w:pPr>
        <w:pStyle w:val="MainText"/>
        <w:rPr>
          <w:lang w:val="en-GB"/>
        </w:rPr>
      </w:pPr>
      <w:r w:rsidRPr="00CF3673">
        <w:rPr>
          <w:lang w:val="pt-PT"/>
        </w:rPr>
        <w:t xml:space="preserve">INE (2012), “Estatísticas das Empresas 2009”, Instituto Nacional de Estatística (INE), Maputo, Mozambique. </w:t>
      </w:r>
      <w:r w:rsidRPr="00323980">
        <w:rPr>
          <w:lang w:val="en-GB"/>
        </w:rPr>
        <w:t xml:space="preserve">Available online here (31st December 2012): </w:t>
      </w:r>
      <w:hyperlink r:id="rId55" w:history="1">
        <w:r w:rsidRPr="00323980">
          <w:rPr>
            <w:rStyle w:val="Hyperlink"/>
            <w:lang w:val="en-GB"/>
          </w:rPr>
          <w:t>http://www.ine.gov.mz/ResourceCenter/Default.aspx</w:t>
        </w:r>
      </w:hyperlink>
    </w:p>
    <w:p w:rsidR="00421EF3" w:rsidRPr="00323980" w:rsidRDefault="00421EF3" w:rsidP="009B3E73">
      <w:pPr>
        <w:pStyle w:val="MainText"/>
        <w:rPr>
          <w:lang w:val="en-GB"/>
        </w:rPr>
      </w:pPr>
      <w:r w:rsidRPr="00323980">
        <w:rPr>
          <w:lang w:val="en-GB"/>
        </w:rPr>
        <w:t xml:space="preserve">Jones, Edward S. </w:t>
      </w:r>
      <w:r w:rsidR="0012156B" w:rsidRPr="00323980">
        <w:rPr>
          <w:lang w:val="en-GB"/>
        </w:rPr>
        <w:t>and</w:t>
      </w:r>
      <w:r w:rsidRPr="00323980">
        <w:rPr>
          <w:lang w:val="en-GB"/>
        </w:rPr>
        <w:t xml:space="preserve"> Tarp, Finn (2012), “</w:t>
      </w:r>
      <w:r w:rsidR="00B9662F" w:rsidRPr="00323980">
        <w:rPr>
          <w:lang w:val="en-GB"/>
        </w:rPr>
        <w:t>Jobs and Welfare in Mozambique – Country Case Study for the 2013 World Development Report”</w:t>
      </w:r>
      <w:r w:rsidRPr="00323980">
        <w:rPr>
          <w:lang w:val="en-GB"/>
        </w:rPr>
        <w:t>.</w:t>
      </w:r>
      <w:r w:rsidR="00B9662F" w:rsidRPr="00323980">
        <w:rPr>
          <w:lang w:val="en-GB"/>
        </w:rPr>
        <w:t xml:space="preserve"> Available online here (March 15</w:t>
      </w:r>
      <w:r w:rsidR="00B9662F" w:rsidRPr="00323980">
        <w:rPr>
          <w:vertAlign w:val="superscript"/>
          <w:lang w:val="en-GB"/>
        </w:rPr>
        <w:t>th</w:t>
      </w:r>
      <w:r w:rsidR="00B9662F" w:rsidRPr="00323980">
        <w:rPr>
          <w:lang w:val="en-GB"/>
        </w:rPr>
        <w:t xml:space="preserve"> 2013): </w:t>
      </w:r>
      <w:hyperlink r:id="rId56" w:history="1">
        <w:r w:rsidR="001E1137" w:rsidRPr="00323980">
          <w:rPr>
            <w:rStyle w:val="Hyperlink"/>
            <w:lang w:val="en-GB"/>
          </w:rPr>
          <w:t>http://siteresources.world</w:t>
        </w:r>
        <w:r w:rsidR="001E1137" w:rsidRPr="00323980">
          <w:rPr>
            <w:rStyle w:val="Hyperlink"/>
            <w:lang w:val="en-GB"/>
          </w:rPr>
          <w:softHyphen/>
        </w:r>
        <w:r w:rsidR="001E1137" w:rsidRPr="00323980">
          <w:rPr>
            <w:rStyle w:val="Hyperlink"/>
            <w:lang w:val="en-GB"/>
          </w:rPr>
          <w:lastRenderedPageBreak/>
          <w:t>bank</w:t>
        </w:r>
        <w:r w:rsidR="001E1137" w:rsidRPr="00323980">
          <w:rPr>
            <w:rStyle w:val="Hyperlink"/>
            <w:lang w:val="en-GB"/>
          </w:rPr>
          <w:softHyphen/>
          <w:t>.org/</w:t>
        </w:r>
        <w:r w:rsidR="001E1137" w:rsidRPr="00323980">
          <w:rPr>
            <w:rStyle w:val="Hyperlink"/>
            <w:lang w:val="en-GB"/>
          </w:rPr>
          <w:softHyphen/>
          <w:t>EXTNWDR2013/Resources/8258024-1320950747192/8260293-1320956712276/8261091-1348683883703/WDR2013_bp_Jobs_and_Welfare_in_Mozambique.pdf</w:t>
        </w:r>
      </w:hyperlink>
    </w:p>
    <w:p w:rsidR="00E52142" w:rsidRPr="00323980" w:rsidRDefault="00E52142" w:rsidP="009B3E73">
      <w:pPr>
        <w:pStyle w:val="MainText"/>
        <w:rPr>
          <w:lang w:val="en-GB"/>
        </w:rPr>
      </w:pPr>
      <w:r w:rsidRPr="00323980">
        <w:rPr>
          <w:lang w:val="en-GB"/>
        </w:rPr>
        <w:t xml:space="preserve">Jovanovic, Boyan (1982): “Selection and the Evolution of Industry”, </w:t>
      </w:r>
      <w:r w:rsidRPr="00323980">
        <w:rPr>
          <w:i/>
          <w:lang w:val="en-GB"/>
        </w:rPr>
        <w:t>Econometrica</w:t>
      </w:r>
      <w:r w:rsidRPr="00323980">
        <w:rPr>
          <w:lang w:val="en-GB"/>
        </w:rPr>
        <w:t>, Vol. 50, No. 3 (May 1982), pp. 649-670.</w:t>
      </w:r>
    </w:p>
    <w:p w:rsidR="00421EF3" w:rsidRPr="00323980" w:rsidRDefault="00421EF3" w:rsidP="009B3E73">
      <w:pPr>
        <w:pStyle w:val="MainText"/>
        <w:rPr>
          <w:lang w:val="en-GB"/>
        </w:rPr>
      </w:pPr>
      <w:r w:rsidRPr="00CF3673">
        <w:rPr>
          <w:lang w:val="pt-PT"/>
        </w:rPr>
        <w:t xml:space="preserve">KPMG (2010), “100 XII Edição – 2010 – As 100 Maiores Empresas de Moçambique”, </w:t>
      </w:r>
      <w:r w:rsidRPr="00CF3673">
        <w:rPr>
          <w:i/>
          <w:lang w:val="pt-PT"/>
        </w:rPr>
        <w:t>KPMG Moçambique</w:t>
      </w:r>
      <w:r w:rsidRPr="00CF3673">
        <w:rPr>
          <w:lang w:val="pt-PT"/>
        </w:rPr>
        <w:t xml:space="preserve">. </w:t>
      </w:r>
      <w:r w:rsidRPr="00323980">
        <w:rPr>
          <w:lang w:val="en-GB"/>
        </w:rPr>
        <w:t>Available online here (31</w:t>
      </w:r>
      <w:r w:rsidRPr="00323980">
        <w:rPr>
          <w:vertAlign w:val="superscript"/>
          <w:lang w:val="en-GB"/>
        </w:rPr>
        <w:t>st</w:t>
      </w:r>
      <w:r w:rsidRPr="00323980">
        <w:rPr>
          <w:lang w:val="en-GB"/>
        </w:rPr>
        <w:t xml:space="preserve"> December 2012): </w:t>
      </w:r>
      <w:hyperlink r:id="rId57" w:history="1">
        <w:r w:rsidR="001E1137" w:rsidRPr="00323980">
          <w:rPr>
            <w:rStyle w:val="Hyperlink"/>
            <w:lang w:val="en-GB"/>
          </w:rPr>
          <w:t>http://www.kpmg.com/MZ/en/IssuesAndInsights</w:t>
        </w:r>
        <w:r w:rsidR="001E1137" w:rsidRPr="00323980">
          <w:rPr>
            <w:rStyle w:val="Hyperlink"/>
            <w:lang w:val="en-GB"/>
          </w:rPr>
          <w:softHyphen/>
          <w:t>/Articles</w:t>
        </w:r>
        <w:r w:rsidR="001E1137" w:rsidRPr="00323980">
          <w:rPr>
            <w:rStyle w:val="Hyperlink"/>
            <w:lang w:val="en-GB"/>
          </w:rPr>
          <w:softHyphen/>
          <w:t>Publications/</w:t>
        </w:r>
        <w:r w:rsidR="001E1137" w:rsidRPr="00323980">
          <w:rPr>
            <w:rStyle w:val="Hyperlink"/>
            <w:lang w:val="en-GB"/>
          </w:rPr>
          <w:softHyphen/>
          <w:t>top-100-companies-Mozambique/Documents/Top%20100%20Companies%20of%20</w:t>
        </w:r>
        <w:r w:rsidR="001E1137" w:rsidRPr="00323980">
          <w:rPr>
            <w:rStyle w:val="Hyperlink"/>
            <w:lang w:val="en-GB"/>
          </w:rPr>
          <w:softHyphen/>
          <w:t>Mozam</w:t>
        </w:r>
        <w:r w:rsidR="001E1137" w:rsidRPr="00323980">
          <w:rPr>
            <w:rStyle w:val="Hyperlink"/>
            <w:lang w:val="en-GB"/>
          </w:rPr>
          <w:softHyphen/>
          <w:t>bique</w:t>
        </w:r>
        <w:r w:rsidR="001E1137" w:rsidRPr="00323980">
          <w:rPr>
            <w:rStyle w:val="Hyperlink"/>
            <w:lang w:val="en-GB"/>
          </w:rPr>
          <w:softHyphen/>
          <w:t>%20</w:t>
        </w:r>
        <w:r w:rsidR="001E1137" w:rsidRPr="00323980">
          <w:rPr>
            <w:rStyle w:val="Hyperlink"/>
            <w:lang w:val="en-GB"/>
          </w:rPr>
          <w:softHyphen/>
          <w:t>2010</w:t>
        </w:r>
        <w:r w:rsidR="001E1137" w:rsidRPr="00323980">
          <w:rPr>
            <w:rStyle w:val="Hyperlink"/>
            <w:lang w:val="en-GB"/>
          </w:rPr>
          <w:softHyphen/>
          <w:t>.pdf</w:t>
        </w:r>
      </w:hyperlink>
    </w:p>
    <w:p w:rsidR="00421EF3" w:rsidRPr="00323980" w:rsidRDefault="00421EF3" w:rsidP="009B3E73">
      <w:pPr>
        <w:pStyle w:val="MainText"/>
        <w:rPr>
          <w:lang w:val="en-GB"/>
        </w:rPr>
      </w:pPr>
      <w:r w:rsidRPr="00CF3673">
        <w:rPr>
          <w:lang w:val="pt-PT"/>
        </w:rPr>
        <w:t xml:space="preserve">KPMG (2011), “100 XIII Edição – 2011 – As 100 Maiores Empresas de Moçambique”, </w:t>
      </w:r>
      <w:r w:rsidRPr="00CF3673">
        <w:rPr>
          <w:i/>
          <w:lang w:val="pt-PT"/>
        </w:rPr>
        <w:t>KPMG Moçambique</w:t>
      </w:r>
      <w:r w:rsidRPr="00CF3673">
        <w:rPr>
          <w:lang w:val="pt-PT"/>
        </w:rPr>
        <w:t xml:space="preserve">. </w:t>
      </w:r>
      <w:r w:rsidRPr="00323980">
        <w:rPr>
          <w:lang w:val="en-GB"/>
        </w:rPr>
        <w:t>Available online here (31</w:t>
      </w:r>
      <w:r w:rsidRPr="00323980">
        <w:rPr>
          <w:vertAlign w:val="superscript"/>
          <w:lang w:val="en-GB"/>
        </w:rPr>
        <w:t>st</w:t>
      </w:r>
      <w:r w:rsidRPr="00323980">
        <w:rPr>
          <w:lang w:val="en-GB"/>
        </w:rPr>
        <w:t xml:space="preserve"> December 2012): </w:t>
      </w:r>
      <w:hyperlink r:id="rId58" w:history="1">
        <w:r w:rsidR="001E1137" w:rsidRPr="00323980">
          <w:rPr>
            <w:rStyle w:val="Hyperlink"/>
            <w:lang w:val="en-GB"/>
          </w:rPr>
          <w:t>http://www.kpmg.com/MZ/en/IssuesAndInsights/</w:t>
        </w:r>
        <w:r w:rsidR="001E1137" w:rsidRPr="00323980">
          <w:rPr>
            <w:rStyle w:val="Hyperlink"/>
            <w:lang w:val="en-GB"/>
          </w:rPr>
          <w:softHyphen/>
          <w:t>Articles</w:t>
        </w:r>
        <w:r w:rsidR="001E1137" w:rsidRPr="00323980">
          <w:rPr>
            <w:rStyle w:val="Hyperlink"/>
            <w:lang w:val="en-GB"/>
          </w:rPr>
          <w:softHyphen/>
          <w:t>Publications</w:t>
        </w:r>
        <w:r w:rsidR="001E1137" w:rsidRPr="00323980">
          <w:rPr>
            <w:rStyle w:val="Hyperlink"/>
            <w:lang w:val="en-GB"/>
          </w:rPr>
          <w:softHyphen/>
          <w:t>/top-100-companies-Mozambique/Documents/KPMG_1002011WEB.pdf</w:t>
        </w:r>
      </w:hyperlink>
    </w:p>
    <w:p w:rsidR="005A0BC4" w:rsidRPr="00323980" w:rsidRDefault="005A0BC4" w:rsidP="009B3E73">
      <w:pPr>
        <w:pStyle w:val="MainText"/>
        <w:rPr>
          <w:lang w:val="en-GB"/>
        </w:rPr>
      </w:pPr>
      <w:r w:rsidRPr="00323980">
        <w:rPr>
          <w:lang w:val="en-GB"/>
        </w:rPr>
        <w:t xml:space="preserve">Kranton, R. (1996), “Reciprocal Exchange: A Self-Sustaining System”, </w:t>
      </w:r>
      <w:r w:rsidRPr="00323980">
        <w:rPr>
          <w:i/>
          <w:lang w:val="en-GB"/>
        </w:rPr>
        <w:t>American Economic Review</w:t>
      </w:r>
      <w:r w:rsidRPr="00323980">
        <w:rPr>
          <w:lang w:val="en-GB"/>
        </w:rPr>
        <w:t>, Vol. 86, No. 4, pp. 830-851.</w:t>
      </w:r>
    </w:p>
    <w:p w:rsidR="00421EF3" w:rsidRPr="00323980" w:rsidRDefault="00421EF3" w:rsidP="009B3E73">
      <w:pPr>
        <w:pStyle w:val="MainText"/>
        <w:rPr>
          <w:lang w:val="en-GB"/>
        </w:rPr>
      </w:pPr>
      <w:proofErr w:type="gramStart"/>
      <w:r w:rsidRPr="00323980">
        <w:rPr>
          <w:lang w:val="en-GB"/>
        </w:rPr>
        <w:t xml:space="preserve">Krause, Matthias </w:t>
      </w:r>
      <w:r w:rsidR="0012156B" w:rsidRPr="00323980">
        <w:rPr>
          <w:lang w:val="en-GB"/>
        </w:rPr>
        <w:t>and</w:t>
      </w:r>
      <w:r w:rsidRPr="00323980">
        <w:rPr>
          <w:lang w:val="en-GB"/>
        </w:rPr>
        <w:t xml:space="preserve"> Kaufmann, Friedrich (2011), “Industrial Policy in Mozambique”, Discussion paper 10/2011, </w:t>
      </w:r>
      <w:r w:rsidRPr="00323980">
        <w:rPr>
          <w:i/>
          <w:lang w:val="en-GB"/>
        </w:rPr>
        <w:t>Deutsches Institut für Entwicklungspolitik</w:t>
      </w:r>
      <w:r w:rsidRPr="00323980">
        <w:rPr>
          <w:lang w:val="en-GB"/>
        </w:rPr>
        <w:t>.</w:t>
      </w:r>
      <w:proofErr w:type="gramEnd"/>
    </w:p>
    <w:p w:rsidR="00421EF3" w:rsidRPr="00323980" w:rsidRDefault="00421EF3" w:rsidP="009B3E73">
      <w:pPr>
        <w:pStyle w:val="MainText"/>
        <w:rPr>
          <w:rFonts w:ascii="Calibri" w:hAnsi="Calibri" w:cs="Calibri"/>
          <w:lang w:val="en-GB"/>
        </w:rPr>
      </w:pPr>
      <w:r w:rsidRPr="00323980">
        <w:rPr>
          <w:rFonts w:ascii="Calibri" w:hAnsi="Calibri" w:cs="Calibri"/>
          <w:lang w:val="en-GB"/>
        </w:rPr>
        <w:t xml:space="preserve">Levy, P.S. and Lemeshow, S. (1999), "Sampling of Populations: Methods and Application", Wiley Series in Probability and Statistics, John Wiley </w:t>
      </w:r>
      <w:r w:rsidR="0012156B" w:rsidRPr="00323980">
        <w:rPr>
          <w:rFonts w:ascii="Calibri" w:hAnsi="Calibri" w:cs="Calibri"/>
          <w:lang w:val="en-GB"/>
        </w:rPr>
        <w:t>and</w:t>
      </w:r>
      <w:r w:rsidRPr="00323980">
        <w:rPr>
          <w:rFonts w:ascii="Calibri" w:hAnsi="Calibri" w:cs="Calibri"/>
          <w:lang w:val="en-GB"/>
        </w:rPr>
        <w:t xml:space="preserve"> Sons, INC, New York.</w:t>
      </w:r>
    </w:p>
    <w:p w:rsidR="00421EF3" w:rsidRPr="00323980" w:rsidRDefault="00421EF3" w:rsidP="009B3E73">
      <w:pPr>
        <w:pStyle w:val="MainText"/>
        <w:rPr>
          <w:lang w:val="en-GB"/>
        </w:rPr>
      </w:pPr>
      <w:r w:rsidRPr="00323980">
        <w:rPr>
          <w:lang w:val="en-GB"/>
        </w:rPr>
        <w:t xml:space="preserve">Liedholm, C. </w:t>
      </w:r>
      <w:r w:rsidR="0012156B" w:rsidRPr="00323980">
        <w:rPr>
          <w:lang w:val="en-GB"/>
        </w:rPr>
        <w:t>and</w:t>
      </w:r>
      <w:r w:rsidRPr="00323980">
        <w:rPr>
          <w:lang w:val="en-GB"/>
        </w:rPr>
        <w:t xml:space="preserve"> Mead, D.C. (1999), “Small Enterprise and Economic Development. The Role of Micro and Small Enterprises”, </w:t>
      </w:r>
      <w:r w:rsidRPr="00323980">
        <w:rPr>
          <w:i/>
          <w:lang w:val="en-GB"/>
        </w:rPr>
        <w:t>Routledge Studies in Development Economics</w:t>
      </w:r>
      <w:r w:rsidRPr="00323980">
        <w:rPr>
          <w:lang w:val="en-GB"/>
        </w:rPr>
        <w:t>, Routledge, London and New York.</w:t>
      </w:r>
    </w:p>
    <w:p w:rsidR="005A0BC4" w:rsidRPr="00323980" w:rsidRDefault="005A0BC4" w:rsidP="009B3E73">
      <w:pPr>
        <w:pStyle w:val="MainText"/>
        <w:rPr>
          <w:lang w:val="en-GB"/>
        </w:rPr>
      </w:pPr>
      <w:r w:rsidRPr="00323980">
        <w:rPr>
          <w:lang w:val="en-GB"/>
        </w:rPr>
        <w:t xml:space="preserve">McMillan, J. and Woodruff, C. (1999), “Interfirm Relationships and Informal Credit in Vietnam”, </w:t>
      </w:r>
      <w:r w:rsidRPr="00323980">
        <w:rPr>
          <w:i/>
          <w:lang w:val="en-GB"/>
        </w:rPr>
        <w:t>Quarterly Journal of Economics</w:t>
      </w:r>
      <w:r w:rsidRPr="00323980">
        <w:rPr>
          <w:lang w:val="en-GB"/>
        </w:rPr>
        <w:t>, Vol. 114, No. 4, pp. 1258-1320.</w:t>
      </w:r>
    </w:p>
    <w:p w:rsidR="00604259" w:rsidRPr="00323980" w:rsidRDefault="00604259" w:rsidP="009B3E73">
      <w:pPr>
        <w:pStyle w:val="MainText"/>
        <w:rPr>
          <w:lang w:val="en-GB"/>
        </w:rPr>
      </w:pPr>
      <w:proofErr w:type="gramStart"/>
      <w:r w:rsidRPr="00323980">
        <w:rPr>
          <w:lang w:val="en-GB"/>
        </w:rPr>
        <w:t>de</w:t>
      </w:r>
      <w:proofErr w:type="gramEnd"/>
      <w:r w:rsidRPr="00323980">
        <w:rPr>
          <w:lang w:val="en-GB"/>
        </w:rPr>
        <w:t xml:space="preserve"> Nicola, Francesca </w:t>
      </w:r>
      <w:r w:rsidR="0012156B" w:rsidRPr="00323980">
        <w:rPr>
          <w:lang w:val="en-GB"/>
        </w:rPr>
        <w:t>and</w:t>
      </w:r>
      <w:r w:rsidRPr="00323980">
        <w:rPr>
          <w:lang w:val="en-GB"/>
        </w:rPr>
        <w:t xml:space="preserve"> Giné, Xavier (2012): “How Accurate are Recall Data? Evidence from Coastal India”, World Bank Research Working Paper 6009. Available online here (February 10</w:t>
      </w:r>
      <w:r w:rsidRPr="00323980">
        <w:rPr>
          <w:vertAlign w:val="superscript"/>
          <w:lang w:val="en-GB"/>
        </w:rPr>
        <w:t>th</w:t>
      </w:r>
      <w:r w:rsidRPr="00323980">
        <w:rPr>
          <w:lang w:val="en-GB"/>
        </w:rPr>
        <w:t xml:space="preserve">): </w:t>
      </w:r>
      <w:hyperlink r:id="rId59" w:history="1">
        <w:r w:rsidR="001E1137" w:rsidRPr="00323980">
          <w:rPr>
            <w:rStyle w:val="Hyperlink"/>
            <w:lang w:val="en-GB" w:eastAsia="ar-SA"/>
          </w:rPr>
          <w:t>http://elibrary.</w:t>
        </w:r>
        <w:r w:rsidR="001E1137" w:rsidRPr="00323980">
          <w:rPr>
            <w:rStyle w:val="Hyperlink"/>
            <w:lang w:val="en-GB" w:eastAsia="ar-SA"/>
          </w:rPr>
          <w:softHyphen/>
          <w:t>worldbank.org/content/workingpaper/10.1596/1813-9450-6009</w:t>
        </w:r>
      </w:hyperlink>
    </w:p>
    <w:p w:rsidR="00421EF3" w:rsidRPr="00323980" w:rsidRDefault="00421EF3" w:rsidP="009B3E73">
      <w:pPr>
        <w:pStyle w:val="MainText"/>
        <w:rPr>
          <w:lang w:val="en-GB"/>
        </w:rPr>
      </w:pPr>
      <w:r w:rsidRPr="00323980">
        <w:rPr>
          <w:lang w:val="en-GB"/>
        </w:rPr>
        <w:t>Ostrom, Elinor; Basudeb Guha-Khasnobis; Ravi Kanbur (2006), “Beyond Formality and Informality”, Working paper, Department of Applied Economics and Management, Cornell University, Ithaca, New York. Available online here (31</w:t>
      </w:r>
      <w:r w:rsidRPr="00323980">
        <w:rPr>
          <w:vertAlign w:val="superscript"/>
          <w:lang w:val="en-GB"/>
        </w:rPr>
        <w:t>st</w:t>
      </w:r>
      <w:r w:rsidRPr="00323980">
        <w:rPr>
          <w:lang w:val="en-GB"/>
        </w:rPr>
        <w:t xml:space="preserve"> December 2012): </w:t>
      </w:r>
      <w:hyperlink r:id="rId60" w:history="1">
        <w:r w:rsidR="001E1137" w:rsidRPr="00323980">
          <w:rPr>
            <w:rStyle w:val="Hyperlink"/>
            <w:lang w:val="en-GB"/>
          </w:rPr>
          <w:t>http://ageconsearch.umn.edu/bitstream/127038</w:t>
        </w:r>
        <w:r w:rsidR="001E1137" w:rsidRPr="00323980">
          <w:rPr>
            <w:rStyle w:val="Hyperlink"/>
            <w:lang w:val="en-GB"/>
          </w:rPr>
          <w:softHyphen/>
          <w:t>/2/Cornell_Dyson_</w:t>
        </w:r>
        <w:r w:rsidR="001E1137" w:rsidRPr="00323980">
          <w:rPr>
            <w:rStyle w:val="Hyperlink"/>
            <w:lang w:val="en-GB"/>
          </w:rPr>
          <w:softHyphen/>
          <w:t>wp0606.pdf</w:t>
        </w:r>
      </w:hyperlink>
    </w:p>
    <w:p w:rsidR="001778AA" w:rsidRPr="00323980" w:rsidRDefault="001778AA" w:rsidP="009B3E73">
      <w:pPr>
        <w:pStyle w:val="MainText"/>
        <w:rPr>
          <w:lang w:val="en-GB"/>
        </w:rPr>
      </w:pPr>
      <w:r w:rsidRPr="00323980">
        <w:rPr>
          <w:lang w:val="en-GB"/>
        </w:rPr>
        <w:lastRenderedPageBreak/>
        <w:t xml:space="preserve">Page, John (2012), “Can Africa Industrialise?”, </w:t>
      </w:r>
      <w:r w:rsidRPr="00323980">
        <w:rPr>
          <w:i/>
          <w:lang w:val="en-GB"/>
        </w:rPr>
        <w:t>Journal of African Economies</w:t>
      </w:r>
      <w:r w:rsidRPr="00323980">
        <w:rPr>
          <w:lang w:val="en-GB"/>
        </w:rPr>
        <w:t>, Vol. 21, AERC Supplement 2, pp. ii86-ii125.</w:t>
      </w:r>
    </w:p>
    <w:p w:rsidR="00421EF3" w:rsidRPr="00323980" w:rsidRDefault="00421EF3" w:rsidP="009B3E73">
      <w:pPr>
        <w:pStyle w:val="MainText"/>
        <w:rPr>
          <w:lang w:val="en-GB"/>
        </w:rPr>
      </w:pPr>
      <w:r w:rsidRPr="00323980">
        <w:rPr>
          <w:lang w:val="en-GB"/>
        </w:rPr>
        <w:t xml:space="preserve">Page, John </w:t>
      </w:r>
      <w:r w:rsidR="0012156B" w:rsidRPr="00323980">
        <w:rPr>
          <w:lang w:val="en-GB"/>
        </w:rPr>
        <w:t>and</w:t>
      </w:r>
      <w:r w:rsidRPr="00323980">
        <w:rPr>
          <w:lang w:val="en-GB"/>
        </w:rPr>
        <w:t xml:space="preserve"> Söderbom, Måns (2012), “</w:t>
      </w:r>
      <w:r w:rsidRPr="00323980">
        <w:rPr>
          <w:i/>
          <w:lang w:val="en-GB"/>
        </w:rPr>
        <w:t>Is Small Beautiful? – Small Enterprise, Aid and Employment in Africa</w:t>
      </w:r>
      <w:r w:rsidRPr="00323980">
        <w:rPr>
          <w:lang w:val="en-GB"/>
        </w:rPr>
        <w:t>”, Paper presented at the UNU-WIDER seminar on “Aid and Employment”, Copenhagen, Denmark 8</w:t>
      </w:r>
      <w:r w:rsidRPr="00323980">
        <w:rPr>
          <w:vertAlign w:val="superscript"/>
          <w:lang w:val="en-GB"/>
        </w:rPr>
        <w:t>th</w:t>
      </w:r>
      <w:r w:rsidRPr="00323980">
        <w:rPr>
          <w:lang w:val="en-GB"/>
        </w:rPr>
        <w:t xml:space="preserve"> October 2012. Available online here (31</w:t>
      </w:r>
      <w:r w:rsidRPr="00323980">
        <w:rPr>
          <w:vertAlign w:val="superscript"/>
          <w:lang w:val="en-GB"/>
        </w:rPr>
        <w:t>st</w:t>
      </w:r>
      <w:r w:rsidRPr="00323980">
        <w:rPr>
          <w:lang w:val="en-GB"/>
        </w:rPr>
        <w:t xml:space="preserve"> December 2012): </w:t>
      </w:r>
      <w:hyperlink r:id="rId61" w:history="1">
        <w:r w:rsidRPr="00323980">
          <w:rPr>
            <w:rStyle w:val="Hyperlink"/>
            <w:lang w:val="en-GB"/>
          </w:rPr>
          <w:t>http://www.soderbom.net/WIDER%20P-S%20rev%20221012.pdf</w:t>
        </w:r>
      </w:hyperlink>
    </w:p>
    <w:p w:rsidR="005A0BC4" w:rsidRPr="00323980" w:rsidRDefault="005A0BC4" w:rsidP="009B3E73">
      <w:pPr>
        <w:pStyle w:val="MainText"/>
        <w:rPr>
          <w:lang w:val="en-GB"/>
        </w:rPr>
      </w:pPr>
      <w:r w:rsidRPr="00323980">
        <w:rPr>
          <w:lang w:val="en-GB"/>
        </w:rPr>
        <w:t>Putnam, R. (1993), “Making Democracy Work: Civic Traditions in Modern Italy”, Princeton NJ, Princeton University Press.</w:t>
      </w:r>
    </w:p>
    <w:p w:rsidR="001B28F3" w:rsidRPr="00323980" w:rsidRDefault="001B28F3" w:rsidP="009B3E73">
      <w:pPr>
        <w:pStyle w:val="MainText"/>
        <w:rPr>
          <w:lang w:val="en-GB"/>
        </w:rPr>
      </w:pPr>
      <w:proofErr w:type="gramStart"/>
      <w:r w:rsidRPr="00323980">
        <w:rPr>
          <w:lang w:val="en-GB"/>
        </w:rPr>
        <w:t xml:space="preserve">Ramachandran, Vijaya and Shah, Manju K (1999), “Minority entrepreneurs and firm performance in sub-Saharan Africa”, </w:t>
      </w:r>
      <w:r w:rsidRPr="00323980">
        <w:rPr>
          <w:i/>
          <w:lang w:val="en-GB"/>
        </w:rPr>
        <w:t>The Journal of Development Studies</w:t>
      </w:r>
      <w:r w:rsidRPr="00323980">
        <w:rPr>
          <w:lang w:val="en-GB"/>
        </w:rPr>
        <w:t>, Vol. 36, No. 2, pp. 71-87.</w:t>
      </w:r>
      <w:proofErr w:type="gramEnd"/>
    </w:p>
    <w:p w:rsidR="00421EF3" w:rsidRPr="00323980" w:rsidRDefault="00421EF3" w:rsidP="009B3E73">
      <w:pPr>
        <w:pStyle w:val="MainText"/>
        <w:rPr>
          <w:lang w:val="en-GB"/>
        </w:rPr>
      </w:pPr>
      <w:r w:rsidRPr="00323980">
        <w:rPr>
          <w:lang w:val="en-GB"/>
        </w:rPr>
        <w:t>Rand, John (2008), “Access to Credit in Mozambique – Results based on the most recent Investment Climate Assessment (ICA)”</w:t>
      </w:r>
    </w:p>
    <w:p w:rsidR="00421EF3" w:rsidRPr="00323980" w:rsidRDefault="00421EF3" w:rsidP="009B3E73">
      <w:pPr>
        <w:pStyle w:val="MainText"/>
        <w:rPr>
          <w:lang w:val="en-GB"/>
        </w:rPr>
      </w:pPr>
      <w:r w:rsidRPr="00323980">
        <w:rPr>
          <w:lang w:val="en-GB"/>
        </w:rPr>
        <w:t>Rand, John and Schou, Søren (2012), “Has the business environment in Mozambique improved during the past 10 years?</w:t>
      </w:r>
      <w:proofErr w:type="gramStart"/>
      <w:r w:rsidRPr="00323980">
        <w:rPr>
          <w:lang w:val="en-GB"/>
        </w:rPr>
        <w:t>”,</w:t>
      </w:r>
      <w:proofErr w:type="gramEnd"/>
      <w:r w:rsidRPr="00323980">
        <w:rPr>
          <w:lang w:val="en-GB"/>
        </w:rPr>
        <w:t xml:space="preserve"> </w:t>
      </w:r>
      <w:r w:rsidRPr="00323980">
        <w:rPr>
          <w:i/>
          <w:lang w:val="en-GB"/>
        </w:rPr>
        <w:t>GREAT Insights</w:t>
      </w:r>
      <w:r w:rsidRPr="00323980">
        <w:rPr>
          <w:lang w:val="en-GB"/>
        </w:rPr>
        <w:t>, Volume 1, Issue 10. December 2012.</w:t>
      </w:r>
    </w:p>
    <w:p w:rsidR="00421EF3" w:rsidRPr="00323980" w:rsidRDefault="00421EF3" w:rsidP="009B3E73">
      <w:pPr>
        <w:pStyle w:val="MainText"/>
        <w:rPr>
          <w:lang w:val="en-GB"/>
        </w:rPr>
      </w:pPr>
      <w:r w:rsidRPr="00323980">
        <w:rPr>
          <w:lang w:val="en-GB"/>
        </w:rPr>
        <w:t xml:space="preserve">Rennie, Michael W (1993), “Born global”, </w:t>
      </w:r>
      <w:r w:rsidRPr="00323980">
        <w:rPr>
          <w:i/>
          <w:lang w:val="en-GB"/>
        </w:rPr>
        <w:t>The McKinsey Quarterly</w:t>
      </w:r>
      <w:r w:rsidRPr="00323980">
        <w:rPr>
          <w:lang w:val="en-GB"/>
        </w:rPr>
        <w:t>, No. 4, 1993, pp. 45-52.</w:t>
      </w:r>
    </w:p>
    <w:p w:rsidR="00421EF3" w:rsidRPr="00323980" w:rsidRDefault="00421EF3" w:rsidP="009B3E73">
      <w:pPr>
        <w:pStyle w:val="MainText"/>
        <w:rPr>
          <w:lang w:val="en-GB"/>
        </w:rPr>
      </w:pPr>
      <w:r w:rsidRPr="00323980">
        <w:rPr>
          <w:lang w:val="en-GB"/>
        </w:rPr>
        <w:t>RPED (1999), “Structure and Performance of Manufacturing in Mozambique”, RPED Paper No. 107, The World Bank, August 1999.</w:t>
      </w:r>
    </w:p>
    <w:p w:rsidR="00265AEB" w:rsidRPr="00323980" w:rsidRDefault="00265AEB" w:rsidP="009B3E73">
      <w:pPr>
        <w:pStyle w:val="MainText"/>
        <w:rPr>
          <w:lang w:val="en-GB"/>
        </w:rPr>
      </w:pPr>
      <w:r w:rsidRPr="00323980">
        <w:rPr>
          <w:lang w:val="en-GB"/>
        </w:rPr>
        <w:t xml:space="preserve">Svensson, Jakob (2003), "Who Must Pay Bribes And How Much? Evidence From A Cross Section Of Firms", </w:t>
      </w:r>
      <w:r w:rsidRPr="00323980">
        <w:rPr>
          <w:i/>
          <w:lang w:val="en-GB"/>
        </w:rPr>
        <w:t>The Quarterly Journal of Economics</w:t>
      </w:r>
      <w:r w:rsidRPr="00323980">
        <w:rPr>
          <w:lang w:val="en-GB"/>
        </w:rPr>
        <w:t>, MIT Press, Vol. 118, No. 1 (February), pp. 207-230.</w:t>
      </w:r>
    </w:p>
    <w:p w:rsidR="00CC714E" w:rsidRPr="00323980" w:rsidRDefault="00CC714E" w:rsidP="009B3E73">
      <w:pPr>
        <w:pStyle w:val="MainText"/>
        <w:rPr>
          <w:lang w:val="en-GB"/>
        </w:rPr>
      </w:pPr>
      <w:r w:rsidRPr="00323980">
        <w:rPr>
          <w:lang w:val="en-GB"/>
        </w:rPr>
        <w:t>Söderbom, Måns and Page, John (2012), “Is Small Beautiful? – Small Enterprise, Aid and Employment in Africa”, Paper presented at the UNU-WIDER seminar on “Aid and Employment”, Copenhagen, Denmark October 8</w:t>
      </w:r>
      <w:r w:rsidRPr="00323980">
        <w:rPr>
          <w:vertAlign w:val="superscript"/>
          <w:lang w:val="en-GB"/>
        </w:rPr>
        <w:t>th</w:t>
      </w:r>
      <w:r w:rsidRPr="00323980">
        <w:rPr>
          <w:lang w:val="en-GB"/>
        </w:rPr>
        <w:t xml:space="preserve"> 2012, Brookings Institution.</w:t>
      </w:r>
    </w:p>
    <w:p w:rsidR="00421EF3" w:rsidRPr="00323980" w:rsidRDefault="00421EF3" w:rsidP="009B3E73">
      <w:pPr>
        <w:pStyle w:val="MainText"/>
        <w:rPr>
          <w:lang w:val="en-GB"/>
        </w:rPr>
      </w:pPr>
      <w:r w:rsidRPr="00323980">
        <w:rPr>
          <w:lang w:val="en-GB"/>
        </w:rPr>
        <w:t xml:space="preserve">Warren-Rodriguez, Alex (2010), “Uncovering Trends in the Accumulation of Technological Capabilities and Skills in the Mozambican Manufacturing Sector”, </w:t>
      </w:r>
      <w:r w:rsidRPr="00323980">
        <w:rPr>
          <w:i/>
          <w:lang w:val="en-GB"/>
        </w:rPr>
        <w:t>Oxford Development Studies</w:t>
      </w:r>
      <w:r w:rsidRPr="00323980">
        <w:rPr>
          <w:lang w:val="en-GB"/>
        </w:rPr>
        <w:t>, vol. 38, No. 2, June 2010, pp. 171-198.</w:t>
      </w:r>
    </w:p>
    <w:p w:rsidR="00421EF3" w:rsidRPr="00323980" w:rsidRDefault="00421EF3" w:rsidP="009B3E73">
      <w:pPr>
        <w:pStyle w:val="MainText"/>
        <w:rPr>
          <w:lang w:val="en-GB"/>
        </w:rPr>
      </w:pPr>
      <w:r w:rsidRPr="00323980">
        <w:rPr>
          <w:lang w:val="en-GB"/>
        </w:rPr>
        <w:t>World Bank (2012), “Doing Business 2012: Doing Business in a More Transparent World - Economy Profile: Mozambique”, World Bank/IFC, Washington D.C.</w:t>
      </w:r>
    </w:p>
    <w:p w:rsidR="008F4453" w:rsidRPr="00323980" w:rsidRDefault="008F4453" w:rsidP="009B3E73">
      <w:pPr>
        <w:pStyle w:val="MainText"/>
        <w:rPr>
          <w:lang w:val="en-GB"/>
        </w:rPr>
      </w:pPr>
      <w:proofErr w:type="gramStart"/>
      <w:r w:rsidRPr="00323980">
        <w:rPr>
          <w:lang w:val="en-GB"/>
        </w:rPr>
        <w:lastRenderedPageBreak/>
        <w:t>World Bank (2013), “World Development Report 2013”.</w:t>
      </w:r>
      <w:proofErr w:type="gramEnd"/>
      <w:r w:rsidRPr="00323980">
        <w:rPr>
          <w:lang w:val="en-GB"/>
        </w:rPr>
        <w:t xml:space="preserve"> Available online here (March 15</w:t>
      </w:r>
      <w:r w:rsidRPr="00323980">
        <w:rPr>
          <w:vertAlign w:val="superscript"/>
          <w:lang w:val="en-GB"/>
        </w:rPr>
        <w:t>th</w:t>
      </w:r>
      <w:r w:rsidRPr="00323980">
        <w:rPr>
          <w:lang w:val="en-GB"/>
        </w:rPr>
        <w:t xml:space="preserve">, 2013): </w:t>
      </w:r>
      <w:hyperlink r:id="rId62" w:history="1">
        <w:r w:rsidRPr="00323980">
          <w:rPr>
            <w:rStyle w:val="Hyperlink"/>
            <w:lang w:val="en-GB"/>
          </w:rPr>
          <w:t>http://econ.worldbank.org/external/default/main?contentMDK=23044836&amp;theSitePK=8258025&amp;piPK=8258412&amp;pagePK=8258258</w:t>
        </w:r>
      </w:hyperlink>
    </w:p>
    <w:p w:rsidR="00421EF3" w:rsidRPr="00323980" w:rsidRDefault="00421EF3" w:rsidP="001E1137">
      <w:pPr>
        <w:pStyle w:val="MainText"/>
        <w:spacing w:after="0" w:line="276" w:lineRule="auto"/>
        <w:rPr>
          <w:lang w:val="en-GB"/>
        </w:rPr>
      </w:pPr>
    </w:p>
    <w:p w:rsidR="00421EF3" w:rsidRPr="00323980" w:rsidRDefault="00D77284" w:rsidP="001E1137">
      <w:pPr>
        <w:rPr>
          <w:b/>
          <w:u w:val="single"/>
          <w:lang w:val="en-GB"/>
        </w:rPr>
      </w:pPr>
      <w:bookmarkStart w:id="101" w:name="_Toc350533864"/>
      <w:r w:rsidRPr="00323980">
        <w:rPr>
          <w:b/>
          <w:u w:val="single"/>
          <w:lang w:val="en-GB"/>
        </w:rPr>
        <w:t xml:space="preserve">Newspapers, </w:t>
      </w:r>
      <w:r w:rsidR="00421EF3" w:rsidRPr="00323980">
        <w:rPr>
          <w:b/>
          <w:u w:val="single"/>
          <w:lang w:val="en-GB"/>
        </w:rPr>
        <w:t>newsletters</w:t>
      </w:r>
      <w:r w:rsidRPr="00323980">
        <w:rPr>
          <w:b/>
          <w:u w:val="single"/>
          <w:lang w:val="en-GB"/>
        </w:rPr>
        <w:t xml:space="preserve"> and web pages</w:t>
      </w:r>
      <w:r w:rsidR="00421EF3" w:rsidRPr="00323980">
        <w:rPr>
          <w:b/>
          <w:u w:val="single"/>
          <w:lang w:val="en-GB"/>
        </w:rPr>
        <w:t>:</w:t>
      </w:r>
      <w:bookmarkEnd w:id="101"/>
    </w:p>
    <w:p w:rsidR="00421EF3" w:rsidRPr="00323980" w:rsidRDefault="00421EF3" w:rsidP="001E1137">
      <w:pPr>
        <w:pStyle w:val="MainText"/>
        <w:rPr>
          <w:rStyle w:val="Hyperlink"/>
          <w:lang w:val="en-GB"/>
        </w:rPr>
      </w:pPr>
      <w:r w:rsidRPr="00CF3673">
        <w:rPr>
          <w:lang w:val="pt-PT"/>
        </w:rPr>
        <w:t xml:space="preserve">A Verdade, </w:t>
      </w:r>
      <w:proofErr w:type="spellStart"/>
      <w:r w:rsidRPr="00CF3673">
        <w:rPr>
          <w:lang w:val="pt-PT"/>
        </w:rPr>
        <w:t>October</w:t>
      </w:r>
      <w:proofErr w:type="spellEnd"/>
      <w:r w:rsidRPr="00CF3673">
        <w:rPr>
          <w:lang w:val="pt-PT"/>
        </w:rPr>
        <w:t xml:space="preserve"> 4</w:t>
      </w:r>
      <w:r w:rsidRPr="00CF3673">
        <w:rPr>
          <w:vertAlign w:val="superscript"/>
          <w:lang w:val="pt-PT"/>
        </w:rPr>
        <w:t>th</w:t>
      </w:r>
      <w:r w:rsidRPr="00CF3673">
        <w:rPr>
          <w:lang w:val="pt-PT"/>
        </w:rPr>
        <w:t xml:space="preserve">, 2012 “Os interesses empresariais dos “sobreviventes“ da Comissão Política”. </w:t>
      </w:r>
      <w:r w:rsidRPr="00323980">
        <w:rPr>
          <w:lang w:val="en-GB"/>
        </w:rPr>
        <w:t>Available online here (31</w:t>
      </w:r>
      <w:r w:rsidRPr="00323980">
        <w:rPr>
          <w:vertAlign w:val="superscript"/>
          <w:lang w:val="en-GB"/>
        </w:rPr>
        <w:t>st</w:t>
      </w:r>
      <w:r w:rsidRPr="00323980">
        <w:rPr>
          <w:lang w:val="en-GB"/>
        </w:rPr>
        <w:t xml:space="preserve"> December 2012): </w:t>
      </w:r>
      <w:hyperlink r:id="rId63" w:history="1">
        <w:r w:rsidRPr="00323980">
          <w:rPr>
            <w:rStyle w:val="Hyperlink"/>
            <w:lang w:val="en-GB"/>
          </w:rPr>
          <w:t>http://www.verdade.co.mz/destaques/democracia/30980-os-interesses-empresariais-dos-sobreviventes-da-comissao-politica</w:t>
        </w:r>
      </w:hyperlink>
    </w:p>
    <w:p w:rsidR="002A514F" w:rsidRPr="00323980" w:rsidRDefault="002A514F" w:rsidP="001E1137">
      <w:pPr>
        <w:pStyle w:val="MainText"/>
        <w:rPr>
          <w:lang w:val="en-GB"/>
        </w:rPr>
      </w:pPr>
      <w:r w:rsidRPr="00323980">
        <w:rPr>
          <w:lang w:val="en-GB"/>
        </w:rPr>
        <w:t>Allafrica.com, August 28</w:t>
      </w:r>
      <w:r w:rsidRPr="00323980">
        <w:rPr>
          <w:vertAlign w:val="superscript"/>
          <w:lang w:val="en-GB"/>
        </w:rPr>
        <w:t>th</w:t>
      </w:r>
      <w:r w:rsidRPr="00323980">
        <w:rPr>
          <w:lang w:val="en-GB"/>
        </w:rPr>
        <w:t>, 2012, “Mozambique: Mozal Accounts for Almost Half Mozambican Exports”. Available online here (February 10</w:t>
      </w:r>
      <w:r w:rsidRPr="00323980">
        <w:rPr>
          <w:vertAlign w:val="superscript"/>
          <w:lang w:val="en-GB"/>
        </w:rPr>
        <w:t>th</w:t>
      </w:r>
      <w:r w:rsidRPr="00323980">
        <w:rPr>
          <w:lang w:val="en-GB"/>
        </w:rPr>
        <w:t xml:space="preserve"> 2013): </w:t>
      </w:r>
      <w:hyperlink r:id="rId64" w:history="1">
        <w:r w:rsidRPr="00323980">
          <w:rPr>
            <w:rStyle w:val="Hyperlink"/>
            <w:lang w:val="en-GB"/>
          </w:rPr>
          <w:t>http://allafrica.com/stories/201208310791.html?page=1</w:t>
        </w:r>
      </w:hyperlink>
    </w:p>
    <w:p w:rsidR="00421EF3" w:rsidRPr="00323980" w:rsidRDefault="00421EF3" w:rsidP="001E1137">
      <w:pPr>
        <w:pStyle w:val="MainText"/>
        <w:rPr>
          <w:lang w:val="en-GB"/>
        </w:rPr>
      </w:pPr>
      <w:r w:rsidRPr="00323980">
        <w:rPr>
          <w:lang w:val="en-GB"/>
        </w:rPr>
        <w:t>AIM, March 13</w:t>
      </w:r>
      <w:r w:rsidRPr="00323980">
        <w:rPr>
          <w:vertAlign w:val="superscript"/>
          <w:lang w:val="en-GB"/>
        </w:rPr>
        <w:t>th</w:t>
      </w:r>
      <w:r w:rsidRPr="00323980">
        <w:rPr>
          <w:lang w:val="en-GB"/>
        </w:rPr>
        <w:t>, 2012, “Maputo: Mayor promises to move stalls away from schools”. Available online here (31</w:t>
      </w:r>
      <w:r w:rsidRPr="00323980">
        <w:rPr>
          <w:vertAlign w:val="superscript"/>
          <w:lang w:val="en-GB"/>
        </w:rPr>
        <w:t>st</w:t>
      </w:r>
      <w:r w:rsidRPr="00323980">
        <w:rPr>
          <w:lang w:val="en-GB"/>
        </w:rPr>
        <w:t xml:space="preserve"> December 2012): </w:t>
      </w:r>
      <w:hyperlink r:id="rId65" w:history="1">
        <w:r w:rsidR="001E1137" w:rsidRPr="00323980">
          <w:rPr>
            <w:rStyle w:val="Hyperlink"/>
            <w:lang w:val="en-GB"/>
          </w:rPr>
          <w:t>http://www.clubofmozambique.com/solutions1/sectionnews.php?</w:t>
        </w:r>
        <w:r w:rsidR="001E1137" w:rsidRPr="00323980">
          <w:rPr>
            <w:rStyle w:val="Hyperlink"/>
            <w:lang w:val="en-GB"/>
          </w:rPr>
          <w:softHyphen/>
          <w:t>secao=mozam</w:t>
        </w:r>
        <w:r w:rsidR="001E1137" w:rsidRPr="00323980">
          <w:rPr>
            <w:rStyle w:val="Hyperlink"/>
            <w:lang w:val="en-GB"/>
          </w:rPr>
          <w:softHyphen/>
          <w:t>bique</w:t>
        </w:r>
        <w:r w:rsidR="001E1137" w:rsidRPr="00323980">
          <w:rPr>
            <w:rStyle w:val="Hyperlink"/>
            <w:lang w:val="en-GB"/>
          </w:rPr>
          <w:softHyphen/>
          <w:t>&amp;</w:t>
        </w:r>
        <w:r w:rsidR="001E1137" w:rsidRPr="00323980">
          <w:rPr>
            <w:rStyle w:val="Hyperlink"/>
            <w:lang w:val="en-GB"/>
          </w:rPr>
          <w:softHyphen/>
          <w:t>id=</w:t>
        </w:r>
        <w:r w:rsidR="001E1137" w:rsidRPr="00323980">
          <w:rPr>
            <w:rStyle w:val="Hyperlink"/>
            <w:lang w:val="en-GB"/>
          </w:rPr>
          <w:softHyphen/>
          <w:t>24367</w:t>
        </w:r>
        <w:r w:rsidR="001E1137" w:rsidRPr="00323980">
          <w:rPr>
            <w:rStyle w:val="Hyperlink"/>
            <w:lang w:val="en-GB"/>
          </w:rPr>
          <w:softHyphen/>
          <w:t>&amp;tipo=one</w:t>
        </w:r>
      </w:hyperlink>
      <w:r w:rsidRPr="00323980">
        <w:rPr>
          <w:lang w:val="en-GB"/>
        </w:rPr>
        <w:t xml:space="preserve"> </w:t>
      </w:r>
    </w:p>
    <w:p w:rsidR="00421EF3" w:rsidRPr="00323980" w:rsidRDefault="00421EF3" w:rsidP="001E1137">
      <w:pPr>
        <w:pStyle w:val="MainText"/>
        <w:rPr>
          <w:lang w:val="en-GB"/>
        </w:rPr>
      </w:pPr>
      <w:proofErr w:type="gramStart"/>
      <w:r w:rsidRPr="00323980">
        <w:rPr>
          <w:lang w:val="en-GB"/>
        </w:rPr>
        <w:t>Club of Mozambique, April 28</w:t>
      </w:r>
      <w:r w:rsidRPr="00323980">
        <w:rPr>
          <w:vertAlign w:val="superscript"/>
          <w:lang w:val="en-GB"/>
        </w:rPr>
        <w:t>th</w:t>
      </w:r>
      <w:r w:rsidRPr="00323980">
        <w:rPr>
          <w:lang w:val="en-GB"/>
        </w:rPr>
        <w:t>, 2011, “New Minimum Wages Announced”.</w:t>
      </w:r>
      <w:proofErr w:type="gramEnd"/>
      <w:r w:rsidRPr="00323980">
        <w:rPr>
          <w:lang w:val="en-GB"/>
        </w:rPr>
        <w:t xml:space="preserve"> Available online here (31</w:t>
      </w:r>
      <w:r w:rsidRPr="00323980">
        <w:rPr>
          <w:vertAlign w:val="superscript"/>
          <w:lang w:val="en-GB"/>
        </w:rPr>
        <w:t>st</w:t>
      </w:r>
      <w:r w:rsidRPr="00323980">
        <w:rPr>
          <w:lang w:val="en-GB"/>
        </w:rPr>
        <w:t xml:space="preserve"> December 2012): </w:t>
      </w:r>
      <w:hyperlink r:id="rId66" w:history="1">
        <w:r w:rsidR="001E1137" w:rsidRPr="00323980">
          <w:rPr>
            <w:rStyle w:val="Hyperlink"/>
            <w:lang w:val="en-GB"/>
          </w:rPr>
          <w:t>http://www.clubofmozambique.com/solutions1/sectionnews.php?se</w:t>
        </w:r>
        <w:r w:rsidR="001E1137" w:rsidRPr="00323980">
          <w:rPr>
            <w:rStyle w:val="Hyperlink"/>
            <w:lang w:val="en-GB"/>
          </w:rPr>
          <w:softHyphen/>
          <w:t>cao=business</w:t>
        </w:r>
        <w:r w:rsidR="001E1137" w:rsidRPr="00323980">
          <w:rPr>
            <w:rStyle w:val="Hyperlink"/>
            <w:lang w:val="en-GB"/>
          </w:rPr>
          <w:softHyphen/>
          <w:t>&amp;id=</w:t>
        </w:r>
        <w:r w:rsidR="001E1137" w:rsidRPr="00323980">
          <w:rPr>
            <w:rStyle w:val="Hyperlink"/>
            <w:lang w:val="en-GB"/>
          </w:rPr>
          <w:softHyphen/>
          <w:t>21</w:t>
        </w:r>
        <w:r w:rsidR="001E1137" w:rsidRPr="00323980">
          <w:rPr>
            <w:rStyle w:val="Hyperlink"/>
            <w:lang w:val="en-GB"/>
          </w:rPr>
          <w:softHyphen/>
          <w:t>5</w:t>
        </w:r>
        <w:r w:rsidR="001E1137" w:rsidRPr="00323980">
          <w:rPr>
            <w:rStyle w:val="Hyperlink"/>
            <w:lang w:val="en-GB"/>
          </w:rPr>
          <w:softHyphen/>
          <w:t>87</w:t>
        </w:r>
        <w:r w:rsidR="001E1137" w:rsidRPr="00323980">
          <w:rPr>
            <w:rStyle w:val="Hyperlink"/>
            <w:lang w:val="en-GB"/>
          </w:rPr>
          <w:softHyphen/>
          <w:t>&amp;</w:t>
        </w:r>
        <w:r w:rsidR="001E1137" w:rsidRPr="00323980">
          <w:rPr>
            <w:rStyle w:val="Hyperlink"/>
            <w:lang w:val="en-GB"/>
          </w:rPr>
          <w:softHyphen/>
          <w:t>tipo</w:t>
        </w:r>
        <w:r w:rsidR="001E1137" w:rsidRPr="00323980">
          <w:rPr>
            <w:rStyle w:val="Hyperlink"/>
            <w:lang w:val="en-GB"/>
          </w:rPr>
          <w:softHyphen/>
          <w:t>=one</w:t>
        </w:r>
      </w:hyperlink>
    </w:p>
    <w:p w:rsidR="00421EF3" w:rsidRPr="00323980" w:rsidRDefault="00421EF3" w:rsidP="001E1137">
      <w:pPr>
        <w:pStyle w:val="MainText"/>
        <w:rPr>
          <w:lang w:val="en-GB"/>
        </w:rPr>
      </w:pPr>
      <w:r w:rsidRPr="00323980">
        <w:rPr>
          <w:lang w:val="en-GB"/>
        </w:rPr>
        <w:t xml:space="preserve">Mozambique News Reports &amp; Clippings, November </w:t>
      </w:r>
      <w:proofErr w:type="gramStart"/>
      <w:r w:rsidRPr="00323980">
        <w:rPr>
          <w:lang w:val="en-GB"/>
        </w:rPr>
        <w:t>7</w:t>
      </w:r>
      <w:r w:rsidRPr="00323980">
        <w:rPr>
          <w:vertAlign w:val="superscript"/>
          <w:lang w:val="en-GB"/>
        </w:rPr>
        <w:t>th</w:t>
      </w:r>
      <w:r w:rsidRPr="00323980">
        <w:rPr>
          <w:lang w:val="en-GB"/>
        </w:rPr>
        <w:t xml:space="preserve"> ,</w:t>
      </w:r>
      <w:proofErr w:type="gramEnd"/>
      <w:r w:rsidRPr="00323980">
        <w:rPr>
          <w:lang w:val="en-GB"/>
        </w:rPr>
        <w:t xml:space="preserve"> 2012, “Interest rates: down but not down”. Available online here (31</w:t>
      </w:r>
      <w:r w:rsidRPr="00323980">
        <w:rPr>
          <w:vertAlign w:val="superscript"/>
          <w:lang w:val="en-GB"/>
        </w:rPr>
        <w:t>st</w:t>
      </w:r>
      <w:r w:rsidRPr="00323980">
        <w:rPr>
          <w:lang w:val="en-GB"/>
        </w:rPr>
        <w:t xml:space="preserve"> December 2012): </w:t>
      </w:r>
      <w:hyperlink r:id="rId67" w:history="1">
        <w:r w:rsidR="001E1137" w:rsidRPr="00323980">
          <w:rPr>
            <w:rStyle w:val="Hyperlink"/>
            <w:lang w:val="en-GB"/>
          </w:rPr>
          <w:t>http://www.open.ac.uk/technology/mozambique</w:t>
        </w:r>
        <w:r w:rsidR="001E1137" w:rsidRPr="00323980">
          <w:rPr>
            <w:rStyle w:val="Hyperlink"/>
            <w:lang w:val="en-GB"/>
          </w:rPr>
          <w:softHyphen/>
          <w:t>/pics/d136950.pdf</w:t>
        </w:r>
      </w:hyperlink>
    </w:p>
    <w:p w:rsidR="00421EF3" w:rsidRPr="00323980" w:rsidRDefault="00421EF3" w:rsidP="001E1137">
      <w:pPr>
        <w:pStyle w:val="MainText"/>
        <w:rPr>
          <w:lang w:val="en-GB"/>
        </w:rPr>
      </w:pPr>
      <w:r w:rsidRPr="00CF3673">
        <w:rPr>
          <w:lang w:val="pt-PT"/>
        </w:rPr>
        <w:t xml:space="preserve">O País, </w:t>
      </w:r>
      <w:proofErr w:type="spellStart"/>
      <w:r w:rsidRPr="00CF3673">
        <w:rPr>
          <w:lang w:val="pt-PT"/>
        </w:rPr>
        <w:t>March</w:t>
      </w:r>
      <w:proofErr w:type="spellEnd"/>
      <w:r w:rsidRPr="00CF3673">
        <w:rPr>
          <w:lang w:val="pt-PT"/>
        </w:rPr>
        <w:t xml:space="preserve"> 8</w:t>
      </w:r>
      <w:r w:rsidRPr="00CF3673">
        <w:rPr>
          <w:vertAlign w:val="superscript"/>
          <w:lang w:val="pt-PT"/>
        </w:rPr>
        <w:t>th</w:t>
      </w:r>
      <w:r w:rsidRPr="00CF3673">
        <w:rPr>
          <w:lang w:val="pt-PT"/>
        </w:rPr>
        <w:t xml:space="preserve">, 2012, “Por que </w:t>
      </w:r>
      <w:proofErr w:type="spellStart"/>
      <w:r w:rsidRPr="00CF3673">
        <w:rPr>
          <w:lang w:val="pt-PT"/>
        </w:rPr>
        <w:t>Simango</w:t>
      </w:r>
      <w:proofErr w:type="spellEnd"/>
      <w:r w:rsidRPr="00CF3673">
        <w:rPr>
          <w:lang w:val="pt-PT"/>
        </w:rPr>
        <w:t xml:space="preserve"> perdeu a guerra com os informais?”. </w:t>
      </w:r>
      <w:r w:rsidRPr="00323980">
        <w:rPr>
          <w:lang w:val="en-GB"/>
        </w:rPr>
        <w:t>Available online here (31</w:t>
      </w:r>
      <w:r w:rsidRPr="00323980">
        <w:rPr>
          <w:vertAlign w:val="superscript"/>
          <w:lang w:val="en-GB"/>
        </w:rPr>
        <w:t>st</w:t>
      </w:r>
      <w:r w:rsidRPr="00323980">
        <w:rPr>
          <w:lang w:val="en-GB"/>
        </w:rPr>
        <w:t xml:space="preserve"> December 2012): </w:t>
      </w:r>
      <w:hyperlink r:id="rId68" w:history="1">
        <w:r w:rsidRPr="00323980">
          <w:rPr>
            <w:rStyle w:val="Hyperlink"/>
            <w:lang w:val="en-GB"/>
          </w:rPr>
          <w:t>http://www.opais.co.mz/index.php/opiniao/90-jeremias-langa/19374-por-que-simango-perdeu-a-guerra-com-os-informais.html</w:t>
        </w:r>
      </w:hyperlink>
    </w:p>
    <w:p w:rsidR="00421EF3" w:rsidRPr="00323980" w:rsidRDefault="00421EF3" w:rsidP="001E1137">
      <w:pPr>
        <w:pStyle w:val="MainText"/>
        <w:rPr>
          <w:lang w:val="en-GB"/>
        </w:rPr>
      </w:pPr>
      <w:r w:rsidRPr="00323980">
        <w:rPr>
          <w:lang w:val="en-GB"/>
        </w:rPr>
        <w:t>O País, April 18</w:t>
      </w:r>
      <w:r w:rsidRPr="00323980">
        <w:rPr>
          <w:vertAlign w:val="superscript"/>
          <w:lang w:val="en-GB"/>
        </w:rPr>
        <w:t>th</w:t>
      </w:r>
      <w:r w:rsidRPr="00323980">
        <w:rPr>
          <w:lang w:val="en-GB"/>
        </w:rPr>
        <w:t>, 2012, “Mozambique: Govt Approves New Minimum Wages”.</w:t>
      </w:r>
      <w:r w:rsidR="008B5BF2" w:rsidRPr="00323980">
        <w:rPr>
          <w:lang w:val="en-GB"/>
        </w:rPr>
        <w:t xml:space="preserve"> </w:t>
      </w:r>
      <w:r w:rsidRPr="00323980">
        <w:rPr>
          <w:lang w:val="en-GB"/>
        </w:rPr>
        <w:t>Available online here (31</w:t>
      </w:r>
      <w:r w:rsidRPr="00323980">
        <w:rPr>
          <w:vertAlign w:val="superscript"/>
          <w:lang w:val="en-GB"/>
        </w:rPr>
        <w:t>st</w:t>
      </w:r>
      <w:r w:rsidRPr="00323980">
        <w:rPr>
          <w:lang w:val="en-GB"/>
        </w:rPr>
        <w:t xml:space="preserve"> December 2012): </w:t>
      </w:r>
      <w:hyperlink r:id="rId69" w:history="1">
        <w:r w:rsidRPr="00323980">
          <w:rPr>
            <w:rStyle w:val="Hyperlink"/>
            <w:lang w:val="en-GB"/>
          </w:rPr>
          <w:t>http://allafrica.com/stories/201204190233.html</w:t>
        </w:r>
      </w:hyperlink>
    </w:p>
    <w:p w:rsidR="002E637E" w:rsidRPr="00323980" w:rsidRDefault="002E637E" w:rsidP="001E1137">
      <w:pPr>
        <w:pStyle w:val="MainText"/>
        <w:rPr>
          <w:lang w:val="en-GB"/>
        </w:rPr>
      </w:pPr>
      <w:r w:rsidRPr="00323980">
        <w:rPr>
          <w:lang w:val="en-GB"/>
        </w:rPr>
        <w:t>Portal do Governo de Moçambique, May 24</w:t>
      </w:r>
      <w:r w:rsidRPr="00323980">
        <w:rPr>
          <w:vertAlign w:val="superscript"/>
          <w:lang w:val="en-GB"/>
        </w:rPr>
        <w:t>th</w:t>
      </w:r>
      <w:r w:rsidRPr="00323980">
        <w:rPr>
          <w:lang w:val="en-GB"/>
        </w:rPr>
        <w:t>, 2007, “Salário mínimo: CCT remete propostas ao Governo “. Available online here (February 4</w:t>
      </w:r>
      <w:r w:rsidRPr="00323980">
        <w:rPr>
          <w:vertAlign w:val="superscript"/>
          <w:lang w:val="en-GB"/>
        </w:rPr>
        <w:t>th</w:t>
      </w:r>
      <w:r w:rsidRPr="00323980">
        <w:rPr>
          <w:lang w:val="en-GB"/>
        </w:rPr>
        <w:t xml:space="preserve">, 2013): </w:t>
      </w:r>
      <w:hyperlink r:id="rId70" w:history="1">
        <w:r w:rsidR="001E1137" w:rsidRPr="00323980">
          <w:rPr>
            <w:rStyle w:val="Hyperlink"/>
            <w:lang w:val="en-GB"/>
          </w:rPr>
          <w:t>http://www.portaldogoverno.gov.mz/noticias/news_</w:t>
        </w:r>
        <w:r w:rsidR="001E1137" w:rsidRPr="00323980">
          <w:rPr>
            <w:rStyle w:val="Hyperlink"/>
            <w:lang w:val="en-GB"/>
          </w:rPr>
          <w:softHyphen/>
          <w:t>folder_politica/</w:t>
        </w:r>
        <w:r w:rsidR="001E1137" w:rsidRPr="00323980">
          <w:rPr>
            <w:rStyle w:val="Hyperlink"/>
            <w:lang w:val="en-GB"/>
          </w:rPr>
          <w:softHyphen/>
          <w:t>maio2007/nots_po_364_mai_07/</w:t>
        </w:r>
      </w:hyperlink>
    </w:p>
    <w:p w:rsidR="001954BB" w:rsidRPr="00323980" w:rsidRDefault="00D77284" w:rsidP="001E1137">
      <w:pPr>
        <w:pStyle w:val="MainText"/>
        <w:rPr>
          <w:lang w:val="en-GB"/>
        </w:rPr>
      </w:pPr>
      <w:r w:rsidRPr="00CF3673">
        <w:rPr>
          <w:lang w:val="pt-PT"/>
        </w:rPr>
        <w:t xml:space="preserve">sapo.mz, </w:t>
      </w:r>
      <w:proofErr w:type="spellStart"/>
      <w:r w:rsidRPr="00CF3673">
        <w:rPr>
          <w:lang w:val="pt-PT"/>
        </w:rPr>
        <w:t>May</w:t>
      </w:r>
      <w:proofErr w:type="spellEnd"/>
      <w:r w:rsidRPr="00CF3673">
        <w:rPr>
          <w:lang w:val="pt-PT"/>
        </w:rPr>
        <w:t xml:space="preserve"> 26</w:t>
      </w:r>
      <w:r w:rsidRPr="00CF3673">
        <w:rPr>
          <w:vertAlign w:val="superscript"/>
          <w:lang w:val="pt-PT"/>
        </w:rPr>
        <w:t>th</w:t>
      </w:r>
      <w:r w:rsidRPr="00CF3673">
        <w:rPr>
          <w:lang w:val="pt-PT"/>
        </w:rPr>
        <w:t xml:space="preserve">, 2012, “Sistema Bancário Moçambicano cobre 58 Distritos”. </w:t>
      </w:r>
      <w:r w:rsidRPr="00323980">
        <w:rPr>
          <w:lang w:val="en-GB"/>
        </w:rPr>
        <w:t>Available online here (March 13</w:t>
      </w:r>
      <w:r w:rsidRPr="00323980">
        <w:rPr>
          <w:vertAlign w:val="superscript"/>
          <w:lang w:val="en-GB"/>
        </w:rPr>
        <w:t>th</w:t>
      </w:r>
      <w:r w:rsidRPr="00323980">
        <w:rPr>
          <w:lang w:val="en-GB"/>
        </w:rPr>
        <w:t xml:space="preserve">, 2013): </w:t>
      </w:r>
      <w:hyperlink r:id="rId71" w:history="1">
        <w:r w:rsidRPr="00323980">
          <w:rPr>
            <w:rStyle w:val="Hyperlink"/>
            <w:lang w:val="en-GB"/>
          </w:rPr>
          <w:t>http://noticias.sapo.mz/aim/artigo/489926052012180048.html</w:t>
        </w:r>
      </w:hyperlink>
      <w:r w:rsidR="001954BB" w:rsidRPr="00323980">
        <w:rPr>
          <w:lang w:val="en-GB"/>
        </w:rPr>
        <w:br w:type="page"/>
      </w:r>
    </w:p>
    <w:p w:rsidR="0012156B" w:rsidRPr="00B20E4D" w:rsidRDefault="0012156B" w:rsidP="001E664B">
      <w:pPr>
        <w:pStyle w:val="ChapterTitle"/>
        <w:rPr>
          <w:lang w:val="pt-PT"/>
        </w:rPr>
      </w:pPr>
      <w:bookmarkStart w:id="102" w:name="_Toc360720413"/>
      <w:r w:rsidRPr="00CF3673">
        <w:rPr>
          <w:noProof/>
        </w:rPr>
        <w:lastRenderedPageBreak/>
        <w:drawing>
          <wp:anchor distT="0" distB="0" distL="114300" distR="114300" simplePos="0" relativeHeight="251658240" behindDoc="1" locked="0" layoutInCell="1" allowOverlap="1" wp14:anchorId="5B6843F6" wp14:editId="4A04122D">
            <wp:simplePos x="0" y="0"/>
            <wp:positionH relativeFrom="column">
              <wp:posOffset>-34290</wp:posOffset>
            </wp:positionH>
            <wp:positionV relativeFrom="paragraph">
              <wp:posOffset>30480</wp:posOffset>
            </wp:positionV>
            <wp:extent cx="5904230" cy="8531860"/>
            <wp:effectExtent l="0" t="0" r="127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cal_and_road_map_of_mozambique.jpg"/>
                    <pic:cNvPicPr/>
                  </pic:nvPicPr>
                  <pic:blipFill>
                    <a:blip r:embed="rId72">
                      <a:extLst>
                        <a:ext uri="{28A0092B-C50C-407E-A947-70E740481C1C}">
                          <a14:useLocalDpi xmlns:a14="http://schemas.microsoft.com/office/drawing/2010/main" val="0"/>
                        </a:ext>
                      </a:extLst>
                    </a:blip>
                    <a:stretch>
                      <a:fillRect/>
                    </a:stretch>
                  </pic:blipFill>
                  <pic:spPr>
                    <a:xfrm>
                      <a:off x="0" y="0"/>
                      <a:ext cx="5904230" cy="8531860"/>
                    </a:xfrm>
                    <a:prstGeom prst="rect">
                      <a:avLst/>
                    </a:prstGeom>
                  </pic:spPr>
                </pic:pic>
              </a:graphicData>
            </a:graphic>
            <wp14:sizeRelH relativeFrom="page">
              <wp14:pctWidth>0</wp14:pctWidth>
            </wp14:sizeRelH>
            <wp14:sizeRelV relativeFrom="page">
              <wp14:pctHeight>0</wp14:pctHeight>
            </wp14:sizeRelV>
          </wp:anchor>
        </w:drawing>
      </w:r>
      <w:proofErr w:type="spellStart"/>
      <w:r w:rsidR="007D6ADF" w:rsidRPr="00CF3673">
        <w:rPr>
          <w:lang w:val="pt-PT"/>
        </w:rPr>
        <w:t>Appendix</w:t>
      </w:r>
      <w:proofErr w:type="spellEnd"/>
      <w:r w:rsidR="007D6ADF" w:rsidRPr="00CF3673">
        <w:rPr>
          <w:lang w:val="pt-PT"/>
        </w:rPr>
        <w:t xml:space="preserve"> 1: </w:t>
      </w:r>
      <w:proofErr w:type="spellStart"/>
      <w:r w:rsidR="007D6ADF" w:rsidRPr="00CF3673">
        <w:rPr>
          <w:lang w:val="pt-PT"/>
        </w:rPr>
        <w:t>Map</w:t>
      </w:r>
      <w:proofErr w:type="spellEnd"/>
      <w:r w:rsidR="007D6ADF" w:rsidRPr="00CF3673">
        <w:rPr>
          <w:lang w:val="pt-PT"/>
        </w:rPr>
        <w:t xml:space="preserve"> </w:t>
      </w:r>
      <w:proofErr w:type="spellStart"/>
      <w:r w:rsidR="007D6ADF" w:rsidRPr="00CF3673">
        <w:rPr>
          <w:lang w:val="pt-PT"/>
        </w:rPr>
        <w:t>of</w:t>
      </w:r>
      <w:proofErr w:type="spellEnd"/>
      <w:r w:rsidR="007D6ADF" w:rsidRPr="00CF3673">
        <w:rPr>
          <w:lang w:val="pt-PT"/>
        </w:rPr>
        <w:t xml:space="preserve"> Mozambique</w:t>
      </w:r>
      <w:bookmarkEnd w:id="102"/>
    </w:p>
    <w:p w:rsidR="007D6ADF" w:rsidRPr="00B20E4D" w:rsidRDefault="007D6ADF" w:rsidP="0085774F">
      <w:pPr>
        <w:rPr>
          <w:b/>
          <w:u w:val="single"/>
        </w:rPr>
      </w:pPr>
    </w:p>
    <w:sectPr w:rsidR="007D6ADF" w:rsidRPr="00B20E4D">
      <w:footerReference w:type="default" r:id="rId7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EAE" w:rsidRDefault="00722EAE" w:rsidP="00E3653B">
      <w:pPr>
        <w:spacing w:after="0" w:line="240" w:lineRule="auto"/>
      </w:pPr>
      <w:r>
        <w:separator/>
      </w:r>
    </w:p>
  </w:endnote>
  <w:endnote w:type="continuationSeparator" w:id="0">
    <w:p w:rsidR="00722EAE" w:rsidRDefault="00722EAE" w:rsidP="00E36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080E0000" w:usb2="00000010"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4309367"/>
      <w:docPartObj>
        <w:docPartGallery w:val="Page Numbers (Bottom of Page)"/>
        <w:docPartUnique/>
      </w:docPartObj>
    </w:sdtPr>
    <w:sdtEndPr/>
    <w:sdtContent>
      <w:p w:rsidR="006A4724" w:rsidRDefault="006A4724">
        <w:pPr>
          <w:pStyle w:val="Footer"/>
          <w:jc w:val="right"/>
        </w:pPr>
        <w:r>
          <w:fldChar w:fldCharType="begin"/>
        </w:r>
        <w:r>
          <w:instrText>PAGE   \* MERGEFORMAT</w:instrText>
        </w:r>
        <w:r>
          <w:fldChar w:fldCharType="separate"/>
        </w:r>
        <w:r w:rsidR="00E93501">
          <w:rPr>
            <w:noProof/>
          </w:rPr>
          <w:t>45</w:t>
        </w:r>
        <w:r>
          <w:fldChar w:fldCharType="end"/>
        </w:r>
      </w:p>
    </w:sdtContent>
  </w:sdt>
  <w:p w:rsidR="006A4724" w:rsidRDefault="006A472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EAE" w:rsidRDefault="00722EAE" w:rsidP="00E3653B">
      <w:pPr>
        <w:spacing w:after="0" w:line="240" w:lineRule="auto"/>
      </w:pPr>
      <w:r>
        <w:separator/>
      </w:r>
    </w:p>
  </w:footnote>
  <w:footnote w:type="continuationSeparator" w:id="0">
    <w:p w:rsidR="00722EAE" w:rsidRDefault="00722EAE" w:rsidP="00E3653B">
      <w:pPr>
        <w:spacing w:after="0" w:line="240" w:lineRule="auto"/>
      </w:pPr>
      <w:r>
        <w:continuationSeparator/>
      </w:r>
    </w:p>
  </w:footnote>
  <w:footnote w:id="1">
    <w:p w:rsidR="006A4724" w:rsidRPr="00ED2EEC" w:rsidRDefault="006A4724">
      <w:pPr>
        <w:pStyle w:val="FootnoteText"/>
        <w:rPr>
          <w:lang w:val="da-DK"/>
        </w:rPr>
      </w:pPr>
      <w:r>
        <w:rPr>
          <w:rStyle w:val="FootnoteReference"/>
        </w:rPr>
        <w:footnoteRef/>
      </w:r>
      <w:r>
        <w:t xml:space="preserve"> Veja por exemplo. </w:t>
      </w:r>
      <w:proofErr w:type="spellStart"/>
      <w:r w:rsidRPr="00E31B5D">
        <w:t>The</w:t>
      </w:r>
      <w:proofErr w:type="spellEnd"/>
      <w:r w:rsidRPr="00E31B5D">
        <w:t xml:space="preserve"> </w:t>
      </w:r>
      <w:proofErr w:type="spellStart"/>
      <w:r w:rsidRPr="00E31B5D">
        <w:t>Mozambican</w:t>
      </w:r>
      <w:proofErr w:type="spellEnd"/>
      <w:r w:rsidRPr="00E31B5D">
        <w:t xml:space="preserve"> </w:t>
      </w:r>
      <w:proofErr w:type="spellStart"/>
      <w:r w:rsidRPr="00E31B5D">
        <w:t>Export</w:t>
      </w:r>
      <w:proofErr w:type="spellEnd"/>
      <w:r w:rsidRPr="00E31B5D">
        <w:t xml:space="preserve"> </w:t>
      </w:r>
      <w:proofErr w:type="spellStart"/>
      <w:r w:rsidRPr="00E31B5D">
        <w:t>Promotion</w:t>
      </w:r>
      <w:proofErr w:type="spellEnd"/>
      <w:r w:rsidRPr="00E31B5D">
        <w:t xml:space="preserve"> </w:t>
      </w:r>
      <w:proofErr w:type="spellStart"/>
      <w:r w:rsidRPr="00E31B5D">
        <w:t>Institute</w:t>
      </w:r>
      <w:proofErr w:type="spellEnd"/>
      <w:r w:rsidRPr="00E31B5D">
        <w:t xml:space="preserve"> (IPEX), citado pela </w:t>
      </w:r>
      <w:proofErr w:type="spellStart"/>
      <w:r w:rsidRPr="00E31B5D">
        <w:t>by</w:t>
      </w:r>
      <w:proofErr w:type="spellEnd"/>
      <w:r w:rsidRPr="00E31B5D">
        <w:t xml:space="preserve"> Allafrica.com em 12 de Agosto 2012. </w:t>
      </w:r>
      <w:r>
        <w:t>Uma outra forma de verificar é que a Mozal gera maior produção do que quatro vezes mais que 20 maiores empresas manufactureiras seguintes juntas</w:t>
      </w:r>
      <w:r w:rsidRPr="00E31B5D">
        <w:t xml:space="preserve"> (KPMG, 2011)</w:t>
      </w:r>
    </w:p>
  </w:footnote>
  <w:footnote w:id="2">
    <w:p w:rsidR="006A4724" w:rsidRPr="00320023" w:rsidRDefault="006A4724">
      <w:pPr>
        <w:pStyle w:val="FootnoteText"/>
        <w:rPr>
          <w:lang w:val="da-DK"/>
        </w:rPr>
      </w:pPr>
      <w:r>
        <w:rPr>
          <w:rStyle w:val="FootnoteReference"/>
        </w:rPr>
        <w:footnoteRef/>
      </w:r>
      <w:r>
        <w:t xml:space="preserve"> Veja por exemplo AIM, Março, 13 2012 ou O País, Março, 2012</w:t>
      </w:r>
    </w:p>
  </w:footnote>
  <w:footnote w:id="3">
    <w:p w:rsidR="006A4724" w:rsidRPr="00BD537C" w:rsidRDefault="006A4724">
      <w:pPr>
        <w:pStyle w:val="FootnoteText"/>
        <w:rPr>
          <w:lang w:val="da-DK"/>
        </w:rPr>
      </w:pPr>
      <w:r>
        <w:rPr>
          <w:rStyle w:val="FootnoteReference"/>
        </w:rPr>
        <w:footnoteRef/>
      </w:r>
      <w:r w:rsidRPr="00BD537C">
        <w:rPr>
          <w:lang w:val="da-DK"/>
        </w:rPr>
        <w:t xml:space="preserve"> Para alguns sectores (em particular alimentação, sobretudo por</w:t>
      </w:r>
      <w:r>
        <w:rPr>
          <w:lang w:val="da-DK"/>
        </w:rPr>
        <w:t xml:space="preserve"> estarem envolvidas questões de higiene e segurança alimentar)</w:t>
      </w:r>
      <w:r w:rsidRPr="00BD537C">
        <w:rPr>
          <w:lang w:val="da-DK"/>
        </w:rPr>
        <w:t xml:space="preserve">, </w:t>
      </w:r>
      <w:r>
        <w:rPr>
          <w:lang w:val="da-DK"/>
        </w:rPr>
        <w:t>os registo da micro empresas é feito pela s DPIC</w:t>
      </w:r>
      <w:r w:rsidRPr="00BD537C">
        <w:rPr>
          <w:lang w:val="da-DK"/>
        </w:rPr>
        <w:t xml:space="preserve">. </w:t>
      </w:r>
      <w:r>
        <w:rPr>
          <w:lang w:val="da-DK"/>
        </w:rPr>
        <w:t xml:space="preserve">Note que a classificação com a categoria de tamanho difere do padrão estipulado pelo Banco Mundial, especialmente em relação as micro empresas </w:t>
      </w:r>
    </w:p>
  </w:footnote>
  <w:footnote w:id="4">
    <w:p w:rsidR="006A4724" w:rsidRPr="00AD190F" w:rsidRDefault="006A4724">
      <w:pPr>
        <w:pStyle w:val="FootnoteText"/>
      </w:pPr>
      <w:r>
        <w:rPr>
          <w:rStyle w:val="FootnoteReference"/>
        </w:rPr>
        <w:footnoteRef/>
      </w:r>
      <w:r w:rsidRPr="00AD190F">
        <w:t xml:space="preserve"> Isto é o mesmo que número indicado como 2,697 empresas manufactureiras mencionadas nas estatísticas de 2009 (Estatísticas das Empresas 2009; INE, 2012).</w:t>
      </w:r>
    </w:p>
  </w:footnote>
  <w:footnote w:id="5">
    <w:p w:rsidR="006A4724" w:rsidRPr="009B3083" w:rsidRDefault="006A4724">
      <w:pPr>
        <w:pStyle w:val="FootnoteText"/>
      </w:pPr>
      <w:r>
        <w:rPr>
          <w:rStyle w:val="FootnoteReference"/>
        </w:rPr>
        <w:footnoteRef/>
      </w:r>
      <w:r w:rsidRPr="009B3083">
        <w:t xml:space="preserve"> Daqui em diante, Gondola é tratado como parte de Chimoio e Dondo é tratador como parte da Beira</w:t>
      </w:r>
    </w:p>
  </w:footnote>
  <w:footnote w:id="6">
    <w:p w:rsidR="006A4724" w:rsidRPr="00E42DA8" w:rsidRDefault="006A4724">
      <w:pPr>
        <w:pStyle w:val="FootnoteText"/>
      </w:pPr>
      <w:r>
        <w:rPr>
          <w:rStyle w:val="FootnoteReference"/>
        </w:rPr>
        <w:footnoteRef/>
      </w:r>
      <w:r w:rsidRPr="00E42DA8">
        <w:t xml:space="preserve"> Uma empresa privada é definida como empresas cuja presença do estado a sua p</w:t>
      </w:r>
      <w:r>
        <w:t>ar</w:t>
      </w:r>
      <w:r w:rsidRPr="00E42DA8">
        <w:t>ticipação</w:t>
      </w:r>
      <w:r>
        <w:t xml:space="preserve"> não ultrapassa 50%</w:t>
      </w:r>
      <w:r w:rsidRPr="00E42DA8">
        <w:t xml:space="preserve"> </w:t>
      </w:r>
    </w:p>
  </w:footnote>
  <w:footnote w:id="7">
    <w:p w:rsidR="006A4724" w:rsidRPr="008D60A6" w:rsidRDefault="006A4724">
      <w:pPr>
        <w:pStyle w:val="FootnoteText"/>
      </w:pPr>
      <w:r>
        <w:rPr>
          <w:rStyle w:val="FootnoteReference"/>
        </w:rPr>
        <w:footnoteRef/>
      </w:r>
      <w:r w:rsidRPr="008D60A6">
        <w:t xml:space="preserve"> De facto, DNEAP06 foi conduzido em Fevereiro de 2006, e refere-se sobretudo a 2005 enquanto ICA09 foi conduzido em 2007-2008 e refere-se a 2006. </w:t>
      </w:r>
      <w:r>
        <w:t xml:space="preserve">Aqui queremos assumir os dados tanto do ICA09 e do DNEAP06 refere-se ao ano 2006, mesmo que DNEAP06 estritamente falado se refira a 2005. </w:t>
      </w:r>
    </w:p>
  </w:footnote>
  <w:footnote w:id="8">
    <w:p w:rsidR="006A4724" w:rsidRPr="002B3F9C" w:rsidRDefault="006A4724">
      <w:pPr>
        <w:pStyle w:val="FootnoteText"/>
      </w:pPr>
      <w:r>
        <w:rPr>
          <w:rStyle w:val="FootnoteReference"/>
        </w:rPr>
        <w:footnoteRef/>
      </w:r>
      <w:r w:rsidRPr="002B3F9C">
        <w:t xml:space="preserve"> Maior parte das empresas não localizadas era do ICA (2009)</w:t>
      </w:r>
    </w:p>
  </w:footnote>
  <w:footnote w:id="9">
    <w:p w:rsidR="006A4724" w:rsidRPr="00F00777" w:rsidRDefault="006A4724">
      <w:pPr>
        <w:pStyle w:val="FootnoteText"/>
      </w:pPr>
      <w:r>
        <w:rPr>
          <w:rStyle w:val="FootnoteReference"/>
        </w:rPr>
        <w:footnoteRef/>
      </w:r>
      <w:r w:rsidRPr="00F00777">
        <w:t xml:space="preserve"> Dado que o registo de empresas foi mais complete em 2012 (veja secção 2.3 sobre validação)</w:t>
      </w:r>
      <w:r>
        <w:t>, algumas das 28 empresas nunca tinham sido manufactureiras. Igualmente, 16 das empresas não-manufactureiras foram entrevistadas mas não incluída na base de dados</w:t>
      </w:r>
    </w:p>
  </w:footnote>
  <w:footnote w:id="10">
    <w:p w:rsidR="006A4724" w:rsidRPr="00C84EA9" w:rsidRDefault="006A4724">
      <w:pPr>
        <w:pStyle w:val="FootnoteText"/>
      </w:pPr>
      <w:r>
        <w:rPr>
          <w:rStyle w:val="FootnoteReference"/>
        </w:rPr>
        <w:footnoteRef/>
      </w:r>
      <w:r w:rsidRPr="00C84EA9">
        <w:t xml:space="preserve"> </w:t>
      </w:r>
      <w:proofErr w:type="spellStart"/>
      <w:r w:rsidRPr="00C84EA9">
        <w:t>Alocalização</w:t>
      </w:r>
      <w:proofErr w:type="spellEnd"/>
      <w:r w:rsidRPr="00C84EA9">
        <w:t xml:space="preserve"> da empresa refere se a sede da empresa embora em número Muito reduzido das empresas as entrevistas tiveram lugar num outro local</w:t>
      </w:r>
    </w:p>
  </w:footnote>
  <w:footnote w:id="11">
    <w:p w:rsidR="006A4724" w:rsidRPr="001C3C62" w:rsidRDefault="006A4724">
      <w:pPr>
        <w:pStyle w:val="FootnoteText"/>
      </w:pPr>
      <w:r>
        <w:rPr>
          <w:rStyle w:val="FootnoteReference"/>
        </w:rPr>
        <w:footnoteRef/>
      </w:r>
      <w:r w:rsidRPr="001C3C62">
        <w:t xml:space="preserve"> A taxa de respostas nestas chamadas não foi 100%; 653 empresas (</w:t>
      </w:r>
      <w:r>
        <w:t>79% das 831 empresas</w:t>
      </w:r>
      <w:r w:rsidRPr="001C3C62">
        <w:t>)</w:t>
      </w:r>
      <w:r>
        <w:t xml:space="preserve"> responderam a pergunta sobre o sector e 436 (52%) responderam a pergunta sobre a contabilidade. As chamadas telefónicas foram realizadas pela equipe da CTA</w:t>
      </w:r>
    </w:p>
  </w:footnote>
  <w:footnote w:id="12">
    <w:p w:rsidR="006A4724" w:rsidRPr="006B2AB3" w:rsidRDefault="006A4724">
      <w:pPr>
        <w:pStyle w:val="FootnoteText"/>
      </w:pPr>
      <w:r>
        <w:rPr>
          <w:rStyle w:val="FootnoteReference"/>
        </w:rPr>
        <w:footnoteRef/>
      </w:r>
      <w:r>
        <w:t xml:space="preserve"> </w:t>
      </w:r>
      <w:r w:rsidRPr="006B2AB3">
        <w:t xml:space="preserve">14 das empresas na amostra aparecem nos relatórios do KPMG </w:t>
      </w:r>
    </w:p>
  </w:footnote>
  <w:footnote w:id="13">
    <w:p w:rsidR="006A4724" w:rsidRPr="008B1BC5" w:rsidRDefault="006A4724">
      <w:pPr>
        <w:pStyle w:val="FootnoteText"/>
      </w:pPr>
      <w:r>
        <w:rPr>
          <w:rStyle w:val="FootnoteReference"/>
        </w:rPr>
        <w:footnoteRef/>
      </w:r>
      <w:r w:rsidRPr="008B1BC5">
        <w:t xml:space="preserve"> Inclui 8 empresas </w:t>
      </w:r>
      <w:proofErr w:type="spellStart"/>
      <w:r w:rsidRPr="008B1BC5">
        <w:t>mecanicas</w:t>
      </w:r>
      <w:proofErr w:type="spellEnd"/>
      <w:r w:rsidRPr="008B1BC5">
        <w:t xml:space="preserve">, 8 empresas de construção, 4 empresas Salinas, 6 empresas de retalho e 3 agencias </w:t>
      </w:r>
      <w:proofErr w:type="spellStart"/>
      <w:r w:rsidRPr="008B1BC5">
        <w:t>funerarias</w:t>
      </w:r>
      <w:proofErr w:type="spellEnd"/>
    </w:p>
  </w:footnote>
  <w:footnote w:id="14">
    <w:p w:rsidR="006A4724" w:rsidRPr="00202759" w:rsidRDefault="006A4724">
      <w:pPr>
        <w:pStyle w:val="FootnoteText"/>
      </w:pPr>
      <w:r>
        <w:rPr>
          <w:rStyle w:val="FootnoteReference"/>
        </w:rPr>
        <w:footnoteRef/>
      </w:r>
      <w:r w:rsidRPr="00202759">
        <w:t xml:space="preserve"> No CEMPRE, estes sectores de seis 2-digitos constituem 91% das 3,289 empresas apresentadas, os </w:t>
      </w:r>
      <w:proofErr w:type="spellStart"/>
      <w:r w:rsidRPr="00202759">
        <w:t>menciondas</w:t>
      </w:r>
      <w:proofErr w:type="spellEnd"/>
      <w:r w:rsidRPr="00202759">
        <w:t xml:space="preserve"> dos sectores de nove 4-digitos constituem 86% </w:t>
      </w:r>
      <w:r>
        <w:t xml:space="preserve">do total </w:t>
      </w:r>
      <w:r w:rsidRPr="00202759">
        <w:t xml:space="preserve">das empresas </w:t>
      </w:r>
    </w:p>
  </w:footnote>
  <w:footnote w:id="15">
    <w:p w:rsidR="006A4724" w:rsidRPr="001D0236" w:rsidRDefault="006A4724" w:rsidP="00682A88">
      <w:pPr>
        <w:pStyle w:val="FootnoteText"/>
      </w:pPr>
      <w:r>
        <w:rPr>
          <w:rStyle w:val="FootnoteReference"/>
        </w:rPr>
        <w:footnoteRef/>
      </w:r>
      <w:r>
        <w:t xml:space="preserve"> </w:t>
      </w:r>
      <w:r w:rsidRPr="008A0033">
        <w:t>A dimensão formalidade é medid</w:t>
      </w:r>
      <w:r>
        <w:t>a</w:t>
      </w:r>
      <w:r w:rsidRPr="008A0033">
        <w:t xml:space="preserve"> por ter um NUIT em DNEAP06 e IIM12 e por ser "registrado" em ICA09.</w:t>
      </w:r>
    </w:p>
  </w:footnote>
  <w:footnote w:id="16">
    <w:p w:rsidR="006A4724" w:rsidRPr="001D0236" w:rsidRDefault="006A4724" w:rsidP="00682A88">
      <w:pPr>
        <w:pStyle w:val="FootnoteText"/>
      </w:pPr>
      <w:r>
        <w:rPr>
          <w:rStyle w:val="FootnoteReference"/>
        </w:rPr>
        <w:footnoteRef/>
      </w:r>
      <w:r>
        <w:t xml:space="preserve"> </w:t>
      </w:r>
      <w:r w:rsidRPr="001D0236">
        <w:t xml:space="preserve">Há uma diferença na taxa de crescimento entre os inquéritos em 2006. As empresas </w:t>
      </w:r>
      <w:r>
        <w:t xml:space="preserve">da pesquisa </w:t>
      </w:r>
      <w:r w:rsidRPr="001D0236">
        <w:t>do DNEAP (2006), em média, têm u</w:t>
      </w:r>
      <w:r>
        <w:t>ma taxa de crescimento positivo</w:t>
      </w:r>
      <w:r w:rsidRPr="001D0236">
        <w:t xml:space="preserve">, enquanto as empresas </w:t>
      </w:r>
      <w:r>
        <w:t xml:space="preserve">da </w:t>
      </w:r>
      <w:r w:rsidRPr="001D0236">
        <w:t>pesquisa do ICA (2009), em média, têm uma taxa de crescimento negativo.</w:t>
      </w:r>
    </w:p>
  </w:footnote>
  <w:footnote w:id="17">
    <w:p w:rsidR="006A4724" w:rsidRPr="001A46C9" w:rsidRDefault="006A4724" w:rsidP="00682A88">
      <w:pPr>
        <w:pStyle w:val="FootnoteText"/>
      </w:pPr>
      <w:r>
        <w:rPr>
          <w:rStyle w:val="FootnoteReference"/>
        </w:rPr>
        <w:footnoteRef/>
      </w:r>
      <w:r>
        <w:t xml:space="preserve"> </w:t>
      </w:r>
      <w:r>
        <w:t>O 1º e 100º percentis foram removidos.</w:t>
      </w:r>
    </w:p>
  </w:footnote>
  <w:footnote w:id="18">
    <w:p w:rsidR="006A4724" w:rsidRPr="00F03220" w:rsidRDefault="006A4724" w:rsidP="00682A88">
      <w:pPr>
        <w:pStyle w:val="FootnoteText"/>
      </w:pPr>
      <w:r>
        <w:rPr>
          <w:rStyle w:val="FootnoteReference"/>
        </w:rPr>
        <w:footnoteRef/>
      </w:r>
      <w:r>
        <w:t xml:space="preserve"> </w:t>
      </w:r>
      <w:r w:rsidRPr="00F03220">
        <w:t xml:space="preserve">Infelizmente, os dados sobre restrições no ICA (2009) têm problemas metodológicos graves, </w:t>
      </w:r>
      <w:r>
        <w:t>pelo</w:t>
      </w:r>
      <w:r w:rsidRPr="00F03220">
        <w:t xml:space="preserve"> que eles não serão usados ​​aqui.</w:t>
      </w:r>
    </w:p>
  </w:footnote>
  <w:footnote w:id="19">
    <w:p w:rsidR="006A4724" w:rsidRPr="00F03220" w:rsidRDefault="006A4724" w:rsidP="00682A88">
      <w:pPr>
        <w:pStyle w:val="FootnoteText"/>
      </w:pPr>
      <w:r>
        <w:rPr>
          <w:rStyle w:val="FootnoteReference"/>
        </w:rPr>
        <w:footnoteRef/>
      </w:r>
      <w:r>
        <w:t xml:space="preserve"> </w:t>
      </w:r>
      <w:r w:rsidRPr="00F03220">
        <w:t>Note-se que não existe uma diferença qualitativa, a partir da síntese com base nos dados prematuros fornecidos em Rand e Schou (2012)</w:t>
      </w:r>
      <w:r>
        <w:t>.</w:t>
      </w:r>
    </w:p>
  </w:footnote>
  <w:footnote w:id="20">
    <w:p w:rsidR="006A4724" w:rsidRPr="00F03220" w:rsidRDefault="006A4724" w:rsidP="00682A88">
      <w:pPr>
        <w:pStyle w:val="FootnoteText"/>
      </w:pPr>
      <w:r>
        <w:rPr>
          <w:rStyle w:val="FootnoteReference"/>
        </w:rPr>
        <w:footnoteRef/>
      </w:r>
      <w:r>
        <w:t xml:space="preserve"> Veja </w:t>
      </w:r>
      <w:proofErr w:type="spellStart"/>
      <w:r>
        <w:t>GoM</w:t>
      </w:r>
      <w:proofErr w:type="spellEnd"/>
      <w:r>
        <w:t xml:space="preserve"> </w:t>
      </w:r>
      <w:r w:rsidRPr="00F03220">
        <w:t>(2007a) e ICA (2009).</w:t>
      </w:r>
    </w:p>
  </w:footnote>
  <w:footnote w:id="21">
    <w:p w:rsidR="006A4724" w:rsidRPr="00A942A1" w:rsidRDefault="006A4724" w:rsidP="00682A88">
      <w:pPr>
        <w:pStyle w:val="FootnoteText"/>
      </w:pPr>
      <w:r>
        <w:rPr>
          <w:rStyle w:val="FootnoteReference"/>
        </w:rPr>
        <w:footnoteRef/>
      </w:r>
      <w:r>
        <w:t xml:space="preserve"> </w:t>
      </w:r>
      <w:r w:rsidRPr="00A942A1">
        <w:t>Conforme descrito no capítulo 10, há algumas dificuldades inerentes à medição dire</w:t>
      </w:r>
      <w:r>
        <w:t>cta entre</w:t>
      </w:r>
      <w:r w:rsidRPr="00A942A1">
        <w:t xml:space="preserve"> os níveis de corrupção e </w:t>
      </w:r>
      <w:r>
        <w:t xml:space="preserve">o </w:t>
      </w:r>
      <w:r w:rsidRPr="00A942A1">
        <w:t>suborno. Isso significa que o uso de medidas indire</w:t>
      </w:r>
      <w:r>
        <w:t>c</w:t>
      </w:r>
      <w:r w:rsidRPr="00A942A1">
        <w:t>tas, tais como restrições percebidas pode ser a melhor estratégia disponível no caso de corrupção.</w:t>
      </w:r>
    </w:p>
  </w:footnote>
  <w:footnote w:id="22">
    <w:p w:rsidR="006A4724" w:rsidRPr="003E5868" w:rsidRDefault="006A4724" w:rsidP="00682A88">
      <w:pPr>
        <w:pStyle w:val="FootnoteText"/>
      </w:pPr>
      <w:r>
        <w:rPr>
          <w:rStyle w:val="FootnoteReference"/>
        </w:rPr>
        <w:footnoteRef/>
      </w:r>
      <w:r>
        <w:t xml:space="preserve"> </w:t>
      </w:r>
      <w:r w:rsidRPr="003E5868">
        <w:t>Vendo que muitos constrangimentos possíveis não parecem ser grandes obstáculos para muitas empresas, reduzimos o número de restrições mostrados nas tabelas a partir de agora.</w:t>
      </w:r>
    </w:p>
  </w:footnote>
  <w:footnote w:id="23">
    <w:p w:rsidR="006A4724" w:rsidRPr="003E5868" w:rsidRDefault="006A4724" w:rsidP="00682A88">
      <w:pPr>
        <w:pStyle w:val="FootnoteText"/>
      </w:pPr>
      <w:r>
        <w:rPr>
          <w:rStyle w:val="FootnoteReference"/>
        </w:rPr>
        <w:footnoteRef/>
      </w:r>
      <w:r>
        <w:t xml:space="preserve"> </w:t>
      </w:r>
      <w:r w:rsidRPr="003E5868">
        <w:t>Para uma discussão mais aprofundada da noção de "bons empregos" ver o Banco Mundial (2013).</w:t>
      </w:r>
    </w:p>
  </w:footnote>
  <w:footnote w:id="24">
    <w:p w:rsidR="006A4724" w:rsidRPr="00DB1985" w:rsidRDefault="006A4724" w:rsidP="00682A88">
      <w:pPr>
        <w:pStyle w:val="FootnoteText"/>
      </w:pPr>
      <w:r>
        <w:rPr>
          <w:rStyle w:val="FootnoteReference"/>
        </w:rPr>
        <w:footnoteRef/>
      </w:r>
      <w:r>
        <w:t xml:space="preserve"> </w:t>
      </w:r>
      <w:r w:rsidRPr="00DB1985">
        <w:t xml:space="preserve">Portal do Governo de Moçambique, 24 de </w:t>
      </w:r>
      <w:r>
        <w:t>M</w:t>
      </w:r>
      <w:r w:rsidRPr="00DB1985">
        <w:t>aio de 2007; Clube de Moçambique, 28 de Abril de 2011 e do índice de preços ao consumidor (IPC).</w:t>
      </w:r>
    </w:p>
  </w:footnote>
  <w:footnote w:id="25">
    <w:p w:rsidR="006A4724" w:rsidRPr="00DB1985" w:rsidRDefault="006A4724" w:rsidP="00682A88">
      <w:pPr>
        <w:pStyle w:val="FootnoteText"/>
      </w:pPr>
      <w:r>
        <w:rPr>
          <w:rStyle w:val="FootnoteReference"/>
        </w:rPr>
        <w:footnoteRef/>
      </w:r>
      <w:r>
        <w:t xml:space="preserve"> </w:t>
      </w:r>
      <w:r w:rsidRPr="0023723F">
        <w:t>Evidências sugerem que, enquanto os empregadores estão pagando um pouco mais do que o salário mínimo, eles não (em 2012) diria que eles estão pagando salários mínimos - enquanto em ICA08, muitas empresas relatam que 100% dos trabalhadores recebem o salário mínimo legal.</w:t>
      </w:r>
    </w:p>
  </w:footnote>
  <w:footnote w:id="26">
    <w:p w:rsidR="006A4724" w:rsidRPr="000F514E" w:rsidRDefault="006A4724" w:rsidP="00682A88">
      <w:pPr>
        <w:pStyle w:val="FootnoteText"/>
      </w:pPr>
      <w:r>
        <w:rPr>
          <w:rStyle w:val="FootnoteReference"/>
        </w:rPr>
        <w:footnoteRef/>
      </w:r>
      <w:r>
        <w:t xml:space="preserve"> </w:t>
      </w:r>
      <w:r w:rsidRPr="000F514E">
        <w:t xml:space="preserve">Veja Jones e </w:t>
      </w:r>
      <w:proofErr w:type="spellStart"/>
      <w:r w:rsidRPr="000F514E">
        <w:t>Tarp</w:t>
      </w:r>
      <w:proofErr w:type="spellEnd"/>
      <w:r w:rsidRPr="000F514E">
        <w:t xml:space="preserve">, 2012, para uma descrição dos dados. Os autores por trás deste relatório são gratos a Sam Jones e </w:t>
      </w:r>
      <w:proofErr w:type="spellStart"/>
      <w:r w:rsidRPr="000F514E">
        <w:t>Finn</w:t>
      </w:r>
      <w:proofErr w:type="spellEnd"/>
      <w:r w:rsidRPr="000F514E">
        <w:t xml:space="preserve"> </w:t>
      </w:r>
      <w:proofErr w:type="spellStart"/>
      <w:r w:rsidRPr="000F514E">
        <w:t>Tarp</w:t>
      </w:r>
      <w:proofErr w:type="spellEnd"/>
      <w:r w:rsidRPr="000F514E">
        <w:t xml:space="preserve"> para fazer seus dados disponíveis.</w:t>
      </w:r>
    </w:p>
  </w:footnote>
  <w:footnote w:id="27">
    <w:p w:rsidR="006A4724" w:rsidRPr="000F514E" w:rsidRDefault="006A4724" w:rsidP="00682A88">
      <w:pPr>
        <w:pStyle w:val="FootnoteText"/>
      </w:pPr>
      <w:r>
        <w:rPr>
          <w:rStyle w:val="FootnoteReference"/>
        </w:rPr>
        <w:footnoteRef/>
      </w:r>
      <w:r>
        <w:t xml:space="preserve"> </w:t>
      </w:r>
      <w:r w:rsidRPr="000F514E">
        <w:t xml:space="preserve">Veja </w:t>
      </w:r>
      <w:proofErr w:type="spellStart"/>
      <w:r w:rsidRPr="000F514E">
        <w:t>Hanlon</w:t>
      </w:r>
      <w:proofErr w:type="spellEnd"/>
      <w:r w:rsidRPr="000F514E">
        <w:t xml:space="preserve"> (2011) para uma visão geral de salários mínimos em Moçambique.</w:t>
      </w:r>
    </w:p>
  </w:footnote>
  <w:footnote w:id="28">
    <w:p w:rsidR="006A4724" w:rsidRPr="009C57BE" w:rsidRDefault="006A4724" w:rsidP="00682A88">
      <w:pPr>
        <w:pStyle w:val="FootnoteText"/>
      </w:pPr>
      <w:r>
        <w:rPr>
          <w:rStyle w:val="FootnoteReference"/>
        </w:rPr>
        <w:footnoteRef/>
      </w:r>
      <w:r>
        <w:t xml:space="preserve"> </w:t>
      </w:r>
      <w:r w:rsidRPr="007653C3">
        <w:t>Usando o número total de trabalhadores, em vez de em tempo integral marcas permanentes nenhuma diferença substancial.</w:t>
      </w:r>
    </w:p>
  </w:footnote>
  <w:footnote w:id="29">
    <w:p w:rsidR="006A4724" w:rsidRPr="009C57BE" w:rsidRDefault="006A4724" w:rsidP="00682A88">
      <w:pPr>
        <w:pStyle w:val="FootnoteText"/>
      </w:pPr>
      <w:r>
        <w:rPr>
          <w:rStyle w:val="FootnoteReference"/>
        </w:rPr>
        <w:footnoteRef/>
      </w:r>
      <w:r>
        <w:t xml:space="preserve"> </w:t>
      </w:r>
      <w:r w:rsidRPr="007653C3">
        <w:t xml:space="preserve">Para uma discussão sobre </w:t>
      </w:r>
      <w:r>
        <w:t>o uso de dados de pesquisa</w:t>
      </w:r>
      <w:r w:rsidRPr="007653C3">
        <w:t xml:space="preserve">, ver de Nicola e </w:t>
      </w:r>
      <w:proofErr w:type="spellStart"/>
      <w:r w:rsidRPr="007653C3">
        <w:t>Giné</w:t>
      </w:r>
      <w:proofErr w:type="spellEnd"/>
      <w:r w:rsidRPr="007653C3">
        <w:t xml:space="preserve"> (2012).</w:t>
      </w:r>
    </w:p>
  </w:footnote>
  <w:footnote w:id="30">
    <w:p w:rsidR="006A4724" w:rsidRPr="00D83AA5" w:rsidRDefault="006A4724" w:rsidP="00682A88">
      <w:pPr>
        <w:pStyle w:val="FootnoteText"/>
      </w:pPr>
      <w:r>
        <w:rPr>
          <w:rStyle w:val="FootnoteReference"/>
        </w:rPr>
        <w:footnoteRef/>
      </w:r>
      <w:r>
        <w:t xml:space="preserve"> Clube de Moçambique, 28 de Abril de 2011.</w:t>
      </w:r>
    </w:p>
  </w:footnote>
  <w:footnote w:id="31">
    <w:p w:rsidR="006A4724" w:rsidRPr="00D83AA5" w:rsidRDefault="006A4724" w:rsidP="00682A88">
      <w:pPr>
        <w:pStyle w:val="FootnoteText"/>
      </w:pPr>
      <w:r>
        <w:rPr>
          <w:rStyle w:val="FootnoteReference"/>
        </w:rPr>
        <w:footnoteRef/>
      </w:r>
      <w:r>
        <w:t xml:space="preserve"> O País, de 18 de Abril de 2012</w:t>
      </w:r>
    </w:p>
  </w:footnote>
  <w:footnote w:id="32">
    <w:p w:rsidR="006A4724" w:rsidRPr="00D906AD" w:rsidRDefault="006A4724" w:rsidP="00682A88">
      <w:pPr>
        <w:pStyle w:val="FootnoteText"/>
      </w:pPr>
      <w:r>
        <w:rPr>
          <w:rStyle w:val="FootnoteReference"/>
        </w:rPr>
        <w:footnoteRef/>
      </w:r>
      <w:r>
        <w:t xml:space="preserve"> I</w:t>
      </w:r>
      <w:r w:rsidRPr="00D906AD">
        <w:t xml:space="preserve">nfelizmente, nós não podemos fazer este exercício para todo o painel. </w:t>
      </w:r>
      <w:r w:rsidRPr="00D906AD">
        <w:t>A questão em DNEAP06 e IIM12 refere-se a investimentos durante os últimos três anos, enquanto que a questão em ICA08 refere-se a investimentos durante o ano passado. Por isso só podemos usar a dimensão do painel DNEAP06 aqui.</w:t>
      </w:r>
    </w:p>
  </w:footnote>
  <w:footnote w:id="33">
    <w:p w:rsidR="006A4724" w:rsidRPr="00D906AD" w:rsidRDefault="006A4724" w:rsidP="00682A88">
      <w:pPr>
        <w:pStyle w:val="FootnoteText"/>
      </w:pPr>
      <w:r>
        <w:rPr>
          <w:rStyle w:val="FootnoteReference"/>
        </w:rPr>
        <w:footnoteRef/>
      </w:r>
      <w:r>
        <w:t xml:space="preserve"> </w:t>
      </w:r>
      <w:r w:rsidRPr="00D906AD">
        <w:t>Ainda usando apenas o painel de DNEAP06.</w:t>
      </w:r>
    </w:p>
  </w:footnote>
  <w:footnote w:id="34">
    <w:p w:rsidR="006A4724" w:rsidRPr="00933135" w:rsidRDefault="006A4724" w:rsidP="00682A88">
      <w:pPr>
        <w:pStyle w:val="FootnoteText"/>
      </w:pPr>
      <w:r>
        <w:rPr>
          <w:rStyle w:val="FootnoteReference"/>
        </w:rPr>
        <w:footnoteRef/>
      </w:r>
      <w:r>
        <w:t xml:space="preserve"> </w:t>
      </w:r>
      <w:r w:rsidRPr="00D9451D">
        <w:t xml:space="preserve">Ver, por exemplo, </w:t>
      </w:r>
      <w:proofErr w:type="spellStart"/>
      <w:r w:rsidRPr="00D9451D">
        <w:t>Hanlon</w:t>
      </w:r>
      <w:proofErr w:type="spellEnd"/>
      <w:r w:rsidRPr="00D9451D">
        <w:t xml:space="preserve"> (2009) e A Verdade, 4 de </w:t>
      </w:r>
      <w:r>
        <w:t>O</w:t>
      </w:r>
      <w:r w:rsidRPr="00D9451D">
        <w:t>utubro de 2012.</w:t>
      </w:r>
    </w:p>
  </w:footnote>
  <w:footnote w:id="35">
    <w:p w:rsidR="006A4724" w:rsidRPr="004767B8" w:rsidRDefault="006A4724">
      <w:pPr>
        <w:pStyle w:val="FootnoteText"/>
      </w:pPr>
      <w:r>
        <w:rPr>
          <w:rStyle w:val="FootnoteReference"/>
        </w:rPr>
        <w:footnoteRef/>
      </w:r>
      <w:r w:rsidRPr="004767B8">
        <w:t xml:space="preserve"> O Instituto de Promoção de Exportações (IPEX)</w:t>
      </w:r>
      <w:r>
        <w:t xml:space="preserve">, </w:t>
      </w:r>
      <w:proofErr w:type="spellStart"/>
      <w:r>
        <w:t>citido</w:t>
      </w:r>
      <w:proofErr w:type="spellEnd"/>
      <w:r>
        <w:t xml:space="preserve"> pelo AllAfrica.com em 12 de Agosto, 2012</w:t>
      </w:r>
    </w:p>
  </w:footnote>
  <w:footnote w:id="36">
    <w:p w:rsidR="006A4724" w:rsidRPr="00C012E6" w:rsidRDefault="006A4724">
      <w:pPr>
        <w:pStyle w:val="FootnoteText"/>
      </w:pPr>
      <w:r>
        <w:rPr>
          <w:rStyle w:val="FootnoteReference"/>
        </w:rPr>
        <w:footnoteRef/>
      </w:r>
      <w:r w:rsidRPr="00C012E6">
        <w:t xml:space="preserve"> Os dados do ICA09 não </w:t>
      </w:r>
      <w:proofErr w:type="spellStart"/>
      <w:r w:rsidRPr="00C012E6">
        <w:t>desagrga</w:t>
      </w:r>
      <w:proofErr w:type="spellEnd"/>
      <w:r w:rsidRPr="00C012E6">
        <w:t xml:space="preserve"> as </w:t>
      </w:r>
      <w:proofErr w:type="spellStart"/>
      <w:r w:rsidRPr="00C012E6">
        <w:t>materias</w:t>
      </w:r>
      <w:proofErr w:type="spellEnd"/>
      <w:r w:rsidRPr="00C012E6">
        <w:t xml:space="preserve"> primas em bens prim</w:t>
      </w:r>
      <w:r>
        <w:t>á</w:t>
      </w:r>
      <w:r w:rsidRPr="00C012E6">
        <w:t>rios e</w:t>
      </w:r>
      <w:r>
        <w:t xml:space="preserve"> intermédios, assim o valor de todas </w:t>
      </w:r>
      <w:proofErr w:type="spellStart"/>
      <w:r>
        <w:t>matérias-prima</w:t>
      </w:r>
      <w:proofErr w:type="spellEnd"/>
      <w:r>
        <w:t xml:space="preserve"> é usado. O resultado não altera qualitativamente, mesmo que os bens primários sejam usados para o ano de 2011.</w:t>
      </w:r>
      <w:r w:rsidRPr="00C012E6">
        <w:t xml:space="preserve"> </w:t>
      </w:r>
    </w:p>
  </w:footnote>
  <w:footnote w:id="37">
    <w:p w:rsidR="006A4724" w:rsidRPr="0032071E" w:rsidRDefault="006A4724">
      <w:pPr>
        <w:pStyle w:val="FootnoteText"/>
      </w:pPr>
      <w:r>
        <w:rPr>
          <w:rStyle w:val="FootnoteReference"/>
        </w:rPr>
        <w:footnoteRef/>
      </w:r>
      <w:r w:rsidRPr="0032071E">
        <w:t xml:space="preserve"> Veja </w:t>
      </w:r>
      <w:proofErr w:type="spellStart"/>
      <w:r w:rsidRPr="0032071E">
        <w:t>Bjerge</w:t>
      </w:r>
      <w:proofErr w:type="spellEnd"/>
      <w:r w:rsidRPr="0032071E">
        <w:t xml:space="preserve"> (2013) para mais detalhes no Trabalho de campo </w:t>
      </w:r>
      <w:proofErr w:type="spellStart"/>
      <w:r w:rsidRPr="0032071E">
        <w:t>etnografico</w:t>
      </w:r>
      <w:proofErr w:type="spellEnd"/>
      <w:r w:rsidRPr="0032071E">
        <w:t>.</w:t>
      </w:r>
    </w:p>
  </w:footnote>
  <w:footnote w:id="38">
    <w:p w:rsidR="006A4724" w:rsidRPr="002A4297" w:rsidRDefault="006A4724">
      <w:pPr>
        <w:pStyle w:val="FootnoteText"/>
      </w:pPr>
      <w:r>
        <w:rPr>
          <w:rStyle w:val="FootnoteReference"/>
        </w:rPr>
        <w:footnoteRef/>
      </w:r>
      <w:r w:rsidRPr="002A4297">
        <w:t xml:space="preserve"> É importante notar que os </w:t>
      </w:r>
      <w:proofErr w:type="spellStart"/>
      <w:r w:rsidRPr="002A4297">
        <w:t>resulatados</w:t>
      </w:r>
      <w:proofErr w:type="spellEnd"/>
      <w:r w:rsidRPr="002A4297">
        <w:t xml:space="preserve"> sobre redes sociais podem </w:t>
      </w:r>
      <w:r>
        <w:t>no desempenho das empresas podem ser tendenciosos se a rede de empresários não for meramente um insumo mas subproduto do processo de produção. Se este for o caso, a variável da rede é endógena e usando-a como variável exploratória na função de produção pode gerar preconceito.</w:t>
      </w:r>
      <w:r w:rsidRPr="002A4297">
        <w:t xml:space="preserve"> </w:t>
      </w:r>
    </w:p>
  </w:footnote>
  <w:footnote w:id="39">
    <w:p w:rsidR="006A4724" w:rsidRPr="008C01F7" w:rsidRDefault="006A4724">
      <w:pPr>
        <w:pStyle w:val="FootnoteText"/>
      </w:pPr>
      <w:r>
        <w:rPr>
          <w:rStyle w:val="FootnoteReference"/>
        </w:rPr>
        <w:footnoteRef/>
      </w:r>
      <w:r w:rsidRPr="008C01F7">
        <w:t xml:space="preserve"> Esta </w:t>
      </w:r>
      <w:proofErr w:type="spellStart"/>
      <w:r w:rsidRPr="008C01F7">
        <w:t>tambem</w:t>
      </w:r>
      <w:proofErr w:type="spellEnd"/>
      <w:r w:rsidRPr="008C01F7">
        <w:t xml:space="preserve"> em contraste com resultados </w:t>
      </w:r>
      <w:proofErr w:type="spellStart"/>
      <w:r w:rsidRPr="008C01F7">
        <w:t>impiricos</w:t>
      </w:r>
      <w:proofErr w:type="spellEnd"/>
      <w:r w:rsidRPr="008C01F7">
        <w:t xml:space="preserve"> encontrados por </w:t>
      </w:r>
      <w:proofErr w:type="spellStart"/>
      <w:r w:rsidRPr="008C01F7">
        <w:t>Barr</w:t>
      </w:r>
      <w:proofErr w:type="spellEnd"/>
      <w:r w:rsidRPr="008C01F7">
        <w:t xml:space="preserve"> (</w:t>
      </w:r>
      <w:r>
        <w:t>2000</w:t>
      </w:r>
      <w:r w:rsidRPr="008C01F7">
        <w:t>)</w:t>
      </w:r>
      <w:r>
        <w:t>. Ela examina o capital social em termos de rede de empresariado para determinar a performance da indústria manufactureira do Gana.</w:t>
      </w:r>
    </w:p>
  </w:footnote>
  <w:footnote w:id="40">
    <w:p w:rsidR="006A4724" w:rsidRPr="009E45DA" w:rsidRDefault="006A4724">
      <w:pPr>
        <w:pStyle w:val="FootnoteText"/>
      </w:pPr>
      <w:r>
        <w:rPr>
          <w:rStyle w:val="FootnoteReference"/>
        </w:rPr>
        <w:footnoteRef/>
      </w:r>
      <w:r w:rsidRPr="009E45DA">
        <w:t xml:space="preserve"> Veja por exemplo sapo.mz, 26 Maio, 2012</w:t>
      </w:r>
    </w:p>
  </w:footnote>
  <w:footnote w:id="41">
    <w:p w:rsidR="006A4724" w:rsidRPr="00CB3FC1" w:rsidRDefault="006A4724">
      <w:pPr>
        <w:pStyle w:val="FootnoteText"/>
      </w:pPr>
      <w:r>
        <w:rPr>
          <w:rStyle w:val="FootnoteReference"/>
        </w:rPr>
        <w:footnoteRef/>
      </w:r>
      <w:r w:rsidRPr="00CB3FC1">
        <w:t xml:space="preserve"> KPMG (2011) indica que o sector financeiro terá crescido mais de duas vezes </w:t>
      </w:r>
      <w:proofErr w:type="spellStart"/>
      <w:r w:rsidRPr="00CB3FC1">
        <w:t>rapido</w:t>
      </w:r>
      <w:proofErr w:type="spellEnd"/>
      <w:r w:rsidRPr="00CB3FC1">
        <w:t xml:space="preserve"> que a economia co</w:t>
      </w:r>
      <w:r>
        <w:t>mo um todo de 2002 ate 2011.</w:t>
      </w:r>
    </w:p>
  </w:footnote>
  <w:footnote w:id="42">
    <w:p w:rsidR="006A4724" w:rsidRPr="006D637D" w:rsidRDefault="006A4724">
      <w:pPr>
        <w:pStyle w:val="FootnoteText"/>
      </w:pPr>
      <w:r>
        <w:rPr>
          <w:rStyle w:val="FootnoteReference"/>
        </w:rPr>
        <w:footnoteRef/>
      </w:r>
      <w:r w:rsidRPr="006D637D">
        <w:t xml:space="preserve"> Não </w:t>
      </w:r>
      <w:proofErr w:type="spellStart"/>
      <w:r w:rsidRPr="006D637D">
        <w:t>incluimos</w:t>
      </w:r>
      <w:proofErr w:type="spellEnd"/>
      <w:r w:rsidRPr="006D637D">
        <w:t xml:space="preserve"> observações aplicações não </w:t>
      </w:r>
      <w:proofErr w:type="spellStart"/>
      <w:r w:rsidRPr="006D637D">
        <w:t>aporvada</w:t>
      </w:r>
      <w:proofErr w:type="spellEnd"/>
      <w:r w:rsidRPr="006D637D">
        <w:t xml:space="preserve"> por </w:t>
      </w:r>
      <w:r>
        <w:t xml:space="preserve">incompleto </w:t>
      </w:r>
      <w:r w:rsidRPr="006D637D">
        <w:t>preenchimento</w:t>
      </w:r>
      <w:r>
        <w:t xml:space="preserve"> e a falta de viabilidade do projecto apresentado como constrangidas pelo credito, dado que estas empresas pode não projectos viáveis e como tal não são constrangidas pelo credito mas algo para alem do credito.</w:t>
      </w:r>
      <w:r w:rsidRPr="006D637D">
        <w:t xml:space="preserve"> </w:t>
      </w:r>
    </w:p>
  </w:footnote>
  <w:footnote w:id="43">
    <w:p w:rsidR="006A4724" w:rsidRPr="00FC2329" w:rsidRDefault="006A4724">
      <w:pPr>
        <w:pStyle w:val="FootnoteText"/>
      </w:pPr>
      <w:r>
        <w:rPr>
          <w:rStyle w:val="FootnoteReference"/>
        </w:rPr>
        <w:footnoteRef/>
      </w:r>
      <w:r w:rsidRPr="00FC2329">
        <w:t xml:space="preserve"> </w:t>
      </w:r>
      <w:proofErr w:type="spellStart"/>
      <w:r w:rsidRPr="00FC2329">
        <w:t>Sugundo</w:t>
      </w:r>
      <w:proofErr w:type="spellEnd"/>
      <w:r w:rsidRPr="00FC2329">
        <w:t xml:space="preserve"> </w:t>
      </w:r>
      <w:proofErr w:type="spellStart"/>
      <w:r w:rsidRPr="00FC2329">
        <w:t>Hansen</w:t>
      </w:r>
      <w:proofErr w:type="spellEnd"/>
      <w:r w:rsidRPr="00FC2329">
        <w:t xml:space="preserve"> e Rand (2012), este é um número baixo comparado com a média da</w:t>
      </w:r>
      <w:r>
        <w:t>s empresas manufactureiras da</w:t>
      </w:r>
      <w:r w:rsidRPr="00FC2329">
        <w:t xml:space="preserve"> Africa do Sul</w:t>
      </w:r>
      <w:r>
        <w:t xml:space="preserve"> mas esta de acordo com os seus resultados para Moçambique.</w:t>
      </w:r>
      <w:r w:rsidRPr="00FC2329">
        <w:t xml:space="preserve"> </w:t>
      </w:r>
    </w:p>
  </w:footnote>
  <w:footnote w:id="44">
    <w:p w:rsidR="006A4724" w:rsidRPr="00775E44" w:rsidRDefault="006A4724">
      <w:pPr>
        <w:pStyle w:val="FootnoteText"/>
      </w:pPr>
      <w:r>
        <w:rPr>
          <w:rStyle w:val="FootnoteReference"/>
        </w:rPr>
        <w:footnoteRef/>
      </w:r>
      <w:r w:rsidRPr="00775E44">
        <w:t xml:space="preserve"> </w:t>
      </w:r>
      <w:r w:rsidRPr="00775E44">
        <w:t>Para efeitos desta análise, os 6 respondentes que responderam as razoes para não recorrer ao credito “</w:t>
      </w:r>
      <w:r>
        <w:t>contra minha religião</w:t>
      </w:r>
      <w:r w:rsidRPr="00775E44">
        <w:t>”</w:t>
      </w:r>
      <w:r>
        <w:t>, será tratado como não necessitar o credito.</w:t>
      </w:r>
    </w:p>
  </w:footnote>
  <w:footnote w:id="45">
    <w:p w:rsidR="006A4724" w:rsidRPr="00436516" w:rsidRDefault="006A4724">
      <w:pPr>
        <w:pStyle w:val="FootnoteText"/>
      </w:pPr>
      <w:r>
        <w:rPr>
          <w:rStyle w:val="FootnoteReference"/>
        </w:rPr>
        <w:footnoteRef/>
      </w:r>
      <w:r w:rsidRPr="00436516">
        <w:t xml:space="preserve"> </w:t>
      </w:r>
      <w:r w:rsidRPr="00436516">
        <w:t xml:space="preserve">Condicionado ao tamanho não faz </w:t>
      </w:r>
      <w:proofErr w:type="spellStart"/>
      <w:r w:rsidRPr="00436516">
        <w:t>diferenca</w:t>
      </w:r>
      <w:proofErr w:type="spellEnd"/>
      <w:r w:rsidRPr="00436516">
        <w:t xml:space="preserve"> substancia, nem usar “</w:t>
      </w:r>
      <w:r>
        <w:t>acesso ao credito estrangeiro</w:t>
      </w:r>
      <w:r w:rsidRPr="00436516">
        <w:t>”</w:t>
      </w:r>
    </w:p>
  </w:footnote>
  <w:footnote w:id="46">
    <w:p w:rsidR="006A4724" w:rsidRPr="004C2D32" w:rsidRDefault="006A4724">
      <w:pPr>
        <w:pStyle w:val="FootnoteText"/>
      </w:pPr>
      <w:r>
        <w:rPr>
          <w:rStyle w:val="FootnoteReference"/>
        </w:rPr>
        <w:footnoteRef/>
      </w:r>
      <w:r w:rsidRPr="004C2D32">
        <w:t xml:space="preserve"> David </w:t>
      </w:r>
      <w:proofErr w:type="spellStart"/>
      <w:r w:rsidRPr="004C2D32">
        <w:t>Simango</w:t>
      </w:r>
      <w:proofErr w:type="spellEnd"/>
      <w:r w:rsidRPr="004C2D32">
        <w:t xml:space="preserve">, o </w:t>
      </w:r>
      <w:proofErr w:type="spellStart"/>
      <w:r w:rsidRPr="004C2D32">
        <w:t>president</w:t>
      </w:r>
      <w:proofErr w:type="spellEnd"/>
      <w:r w:rsidRPr="004C2D32">
        <w:t xml:space="preserve"> do </w:t>
      </w:r>
      <w:proofErr w:type="spellStart"/>
      <w:r w:rsidRPr="004C2D32">
        <w:t>Municipio</w:t>
      </w:r>
      <w:proofErr w:type="spellEnd"/>
      <w:r w:rsidRPr="004C2D32">
        <w:t xml:space="preserve"> de Maputo, </w:t>
      </w:r>
      <w:proofErr w:type="spellStart"/>
      <w:r w:rsidRPr="004C2D32">
        <w:t>lancou</w:t>
      </w:r>
      <w:proofErr w:type="spellEnd"/>
      <w:r w:rsidRPr="004C2D32">
        <w:t xml:space="preserve"> uma </w:t>
      </w:r>
      <w:proofErr w:type="spellStart"/>
      <w:r w:rsidRPr="004C2D32">
        <w:t>campanh</w:t>
      </w:r>
      <w:proofErr w:type="spellEnd"/>
      <w:r w:rsidRPr="004C2D32">
        <w:t xml:space="preserve"> contra os vendedores informais em Fevereiro de 2012, dando-os 48 horas para deixar as ruas da cidade- depois de protestos, foi forçado a retirar a decisão, dizendo que apenas pretendia que os vendedores informais não </w:t>
      </w:r>
      <w:proofErr w:type="spellStart"/>
      <w:r w:rsidRPr="004C2D32">
        <w:t>obstruissem</w:t>
      </w:r>
      <w:proofErr w:type="spellEnd"/>
      <w:r w:rsidRPr="004C2D32">
        <w:t xml:space="preserve"> as ruas (O País, </w:t>
      </w:r>
      <w:r>
        <w:t xml:space="preserve">8 de </w:t>
      </w:r>
      <w:r w:rsidRPr="004C2D32">
        <w:t>Março</w:t>
      </w:r>
      <w:r>
        <w:t>,</w:t>
      </w:r>
      <w:r w:rsidRPr="004C2D32">
        <w:t xml:space="preserve"> 2012).</w:t>
      </w:r>
    </w:p>
  </w:footnote>
  <w:footnote w:id="47">
    <w:p w:rsidR="006A4724" w:rsidRPr="00653441" w:rsidRDefault="006A4724">
      <w:pPr>
        <w:pStyle w:val="FootnoteText"/>
      </w:pPr>
      <w:r>
        <w:rPr>
          <w:rStyle w:val="FootnoteReference"/>
        </w:rPr>
        <w:footnoteRef/>
      </w:r>
      <w:r w:rsidRPr="00653441">
        <w:t xml:space="preserve"> Uma descrição mais detalhada pode ser encontrada no </w:t>
      </w:r>
      <w:proofErr w:type="spellStart"/>
      <w:r w:rsidRPr="00653441">
        <w:t>Relatorio</w:t>
      </w:r>
      <w:proofErr w:type="spellEnd"/>
      <w:r w:rsidRPr="00653441">
        <w:t xml:space="preserve"> do Banco Mundial “</w:t>
      </w:r>
      <w:proofErr w:type="spellStart"/>
      <w:r>
        <w:t>Doing</w:t>
      </w:r>
      <w:proofErr w:type="spellEnd"/>
      <w:r>
        <w:t xml:space="preserve"> Business</w:t>
      </w:r>
      <w:r w:rsidRPr="00653441">
        <w:t>”</w:t>
      </w:r>
      <w:r>
        <w:t xml:space="preserve"> para Moçambique (Banco Mundial, 2012)</w:t>
      </w:r>
      <w:r w:rsidRPr="00653441">
        <w:t xml:space="preserve"> </w:t>
      </w:r>
    </w:p>
  </w:footnote>
  <w:footnote w:id="48">
    <w:p w:rsidR="006A4724" w:rsidRPr="00653441" w:rsidRDefault="006A4724">
      <w:pPr>
        <w:pStyle w:val="FootnoteText"/>
      </w:pPr>
      <w:r>
        <w:rPr>
          <w:rStyle w:val="FootnoteReference"/>
        </w:rPr>
        <w:footnoteRef/>
      </w:r>
      <w:r w:rsidRPr="00653441">
        <w:t xml:space="preserve"> Há também informação sobre registo em outras instituições (Ministério da Industria e Comercio, Instituto Nacional de Segurança Social, Ministério do Trabalho)</w:t>
      </w:r>
      <w:r>
        <w:t xml:space="preserve">, mas infelizmente, esta informação está apenas disponível para as empresas que </w:t>
      </w:r>
      <w:proofErr w:type="spellStart"/>
      <w:r>
        <w:t>referirar</w:t>
      </w:r>
      <w:proofErr w:type="spellEnd"/>
      <w:r>
        <w:t xml:space="preserve"> estar registados na CREL, devido a falha do questionário.</w:t>
      </w:r>
    </w:p>
  </w:footnote>
  <w:footnote w:id="49">
    <w:p w:rsidR="006A4724" w:rsidRPr="00B3504B" w:rsidRDefault="006A4724">
      <w:pPr>
        <w:pStyle w:val="FootnoteText"/>
      </w:pPr>
      <w:r>
        <w:rPr>
          <w:rStyle w:val="FootnoteReference"/>
        </w:rPr>
        <w:footnoteRef/>
      </w:r>
      <w:r w:rsidRPr="00B3504B">
        <w:t xml:space="preserve"> É </w:t>
      </w:r>
      <w:proofErr w:type="spellStart"/>
      <w:r w:rsidRPr="00B3504B">
        <w:t>possivel</w:t>
      </w:r>
      <w:proofErr w:type="spellEnd"/>
      <w:r w:rsidRPr="00B3504B">
        <w:t xml:space="preserve"> pagar impostos sem a empresa </w:t>
      </w:r>
      <w:proofErr w:type="spellStart"/>
      <w:r w:rsidRPr="00B3504B">
        <w:t>disport</w:t>
      </w:r>
      <w:proofErr w:type="spellEnd"/>
      <w:r w:rsidRPr="00B3504B">
        <w:t xml:space="preserve"> de NUIT usando o NUIT pessoal</w:t>
      </w:r>
    </w:p>
  </w:footnote>
  <w:footnote w:id="50">
    <w:p w:rsidR="006A4724" w:rsidRPr="00F807D3" w:rsidRDefault="006A4724">
      <w:pPr>
        <w:pStyle w:val="FootnoteText"/>
      </w:pPr>
      <w:r>
        <w:rPr>
          <w:rStyle w:val="FootnoteReference"/>
        </w:rPr>
        <w:footnoteRef/>
      </w:r>
      <w:r w:rsidRPr="00F807D3">
        <w:t xml:space="preserve"> Veja AIM, 13 de Março, 2012 ou o Pais, 8 de Março de 2012</w:t>
      </w:r>
    </w:p>
  </w:footnote>
  <w:footnote w:id="51">
    <w:p w:rsidR="006A4724" w:rsidRPr="000F1041" w:rsidRDefault="006A4724">
      <w:pPr>
        <w:pStyle w:val="FootnoteText"/>
      </w:pPr>
      <w:r>
        <w:rPr>
          <w:rStyle w:val="FootnoteReference"/>
        </w:rPr>
        <w:footnoteRef/>
      </w:r>
      <w:r w:rsidRPr="000F1041">
        <w:t xml:space="preserve"> Clarke (2012) </w:t>
      </w:r>
      <w:proofErr w:type="spellStart"/>
      <w:r w:rsidRPr="000F1041">
        <w:t>estimate</w:t>
      </w:r>
      <w:proofErr w:type="spellEnd"/>
      <w:r w:rsidRPr="000F1041">
        <w:t xml:space="preserve"> que os custos indirectos do suborn</w:t>
      </w:r>
      <w:r>
        <w:t>o</w:t>
      </w:r>
      <w:r w:rsidRPr="000F1041">
        <w:t xml:space="preserve"> como </w:t>
      </w:r>
      <w:proofErr w:type="spellStart"/>
      <w:r w:rsidRPr="000F1041">
        <w:t>percentage</w:t>
      </w:r>
      <w:proofErr w:type="spellEnd"/>
      <w:r w:rsidRPr="000F1041">
        <w:t xml:space="preserve"> das vendas das empresas manufactureiras em</w:t>
      </w:r>
      <w:r>
        <w:t xml:space="preserve"> África. </w:t>
      </w:r>
      <w:r w:rsidRPr="000F1041">
        <w:t>Na sua estimativa para Moçambique é de 0.5%, que é substancialmente abaixo dos resultados aqui encontrados</w:t>
      </w:r>
      <w:r>
        <w:t>.</w:t>
      </w:r>
    </w:p>
  </w:footnote>
  <w:footnote w:id="52">
    <w:p w:rsidR="006A4724" w:rsidRPr="00BE7CF6" w:rsidRDefault="006A4724">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420FA"/>
    <w:multiLevelType w:val="hybridMultilevel"/>
    <w:tmpl w:val="912235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1600315C"/>
    <w:multiLevelType w:val="hybridMultilevel"/>
    <w:tmpl w:val="9CC603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171F31E2"/>
    <w:multiLevelType w:val="multilevel"/>
    <w:tmpl w:val="CB40DD10"/>
    <w:lvl w:ilvl="0">
      <w:start w:val="1"/>
      <w:numFmt w:val="decimal"/>
      <w:lvlText w:val="%1"/>
      <w:lvlJc w:val="left"/>
      <w:pPr>
        <w:tabs>
          <w:tab w:val="num" w:pos="432"/>
        </w:tabs>
        <w:ind w:left="432" w:hanging="432"/>
      </w:pPr>
      <w:rPr>
        <w:rFonts w:ascii="Calibri" w:hAnsi="Calibri" w:hint="default"/>
        <w:i w:val="0"/>
        <w:sz w:val="28"/>
      </w:rPr>
    </w:lvl>
    <w:lvl w:ilvl="1">
      <w:start w:val="1"/>
      <w:numFmt w:val="decimal"/>
      <w:lvlText w:val="%1.%2"/>
      <w:lvlJc w:val="left"/>
      <w:pPr>
        <w:tabs>
          <w:tab w:val="num" w:pos="756"/>
        </w:tabs>
        <w:ind w:left="756" w:hanging="576"/>
      </w:pPr>
      <w:rPr>
        <w:rFonts w:ascii="Calibri" w:hAnsi="Calibri" w:cs="Arial Unicode MS" w:hint="default"/>
        <w:b w:val="0"/>
        <w:i w:val="0"/>
        <w:sz w:val="26"/>
        <w:szCs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1A264FC7"/>
    <w:multiLevelType w:val="hybridMultilevel"/>
    <w:tmpl w:val="F9FA9B64"/>
    <w:lvl w:ilvl="0" w:tplc="2D428AF2">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DC7155D"/>
    <w:multiLevelType w:val="hybridMultilevel"/>
    <w:tmpl w:val="E596421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nsid w:val="20B61AF1"/>
    <w:multiLevelType w:val="hybridMultilevel"/>
    <w:tmpl w:val="ABF092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nsid w:val="26467D43"/>
    <w:multiLevelType w:val="hybridMultilevel"/>
    <w:tmpl w:val="6C9894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nsid w:val="38531434"/>
    <w:multiLevelType w:val="hybridMultilevel"/>
    <w:tmpl w:val="9C6EBF2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nsid w:val="3E1E5537"/>
    <w:multiLevelType w:val="hybridMultilevel"/>
    <w:tmpl w:val="E31C44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48715D13"/>
    <w:multiLevelType w:val="hybridMultilevel"/>
    <w:tmpl w:val="BE38E5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nsid w:val="5BAB7087"/>
    <w:multiLevelType w:val="hybridMultilevel"/>
    <w:tmpl w:val="714C1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nsid w:val="5CC958C6"/>
    <w:multiLevelType w:val="hybridMultilevel"/>
    <w:tmpl w:val="E484365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nsid w:val="62C7258F"/>
    <w:multiLevelType w:val="hybridMultilevel"/>
    <w:tmpl w:val="73E81638"/>
    <w:lvl w:ilvl="0" w:tplc="5C349B6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nsid w:val="6DFD5B07"/>
    <w:multiLevelType w:val="hybridMultilevel"/>
    <w:tmpl w:val="A50AFC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nsid w:val="7A654E1B"/>
    <w:multiLevelType w:val="hybridMultilevel"/>
    <w:tmpl w:val="5E2414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nsid w:val="7D5B6978"/>
    <w:multiLevelType w:val="hybridMultilevel"/>
    <w:tmpl w:val="3E1E610C"/>
    <w:lvl w:ilvl="0" w:tplc="8528EB1A">
      <w:start w:val="1"/>
      <w:numFmt w:val="decimal"/>
      <w:pStyle w:val="Bullets"/>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1"/>
  </w:num>
  <w:num w:numId="2">
    <w:abstractNumId w:val="0"/>
  </w:num>
  <w:num w:numId="3">
    <w:abstractNumId w:val="4"/>
  </w:num>
  <w:num w:numId="4">
    <w:abstractNumId w:val="5"/>
  </w:num>
  <w:num w:numId="5">
    <w:abstractNumId w:val="1"/>
  </w:num>
  <w:num w:numId="6">
    <w:abstractNumId w:val="10"/>
  </w:num>
  <w:num w:numId="7">
    <w:abstractNumId w:val="6"/>
  </w:num>
  <w:num w:numId="8">
    <w:abstractNumId w:val="9"/>
  </w:num>
  <w:num w:numId="9">
    <w:abstractNumId w:val="13"/>
  </w:num>
  <w:num w:numId="10">
    <w:abstractNumId w:val="15"/>
  </w:num>
  <w:num w:numId="11">
    <w:abstractNumId w:val="14"/>
  </w:num>
  <w:num w:numId="12">
    <w:abstractNumId w:val="2"/>
  </w:num>
  <w:num w:numId="13">
    <w:abstractNumId w:val="3"/>
  </w:num>
  <w:num w:numId="14">
    <w:abstractNumId w:val="12"/>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ED"/>
    <w:rsid w:val="00000A08"/>
    <w:rsid w:val="00001302"/>
    <w:rsid w:val="00001618"/>
    <w:rsid w:val="000016CC"/>
    <w:rsid w:val="000018E8"/>
    <w:rsid w:val="00001A84"/>
    <w:rsid w:val="00004AFA"/>
    <w:rsid w:val="00004E00"/>
    <w:rsid w:val="00005680"/>
    <w:rsid w:val="00007C22"/>
    <w:rsid w:val="00013AC7"/>
    <w:rsid w:val="0001484F"/>
    <w:rsid w:val="0001488E"/>
    <w:rsid w:val="00014E7C"/>
    <w:rsid w:val="00015D07"/>
    <w:rsid w:val="00016879"/>
    <w:rsid w:val="00016C08"/>
    <w:rsid w:val="00020FFF"/>
    <w:rsid w:val="000214D9"/>
    <w:rsid w:val="00021FE3"/>
    <w:rsid w:val="00021FF4"/>
    <w:rsid w:val="00022D56"/>
    <w:rsid w:val="000249F4"/>
    <w:rsid w:val="00024A2B"/>
    <w:rsid w:val="0002515F"/>
    <w:rsid w:val="00026557"/>
    <w:rsid w:val="00027F82"/>
    <w:rsid w:val="00032222"/>
    <w:rsid w:val="0003249D"/>
    <w:rsid w:val="00032542"/>
    <w:rsid w:val="000325E8"/>
    <w:rsid w:val="00033435"/>
    <w:rsid w:val="000339CD"/>
    <w:rsid w:val="00035172"/>
    <w:rsid w:val="00036445"/>
    <w:rsid w:val="00037B14"/>
    <w:rsid w:val="00037C72"/>
    <w:rsid w:val="00040C6D"/>
    <w:rsid w:val="00042322"/>
    <w:rsid w:val="00044F2F"/>
    <w:rsid w:val="0004526D"/>
    <w:rsid w:val="00045A06"/>
    <w:rsid w:val="00045D3E"/>
    <w:rsid w:val="00046961"/>
    <w:rsid w:val="00046B6D"/>
    <w:rsid w:val="000474D7"/>
    <w:rsid w:val="00051487"/>
    <w:rsid w:val="000528C2"/>
    <w:rsid w:val="00052A64"/>
    <w:rsid w:val="00052AF6"/>
    <w:rsid w:val="00053B1C"/>
    <w:rsid w:val="00053EDD"/>
    <w:rsid w:val="00053EF9"/>
    <w:rsid w:val="000542A5"/>
    <w:rsid w:val="0005534A"/>
    <w:rsid w:val="000568F3"/>
    <w:rsid w:val="0006273F"/>
    <w:rsid w:val="00062BA8"/>
    <w:rsid w:val="00063143"/>
    <w:rsid w:val="00064041"/>
    <w:rsid w:val="00064619"/>
    <w:rsid w:val="00064B60"/>
    <w:rsid w:val="00067D85"/>
    <w:rsid w:val="00071149"/>
    <w:rsid w:val="00072054"/>
    <w:rsid w:val="000726C6"/>
    <w:rsid w:val="000729AF"/>
    <w:rsid w:val="00073D34"/>
    <w:rsid w:val="000761D0"/>
    <w:rsid w:val="0007698C"/>
    <w:rsid w:val="00077DBA"/>
    <w:rsid w:val="000812A7"/>
    <w:rsid w:val="00081545"/>
    <w:rsid w:val="00082CF3"/>
    <w:rsid w:val="000833AF"/>
    <w:rsid w:val="00083EE4"/>
    <w:rsid w:val="000852DE"/>
    <w:rsid w:val="0008792E"/>
    <w:rsid w:val="0009091F"/>
    <w:rsid w:val="00090F3C"/>
    <w:rsid w:val="00091B2F"/>
    <w:rsid w:val="00092854"/>
    <w:rsid w:val="00093D34"/>
    <w:rsid w:val="00095170"/>
    <w:rsid w:val="0009606A"/>
    <w:rsid w:val="000969C7"/>
    <w:rsid w:val="00096A78"/>
    <w:rsid w:val="000979B9"/>
    <w:rsid w:val="00097A87"/>
    <w:rsid w:val="000A18E2"/>
    <w:rsid w:val="000A19A7"/>
    <w:rsid w:val="000A1A3C"/>
    <w:rsid w:val="000A247E"/>
    <w:rsid w:val="000A2A44"/>
    <w:rsid w:val="000A331F"/>
    <w:rsid w:val="000A37CD"/>
    <w:rsid w:val="000A3B23"/>
    <w:rsid w:val="000A6486"/>
    <w:rsid w:val="000A6B8F"/>
    <w:rsid w:val="000B10FE"/>
    <w:rsid w:val="000B11B9"/>
    <w:rsid w:val="000B310E"/>
    <w:rsid w:val="000B349F"/>
    <w:rsid w:val="000B3728"/>
    <w:rsid w:val="000B49E3"/>
    <w:rsid w:val="000B7CA1"/>
    <w:rsid w:val="000C2C7F"/>
    <w:rsid w:val="000C2D9F"/>
    <w:rsid w:val="000C311F"/>
    <w:rsid w:val="000C5416"/>
    <w:rsid w:val="000D0444"/>
    <w:rsid w:val="000D1FB1"/>
    <w:rsid w:val="000D33A9"/>
    <w:rsid w:val="000D39B8"/>
    <w:rsid w:val="000D5A8F"/>
    <w:rsid w:val="000E03ED"/>
    <w:rsid w:val="000E19AB"/>
    <w:rsid w:val="000E1E6C"/>
    <w:rsid w:val="000E276D"/>
    <w:rsid w:val="000E2A28"/>
    <w:rsid w:val="000E327A"/>
    <w:rsid w:val="000E78F1"/>
    <w:rsid w:val="000F1041"/>
    <w:rsid w:val="000F4DAB"/>
    <w:rsid w:val="000F6A6B"/>
    <w:rsid w:val="000F6C96"/>
    <w:rsid w:val="00101922"/>
    <w:rsid w:val="00103317"/>
    <w:rsid w:val="00103826"/>
    <w:rsid w:val="0010397F"/>
    <w:rsid w:val="001057B8"/>
    <w:rsid w:val="0010707C"/>
    <w:rsid w:val="00107ACE"/>
    <w:rsid w:val="00107C38"/>
    <w:rsid w:val="00110BE8"/>
    <w:rsid w:val="00110E29"/>
    <w:rsid w:val="001121E2"/>
    <w:rsid w:val="0011334F"/>
    <w:rsid w:val="00113734"/>
    <w:rsid w:val="00114B22"/>
    <w:rsid w:val="00114B51"/>
    <w:rsid w:val="00115890"/>
    <w:rsid w:val="00117C29"/>
    <w:rsid w:val="0012013F"/>
    <w:rsid w:val="00120DB1"/>
    <w:rsid w:val="0012156B"/>
    <w:rsid w:val="0012161F"/>
    <w:rsid w:val="00121754"/>
    <w:rsid w:val="00121BE2"/>
    <w:rsid w:val="001222F5"/>
    <w:rsid w:val="001231D0"/>
    <w:rsid w:val="001235FD"/>
    <w:rsid w:val="001236C0"/>
    <w:rsid w:val="00124570"/>
    <w:rsid w:val="00124F06"/>
    <w:rsid w:val="00126844"/>
    <w:rsid w:val="00126AAB"/>
    <w:rsid w:val="00126BB3"/>
    <w:rsid w:val="00130B0E"/>
    <w:rsid w:val="00130E4A"/>
    <w:rsid w:val="001314E7"/>
    <w:rsid w:val="00133E63"/>
    <w:rsid w:val="00135D08"/>
    <w:rsid w:val="001434D7"/>
    <w:rsid w:val="001441C7"/>
    <w:rsid w:val="00144B8E"/>
    <w:rsid w:val="001460AC"/>
    <w:rsid w:val="00146137"/>
    <w:rsid w:val="001463C5"/>
    <w:rsid w:val="00146777"/>
    <w:rsid w:val="00147840"/>
    <w:rsid w:val="00151416"/>
    <w:rsid w:val="00151438"/>
    <w:rsid w:val="00153A9C"/>
    <w:rsid w:val="00153AA9"/>
    <w:rsid w:val="00154094"/>
    <w:rsid w:val="00154154"/>
    <w:rsid w:val="00154756"/>
    <w:rsid w:val="001559BF"/>
    <w:rsid w:val="001566A0"/>
    <w:rsid w:val="001578F8"/>
    <w:rsid w:val="001617AC"/>
    <w:rsid w:val="00162F46"/>
    <w:rsid w:val="00164361"/>
    <w:rsid w:val="00165074"/>
    <w:rsid w:val="00166A2A"/>
    <w:rsid w:val="00167FF5"/>
    <w:rsid w:val="001724FC"/>
    <w:rsid w:val="001727D0"/>
    <w:rsid w:val="001729D6"/>
    <w:rsid w:val="00172B4B"/>
    <w:rsid w:val="00173563"/>
    <w:rsid w:val="00174D6A"/>
    <w:rsid w:val="001751E9"/>
    <w:rsid w:val="001776FE"/>
    <w:rsid w:val="001778AA"/>
    <w:rsid w:val="00180B63"/>
    <w:rsid w:val="00181773"/>
    <w:rsid w:val="00181A49"/>
    <w:rsid w:val="00183D03"/>
    <w:rsid w:val="001857C2"/>
    <w:rsid w:val="00186F77"/>
    <w:rsid w:val="001926A6"/>
    <w:rsid w:val="001929FB"/>
    <w:rsid w:val="001934CC"/>
    <w:rsid w:val="0019394B"/>
    <w:rsid w:val="00193B3C"/>
    <w:rsid w:val="00194548"/>
    <w:rsid w:val="001952AB"/>
    <w:rsid w:val="001954BB"/>
    <w:rsid w:val="00195B77"/>
    <w:rsid w:val="001970F1"/>
    <w:rsid w:val="00197DBE"/>
    <w:rsid w:val="001A03B2"/>
    <w:rsid w:val="001A2EA5"/>
    <w:rsid w:val="001A3B39"/>
    <w:rsid w:val="001A45FE"/>
    <w:rsid w:val="001A52C5"/>
    <w:rsid w:val="001A57E4"/>
    <w:rsid w:val="001A6B7C"/>
    <w:rsid w:val="001A723A"/>
    <w:rsid w:val="001A7676"/>
    <w:rsid w:val="001B1F7F"/>
    <w:rsid w:val="001B2368"/>
    <w:rsid w:val="001B28F3"/>
    <w:rsid w:val="001B2F43"/>
    <w:rsid w:val="001B3132"/>
    <w:rsid w:val="001B37E3"/>
    <w:rsid w:val="001B3AD5"/>
    <w:rsid w:val="001B529C"/>
    <w:rsid w:val="001B75D8"/>
    <w:rsid w:val="001B7A24"/>
    <w:rsid w:val="001C02B7"/>
    <w:rsid w:val="001C04B7"/>
    <w:rsid w:val="001C11BD"/>
    <w:rsid w:val="001C1664"/>
    <w:rsid w:val="001C296A"/>
    <w:rsid w:val="001C3593"/>
    <w:rsid w:val="001C3C62"/>
    <w:rsid w:val="001C71D6"/>
    <w:rsid w:val="001C776D"/>
    <w:rsid w:val="001C7A81"/>
    <w:rsid w:val="001D0F23"/>
    <w:rsid w:val="001D1964"/>
    <w:rsid w:val="001D238A"/>
    <w:rsid w:val="001D2E23"/>
    <w:rsid w:val="001D32B4"/>
    <w:rsid w:val="001D5546"/>
    <w:rsid w:val="001D5AF8"/>
    <w:rsid w:val="001D6EE9"/>
    <w:rsid w:val="001E0466"/>
    <w:rsid w:val="001E0949"/>
    <w:rsid w:val="001E1137"/>
    <w:rsid w:val="001E4FDA"/>
    <w:rsid w:val="001E6064"/>
    <w:rsid w:val="001E664B"/>
    <w:rsid w:val="001E6694"/>
    <w:rsid w:val="001E6DDB"/>
    <w:rsid w:val="001E6EDC"/>
    <w:rsid w:val="001F22FD"/>
    <w:rsid w:val="001F23D4"/>
    <w:rsid w:val="001F27A9"/>
    <w:rsid w:val="001F3B73"/>
    <w:rsid w:val="001F4E2F"/>
    <w:rsid w:val="001F4EF8"/>
    <w:rsid w:val="001F599F"/>
    <w:rsid w:val="001F59AB"/>
    <w:rsid w:val="001F6A19"/>
    <w:rsid w:val="001F7695"/>
    <w:rsid w:val="001F78E2"/>
    <w:rsid w:val="00200013"/>
    <w:rsid w:val="00200574"/>
    <w:rsid w:val="00200EE4"/>
    <w:rsid w:val="00201409"/>
    <w:rsid w:val="002021A3"/>
    <w:rsid w:val="00202361"/>
    <w:rsid w:val="00202756"/>
    <w:rsid w:val="00202759"/>
    <w:rsid w:val="0020307A"/>
    <w:rsid w:val="00205480"/>
    <w:rsid w:val="0020799B"/>
    <w:rsid w:val="00207D90"/>
    <w:rsid w:val="00207FB7"/>
    <w:rsid w:val="0021074C"/>
    <w:rsid w:val="00211440"/>
    <w:rsid w:val="0021158C"/>
    <w:rsid w:val="0021241F"/>
    <w:rsid w:val="002124F7"/>
    <w:rsid w:val="0021349B"/>
    <w:rsid w:val="0021396C"/>
    <w:rsid w:val="002142F1"/>
    <w:rsid w:val="002152C0"/>
    <w:rsid w:val="00215639"/>
    <w:rsid w:val="00215A0B"/>
    <w:rsid w:val="00216893"/>
    <w:rsid w:val="00217CA3"/>
    <w:rsid w:val="00217EDF"/>
    <w:rsid w:val="00217EF8"/>
    <w:rsid w:val="00221D0D"/>
    <w:rsid w:val="00221F61"/>
    <w:rsid w:val="002224CA"/>
    <w:rsid w:val="00222513"/>
    <w:rsid w:val="00222DCA"/>
    <w:rsid w:val="00223016"/>
    <w:rsid w:val="002236CB"/>
    <w:rsid w:val="002262F0"/>
    <w:rsid w:val="002270F0"/>
    <w:rsid w:val="00230C5A"/>
    <w:rsid w:val="00230E9E"/>
    <w:rsid w:val="0023112F"/>
    <w:rsid w:val="002342D9"/>
    <w:rsid w:val="00234D0F"/>
    <w:rsid w:val="002362F3"/>
    <w:rsid w:val="0023717E"/>
    <w:rsid w:val="0023741A"/>
    <w:rsid w:val="0023748A"/>
    <w:rsid w:val="00242ABB"/>
    <w:rsid w:val="002444AD"/>
    <w:rsid w:val="00244B71"/>
    <w:rsid w:val="00244D12"/>
    <w:rsid w:val="00245191"/>
    <w:rsid w:val="00245529"/>
    <w:rsid w:val="002468A9"/>
    <w:rsid w:val="00250FE6"/>
    <w:rsid w:val="0025111E"/>
    <w:rsid w:val="00251EA3"/>
    <w:rsid w:val="00254412"/>
    <w:rsid w:val="00255D65"/>
    <w:rsid w:val="00256A5B"/>
    <w:rsid w:val="002576CE"/>
    <w:rsid w:val="00257BBF"/>
    <w:rsid w:val="00260460"/>
    <w:rsid w:val="00260606"/>
    <w:rsid w:val="0026379B"/>
    <w:rsid w:val="00263F78"/>
    <w:rsid w:val="00265AEB"/>
    <w:rsid w:val="0027109C"/>
    <w:rsid w:val="002713C6"/>
    <w:rsid w:val="00271545"/>
    <w:rsid w:val="00272489"/>
    <w:rsid w:val="00273842"/>
    <w:rsid w:val="00274364"/>
    <w:rsid w:val="0027583E"/>
    <w:rsid w:val="0027709A"/>
    <w:rsid w:val="00277377"/>
    <w:rsid w:val="0027782A"/>
    <w:rsid w:val="00277B2E"/>
    <w:rsid w:val="00281985"/>
    <w:rsid w:val="00282E7E"/>
    <w:rsid w:val="00282FD3"/>
    <w:rsid w:val="00284D96"/>
    <w:rsid w:val="00284E57"/>
    <w:rsid w:val="00285382"/>
    <w:rsid w:val="002853D7"/>
    <w:rsid w:val="00286948"/>
    <w:rsid w:val="00287D22"/>
    <w:rsid w:val="002900B9"/>
    <w:rsid w:val="00290934"/>
    <w:rsid w:val="00290F42"/>
    <w:rsid w:val="00291E20"/>
    <w:rsid w:val="00292044"/>
    <w:rsid w:val="0029266F"/>
    <w:rsid w:val="0029287E"/>
    <w:rsid w:val="00292A7F"/>
    <w:rsid w:val="0029341B"/>
    <w:rsid w:val="002938C6"/>
    <w:rsid w:val="00294345"/>
    <w:rsid w:val="0029468C"/>
    <w:rsid w:val="002956EA"/>
    <w:rsid w:val="00295F5D"/>
    <w:rsid w:val="00295F89"/>
    <w:rsid w:val="002961F1"/>
    <w:rsid w:val="00296486"/>
    <w:rsid w:val="002964D1"/>
    <w:rsid w:val="00296B89"/>
    <w:rsid w:val="002A0331"/>
    <w:rsid w:val="002A087D"/>
    <w:rsid w:val="002A10B7"/>
    <w:rsid w:val="002A1A7F"/>
    <w:rsid w:val="002A1B40"/>
    <w:rsid w:val="002A2573"/>
    <w:rsid w:val="002A278D"/>
    <w:rsid w:val="002A2F9E"/>
    <w:rsid w:val="002A300A"/>
    <w:rsid w:val="002A4297"/>
    <w:rsid w:val="002A43DF"/>
    <w:rsid w:val="002A48D3"/>
    <w:rsid w:val="002A5127"/>
    <w:rsid w:val="002A514F"/>
    <w:rsid w:val="002A6E2B"/>
    <w:rsid w:val="002A72D9"/>
    <w:rsid w:val="002A794C"/>
    <w:rsid w:val="002A7B8D"/>
    <w:rsid w:val="002A7D74"/>
    <w:rsid w:val="002B3F9C"/>
    <w:rsid w:val="002B4485"/>
    <w:rsid w:val="002B51D0"/>
    <w:rsid w:val="002B782F"/>
    <w:rsid w:val="002B7897"/>
    <w:rsid w:val="002B7DB6"/>
    <w:rsid w:val="002B7FEC"/>
    <w:rsid w:val="002C0E30"/>
    <w:rsid w:val="002C21A4"/>
    <w:rsid w:val="002C480D"/>
    <w:rsid w:val="002C5CDF"/>
    <w:rsid w:val="002C6C65"/>
    <w:rsid w:val="002D072B"/>
    <w:rsid w:val="002D273F"/>
    <w:rsid w:val="002D2EB9"/>
    <w:rsid w:val="002D32A1"/>
    <w:rsid w:val="002D7755"/>
    <w:rsid w:val="002E1573"/>
    <w:rsid w:val="002E23E7"/>
    <w:rsid w:val="002E38AD"/>
    <w:rsid w:val="002E3BA3"/>
    <w:rsid w:val="002E3D9B"/>
    <w:rsid w:val="002E4CD2"/>
    <w:rsid w:val="002E4DA5"/>
    <w:rsid w:val="002E5FF8"/>
    <w:rsid w:val="002E637E"/>
    <w:rsid w:val="002E66DC"/>
    <w:rsid w:val="002E7766"/>
    <w:rsid w:val="002F18F3"/>
    <w:rsid w:val="002F34D9"/>
    <w:rsid w:val="002F3A5A"/>
    <w:rsid w:val="002F42DB"/>
    <w:rsid w:val="002F49CC"/>
    <w:rsid w:val="002F4C79"/>
    <w:rsid w:val="002F529E"/>
    <w:rsid w:val="002F61B0"/>
    <w:rsid w:val="002F6200"/>
    <w:rsid w:val="002F76A8"/>
    <w:rsid w:val="00300811"/>
    <w:rsid w:val="00300F36"/>
    <w:rsid w:val="0030245A"/>
    <w:rsid w:val="00303C63"/>
    <w:rsid w:val="003042D3"/>
    <w:rsid w:val="00304BDD"/>
    <w:rsid w:val="00305351"/>
    <w:rsid w:val="00305C8A"/>
    <w:rsid w:val="00305F01"/>
    <w:rsid w:val="0030708B"/>
    <w:rsid w:val="00307F3E"/>
    <w:rsid w:val="003102DC"/>
    <w:rsid w:val="00310F80"/>
    <w:rsid w:val="0031169A"/>
    <w:rsid w:val="003131F7"/>
    <w:rsid w:val="0031482C"/>
    <w:rsid w:val="00314912"/>
    <w:rsid w:val="003153E7"/>
    <w:rsid w:val="00315713"/>
    <w:rsid w:val="00316A0B"/>
    <w:rsid w:val="00320023"/>
    <w:rsid w:val="0032071E"/>
    <w:rsid w:val="00320859"/>
    <w:rsid w:val="00320A85"/>
    <w:rsid w:val="00322FAF"/>
    <w:rsid w:val="00323980"/>
    <w:rsid w:val="00324A6B"/>
    <w:rsid w:val="00332662"/>
    <w:rsid w:val="00332C43"/>
    <w:rsid w:val="0033508C"/>
    <w:rsid w:val="00335C56"/>
    <w:rsid w:val="00337141"/>
    <w:rsid w:val="00337827"/>
    <w:rsid w:val="003403C4"/>
    <w:rsid w:val="00340A70"/>
    <w:rsid w:val="00340E28"/>
    <w:rsid w:val="00342E66"/>
    <w:rsid w:val="00343636"/>
    <w:rsid w:val="00343E0A"/>
    <w:rsid w:val="00344980"/>
    <w:rsid w:val="003456A6"/>
    <w:rsid w:val="00345F62"/>
    <w:rsid w:val="00346570"/>
    <w:rsid w:val="00346C5C"/>
    <w:rsid w:val="0035157A"/>
    <w:rsid w:val="00354490"/>
    <w:rsid w:val="00355892"/>
    <w:rsid w:val="003568C2"/>
    <w:rsid w:val="003568F1"/>
    <w:rsid w:val="00356A0A"/>
    <w:rsid w:val="0035744F"/>
    <w:rsid w:val="00360371"/>
    <w:rsid w:val="00360BF2"/>
    <w:rsid w:val="0036167D"/>
    <w:rsid w:val="00361F0F"/>
    <w:rsid w:val="00363EB9"/>
    <w:rsid w:val="00364418"/>
    <w:rsid w:val="00364FC3"/>
    <w:rsid w:val="00364FD4"/>
    <w:rsid w:val="003718A9"/>
    <w:rsid w:val="003721C4"/>
    <w:rsid w:val="0037256C"/>
    <w:rsid w:val="0037290B"/>
    <w:rsid w:val="00372EED"/>
    <w:rsid w:val="00373ADB"/>
    <w:rsid w:val="00373AE5"/>
    <w:rsid w:val="00373F54"/>
    <w:rsid w:val="003740B9"/>
    <w:rsid w:val="00374791"/>
    <w:rsid w:val="0037557A"/>
    <w:rsid w:val="00376503"/>
    <w:rsid w:val="0037699D"/>
    <w:rsid w:val="00376E2F"/>
    <w:rsid w:val="00377BEC"/>
    <w:rsid w:val="003816D4"/>
    <w:rsid w:val="00381891"/>
    <w:rsid w:val="00381961"/>
    <w:rsid w:val="00382721"/>
    <w:rsid w:val="00382CA4"/>
    <w:rsid w:val="0038421E"/>
    <w:rsid w:val="0038497C"/>
    <w:rsid w:val="00384A77"/>
    <w:rsid w:val="00385313"/>
    <w:rsid w:val="00386966"/>
    <w:rsid w:val="00386F76"/>
    <w:rsid w:val="0038734B"/>
    <w:rsid w:val="00390130"/>
    <w:rsid w:val="003905BC"/>
    <w:rsid w:val="003909E9"/>
    <w:rsid w:val="00390D4B"/>
    <w:rsid w:val="0039118A"/>
    <w:rsid w:val="003921CE"/>
    <w:rsid w:val="00394CC6"/>
    <w:rsid w:val="003969F2"/>
    <w:rsid w:val="00397C58"/>
    <w:rsid w:val="003A0FB8"/>
    <w:rsid w:val="003A1AC9"/>
    <w:rsid w:val="003A330B"/>
    <w:rsid w:val="003A3AA8"/>
    <w:rsid w:val="003A4763"/>
    <w:rsid w:val="003A53A9"/>
    <w:rsid w:val="003A53BD"/>
    <w:rsid w:val="003A594C"/>
    <w:rsid w:val="003A67AC"/>
    <w:rsid w:val="003A7482"/>
    <w:rsid w:val="003B0F70"/>
    <w:rsid w:val="003B1D17"/>
    <w:rsid w:val="003B27FE"/>
    <w:rsid w:val="003B376C"/>
    <w:rsid w:val="003B3FAC"/>
    <w:rsid w:val="003B40CC"/>
    <w:rsid w:val="003B589B"/>
    <w:rsid w:val="003B5F67"/>
    <w:rsid w:val="003B6E14"/>
    <w:rsid w:val="003B799A"/>
    <w:rsid w:val="003B7CE8"/>
    <w:rsid w:val="003B7F85"/>
    <w:rsid w:val="003C0D92"/>
    <w:rsid w:val="003C0DC7"/>
    <w:rsid w:val="003C0FA9"/>
    <w:rsid w:val="003C1DB1"/>
    <w:rsid w:val="003C2391"/>
    <w:rsid w:val="003C2AC7"/>
    <w:rsid w:val="003C2BF4"/>
    <w:rsid w:val="003C4BB2"/>
    <w:rsid w:val="003C57B7"/>
    <w:rsid w:val="003C708A"/>
    <w:rsid w:val="003D06B7"/>
    <w:rsid w:val="003D2328"/>
    <w:rsid w:val="003D378B"/>
    <w:rsid w:val="003D46C0"/>
    <w:rsid w:val="003D4D52"/>
    <w:rsid w:val="003D7C82"/>
    <w:rsid w:val="003E0442"/>
    <w:rsid w:val="003E0785"/>
    <w:rsid w:val="003E1557"/>
    <w:rsid w:val="003E19D9"/>
    <w:rsid w:val="003E3238"/>
    <w:rsid w:val="003E45C8"/>
    <w:rsid w:val="003E4897"/>
    <w:rsid w:val="003E4C88"/>
    <w:rsid w:val="003E62D4"/>
    <w:rsid w:val="003E6BA4"/>
    <w:rsid w:val="003E6CF1"/>
    <w:rsid w:val="003E733B"/>
    <w:rsid w:val="003E7CDC"/>
    <w:rsid w:val="003F09AA"/>
    <w:rsid w:val="003F1A66"/>
    <w:rsid w:val="003F499B"/>
    <w:rsid w:val="003F49ED"/>
    <w:rsid w:val="003F4D43"/>
    <w:rsid w:val="003F5B1E"/>
    <w:rsid w:val="003F73CA"/>
    <w:rsid w:val="004004E1"/>
    <w:rsid w:val="004006BC"/>
    <w:rsid w:val="004028ED"/>
    <w:rsid w:val="00405133"/>
    <w:rsid w:val="00406923"/>
    <w:rsid w:val="00407567"/>
    <w:rsid w:val="00412237"/>
    <w:rsid w:val="00412B99"/>
    <w:rsid w:val="00414F20"/>
    <w:rsid w:val="00415D63"/>
    <w:rsid w:val="0041644E"/>
    <w:rsid w:val="00417C89"/>
    <w:rsid w:val="00417E61"/>
    <w:rsid w:val="004215A7"/>
    <w:rsid w:val="00421EF3"/>
    <w:rsid w:val="00422F4B"/>
    <w:rsid w:val="00423B49"/>
    <w:rsid w:val="00424246"/>
    <w:rsid w:val="00426CEF"/>
    <w:rsid w:val="004278D3"/>
    <w:rsid w:val="0043095F"/>
    <w:rsid w:val="00430A97"/>
    <w:rsid w:val="0043282F"/>
    <w:rsid w:val="00434DC1"/>
    <w:rsid w:val="0043538E"/>
    <w:rsid w:val="0043554B"/>
    <w:rsid w:val="00436516"/>
    <w:rsid w:val="004367C8"/>
    <w:rsid w:val="00436849"/>
    <w:rsid w:val="0043799D"/>
    <w:rsid w:val="00437C2D"/>
    <w:rsid w:val="00437E99"/>
    <w:rsid w:val="004407FA"/>
    <w:rsid w:val="00440C35"/>
    <w:rsid w:val="004414D1"/>
    <w:rsid w:val="00441D14"/>
    <w:rsid w:val="00442891"/>
    <w:rsid w:val="00442972"/>
    <w:rsid w:val="0044347B"/>
    <w:rsid w:val="0044564B"/>
    <w:rsid w:val="0044686D"/>
    <w:rsid w:val="004469F0"/>
    <w:rsid w:val="00446B56"/>
    <w:rsid w:val="00451170"/>
    <w:rsid w:val="004516A4"/>
    <w:rsid w:val="00451ADE"/>
    <w:rsid w:val="00451CD0"/>
    <w:rsid w:val="00451D72"/>
    <w:rsid w:val="0045246C"/>
    <w:rsid w:val="00452C52"/>
    <w:rsid w:val="00452C9B"/>
    <w:rsid w:val="0045310A"/>
    <w:rsid w:val="004557F4"/>
    <w:rsid w:val="00455BE8"/>
    <w:rsid w:val="0045744C"/>
    <w:rsid w:val="00457BA4"/>
    <w:rsid w:val="00460EA5"/>
    <w:rsid w:val="00461403"/>
    <w:rsid w:val="0046170C"/>
    <w:rsid w:val="00461850"/>
    <w:rsid w:val="00463C22"/>
    <w:rsid w:val="00463D2E"/>
    <w:rsid w:val="00463E2B"/>
    <w:rsid w:val="004649C9"/>
    <w:rsid w:val="00464E94"/>
    <w:rsid w:val="00465065"/>
    <w:rsid w:val="0046583E"/>
    <w:rsid w:val="004660D2"/>
    <w:rsid w:val="00466594"/>
    <w:rsid w:val="00466E9A"/>
    <w:rsid w:val="0046759D"/>
    <w:rsid w:val="0046782E"/>
    <w:rsid w:val="00467A68"/>
    <w:rsid w:val="00467DDA"/>
    <w:rsid w:val="004706AB"/>
    <w:rsid w:val="00470A39"/>
    <w:rsid w:val="00471288"/>
    <w:rsid w:val="004725B0"/>
    <w:rsid w:val="00472691"/>
    <w:rsid w:val="004730DF"/>
    <w:rsid w:val="00473432"/>
    <w:rsid w:val="00473436"/>
    <w:rsid w:val="004749F0"/>
    <w:rsid w:val="004755D7"/>
    <w:rsid w:val="004767B8"/>
    <w:rsid w:val="00480474"/>
    <w:rsid w:val="004808A1"/>
    <w:rsid w:val="00481771"/>
    <w:rsid w:val="004834CB"/>
    <w:rsid w:val="00485210"/>
    <w:rsid w:val="004862A1"/>
    <w:rsid w:val="00486ADF"/>
    <w:rsid w:val="00486FD7"/>
    <w:rsid w:val="00490503"/>
    <w:rsid w:val="00490591"/>
    <w:rsid w:val="00492397"/>
    <w:rsid w:val="004926C2"/>
    <w:rsid w:val="00493CD4"/>
    <w:rsid w:val="004946AD"/>
    <w:rsid w:val="00497464"/>
    <w:rsid w:val="004976AD"/>
    <w:rsid w:val="004A1E28"/>
    <w:rsid w:val="004A21AC"/>
    <w:rsid w:val="004A4439"/>
    <w:rsid w:val="004A7E21"/>
    <w:rsid w:val="004B24EA"/>
    <w:rsid w:val="004B5DEE"/>
    <w:rsid w:val="004B7779"/>
    <w:rsid w:val="004C0AA8"/>
    <w:rsid w:val="004C2D32"/>
    <w:rsid w:val="004C36C2"/>
    <w:rsid w:val="004C475B"/>
    <w:rsid w:val="004C4B61"/>
    <w:rsid w:val="004C5559"/>
    <w:rsid w:val="004C6AF5"/>
    <w:rsid w:val="004D1585"/>
    <w:rsid w:val="004D2638"/>
    <w:rsid w:val="004D2DDE"/>
    <w:rsid w:val="004D2EFF"/>
    <w:rsid w:val="004D5296"/>
    <w:rsid w:val="004D5777"/>
    <w:rsid w:val="004D6593"/>
    <w:rsid w:val="004E06A0"/>
    <w:rsid w:val="004E1025"/>
    <w:rsid w:val="004E182A"/>
    <w:rsid w:val="004E1B32"/>
    <w:rsid w:val="004E235B"/>
    <w:rsid w:val="004E23C7"/>
    <w:rsid w:val="004E26B5"/>
    <w:rsid w:val="004E2888"/>
    <w:rsid w:val="004E2EFB"/>
    <w:rsid w:val="004E347B"/>
    <w:rsid w:val="004E5B3C"/>
    <w:rsid w:val="004E77E5"/>
    <w:rsid w:val="004E7883"/>
    <w:rsid w:val="004F074D"/>
    <w:rsid w:val="004F0B7A"/>
    <w:rsid w:val="004F1604"/>
    <w:rsid w:val="004F1FC5"/>
    <w:rsid w:val="004F2BF1"/>
    <w:rsid w:val="004F2D96"/>
    <w:rsid w:val="004F301F"/>
    <w:rsid w:val="004F3C0D"/>
    <w:rsid w:val="004F5256"/>
    <w:rsid w:val="004F69D5"/>
    <w:rsid w:val="004F7D5E"/>
    <w:rsid w:val="0050011A"/>
    <w:rsid w:val="005002AB"/>
    <w:rsid w:val="005003B6"/>
    <w:rsid w:val="0050045A"/>
    <w:rsid w:val="00500F0D"/>
    <w:rsid w:val="00501175"/>
    <w:rsid w:val="00501B14"/>
    <w:rsid w:val="005023F7"/>
    <w:rsid w:val="00502833"/>
    <w:rsid w:val="005052B3"/>
    <w:rsid w:val="00506066"/>
    <w:rsid w:val="00510184"/>
    <w:rsid w:val="00510E76"/>
    <w:rsid w:val="0051108B"/>
    <w:rsid w:val="005114EB"/>
    <w:rsid w:val="0051258F"/>
    <w:rsid w:val="00513560"/>
    <w:rsid w:val="0051372E"/>
    <w:rsid w:val="00513C76"/>
    <w:rsid w:val="00514B62"/>
    <w:rsid w:val="005153F7"/>
    <w:rsid w:val="00516829"/>
    <w:rsid w:val="00516C8F"/>
    <w:rsid w:val="00516D70"/>
    <w:rsid w:val="00516FDC"/>
    <w:rsid w:val="00517504"/>
    <w:rsid w:val="00517AE2"/>
    <w:rsid w:val="005220DB"/>
    <w:rsid w:val="00524B49"/>
    <w:rsid w:val="00525DAC"/>
    <w:rsid w:val="00525F8A"/>
    <w:rsid w:val="005265E9"/>
    <w:rsid w:val="00530A44"/>
    <w:rsid w:val="00530D58"/>
    <w:rsid w:val="00530E92"/>
    <w:rsid w:val="00531071"/>
    <w:rsid w:val="0053163F"/>
    <w:rsid w:val="00531778"/>
    <w:rsid w:val="00532F9B"/>
    <w:rsid w:val="00533A4A"/>
    <w:rsid w:val="00533E95"/>
    <w:rsid w:val="00534FC8"/>
    <w:rsid w:val="00535A4E"/>
    <w:rsid w:val="00535F4A"/>
    <w:rsid w:val="00536277"/>
    <w:rsid w:val="0053658F"/>
    <w:rsid w:val="00536966"/>
    <w:rsid w:val="005370C8"/>
    <w:rsid w:val="00537752"/>
    <w:rsid w:val="00537871"/>
    <w:rsid w:val="00537CE7"/>
    <w:rsid w:val="00540E4F"/>
    <w:rsid w:val="005414E4"/>
    <w:rsid w:val="00541DEE"/>
    <w:rsid w:val="005424B3"/>
    <w:rsid w:val="0054282F"/>
    <w:rsid w:val="00545720"/>
    <w:rsid w:val="00545E8A"/>
    <w:rsid w:val="005471C1"/>
    <w:rsid w:val="005502EB"/>
    <w:rsid w:val="00551CB7"/>
    <w:rsid w:val="005529FE"/>
    <w:rsid w:val="005535F1"/>
    <w:rsid w:val="00560F20"/>
    <w:rsid w:val="0056214F"/>
    <w:rsid w:val="00564892"/>
    <w:rsid w:val="00565455"/>
    <w:rsid w:val="00570564"/>
    <w:rsid w:val="00571DA1"/>
    <w:rsid w:val="00572AE4"/>
    <w:rsid w:val="005730CA"/>
    <w:rsid w:val="0057321C"/>
    <w:rsid w:val="005745B8"/>
    <w:rsid w:val="00574F0D"/>
    <w:rsid w:val="005753DC"/>
    <w:rsid w:val="00575949"/>
    <w:rsid w:val="00576941"/>
    <w:rsid w:val="00576B69"/>
    <w:rsid w:val="00581AB8"/>
    <w:rsid w:val="00582A00"/>
    <w:rsid w:val="00582B04"/>
    <w:rsid w:val="00582CAA"/>
    <w:rsid w:val="005848A2"/>
    <w:rsid w:val="00586648"/>
    <w:rsid w:val="005869AF"/>
    <w:rsid w:val="00586B45"/>
    <w:rsid w:val="00587EB5"/>
    <w:rsid w:val="0059096E"/>
    <w:rsid w:val="00590D8D"/>
    <w:rsid w:val="00593030"/>
    <w:rsid w:val="00593388"/>
    <w:rsid w:val="00594234"/>
    <w:rsid w:val="00594F6A"/>
    <w:rsid w:val="00596E9F"/>
    <w:rsid w:val="005971B2"/>
    <w:rsid w:val="0059744A"/>
    <w:rsid w:val="00597904"/>
    <w:rsid w:val="00597946"/>
    <w:rsid w:val="005A0889"/>
    <w:rsid w:val="005A0BC4"/>
    <w:rsid w:val="005A0E68"/>
    <w:rsid w:val="005A1FE9"/>
    <w:rsid w:val="005A221E"/>
    <w:rsid w:val="005A2767"/>
    <w:rsid w:val="005A347C"/>
    <w:rsid w:val="005A4A13"/>
    <w:rsid w:val="005A5CE5"/>
    <w:rsid w:val="005A5F26"/>
    <w:rsid w:val="005A6547"/>
    <w:rsid w:val="005A6FCF"/>
    <w:rsid w:val="005A78DA"/>
    <w:rsid w:val="005B19FE"/>
    <w:rsid w:val="005B2839"/>
    <w:rsid w:val="005B3241"/>
    <w:rsid w:val="005B4738"/>
    <w:rsid w:val="005B6382"/>
    <w:rsid w:val="005B7529"/>
    <w:rsid w:val="005B7F99"/>
    <w:rsid w:val="005C099D"/>
    <w:rsid w:val="005C249A"/>
    <w:rsid w:val="005C2962"/>
    <w:rsid w:val="005C32CE"/>
    <w:rsid w:val="005C43CA"/>
    <w:rsid w:val="005C5EFE"/>
    <w:rsid w:val="005C716B"/>
    <w:rsid w:val="005D0390"/>
    <w:rsid w:val="005D0707"/>
    <w:rsid w:val="005D1070"/>
    <w:rsid w:val="005D2FA9"/>
    <w:rsid w:val="005D3617"/>
    <w:rsid w:val="005D37F6"/>
    <w:rsid w:val="005D381D"/>
    <w:rsid w:val="005D49DE"/>
    <w:rsid w:val="005D5797"/>
    <w:rsid w:val="005D5C14"/>
    <w:rsid w:val="005D7D20"/>
    <w:rsid w:val="005E1663"/>
    <w:rsid w:val="005E2DFC"/>
    <w:rsid w:val="005E34E5"/>
    <w:rsid w:val="005E443E"/>
    <w:rsid w:val="005E6936"/>
    <w:rsid w:val="005F0BBD"/>
    <w:rsid w:val="005F13F8"/>
    <w:rsid w:val="005F14B3"/>
    <w:rsid w:val="005F1DB3"/>
    <w:rsid w:val="005F2F09"/>
    <w:rsid w:val="005F3F3A"/>
    <w:rsid w:val="005F42BF"/>
    <w:rsid w:val="005F730A"/>
    <w:rsid w:val="005F7D76"/>
    <w:rsid w:val="006000DE"/>
    <w:rsid w:val="006005DF"/>
    <w:rsid w:val="00601623"/>
    <w:rsid w:val="00602BD3"/>
    <w:rsid w:val="00602EF7"/>
    <w:rsid w:val="006040B4"/>
    <w:rsid w:val="00604259"/>
    <w:rsid w:val="006048EC"/>
    <w:rsid w:val="00605F1C"/>
    <w:rsid w:val="00606602"/>
    <w:rsid w:val="006071B5"/>
    <w:rsid w:val="006102AC"/>
    <w:rsid w:val="006136E6"/>
    <w:rsid w:val="0061436C"/>
    <w:rsid w:val="006143A2"/>
    <w:rsid w:val="00614910"/>
    <w:rsid w:val="00614AE0"/>
    <w:rsid w:val="00615286"/>
    <w:rsid w:val="0061581E"/>
    <w:rsid w:val="00615C0B"/>
    <w:rsid w:val="00616835"/>
    <w:rsid w:val="00616845"/>
    <w:rsid w:val="00620723"/>
    <w:rsid w:val="00621098"/>
    <w:rsid w:val="0062115F"/>
    <w:rsid w:val="00621F00"/>
    <w:rsid w:val="006225E6"/>
    <w:rsid w:val="0062270D"/>
    <w:rsid w:val="00622765"/>
    <w:rsid w:val="00622838"/>
    <w:rsid w:val="006230AE"/>
    <w:rsid w:val="00623A76"/>
    <w:rsid w:val="0062468E"/>
    <w:rsid w:val="00624977"/>
    <w:rsid w:val="00624A5E"/>
    <w:rsid w:val="0062792B"/>
    <w:rsid w:val="00627EC6"/>
    <w:rsid w:val="0063010B"/>
    <w:rsid w:val="006318E4"/>
    <w:rsid w:val="0063274D"/>
    <w:rsid w:val="00633881"/>
    <w:rsid w:val="0063409C"/>
    <w:rsid w:val="00634190"/>
    <w:rsid w:val="006360DE"/>
    <w:rsid w:val="006361A0"/>
    <w:rsid w:val="006367EA"/>
    <w:rsid w:val="00636ECE"/>
    <w:rsid w:val="0063796B"/>
    <w:rsid w:val="00640076"/>
    <w:rsid w:val="00640083"/>
    <w:rsid w:val="006424E9"/>
    <w:rsid w:val="00644735"/>
    <w:rsid w:val="00645280"/>
    <w:rsid w:val="0064528D"/>
    <w:rsid w:val="006468A2"/>
    <w:rsid w:val="00647714"/>
    <w:rsid w:val="00647AA4"/>
    <w:rsid w:val="006505CA"/>
    <w:rsid w:val="00650F58"/>
    <w:rsid w:val="00651D4B"/>
    <w:rsid w:val="00653441"/>
    <w:rsid w:val="00655E5F"/>
    <w:rsid w:val="00656398"/>
    <w:rsid w:val="00656CBC"/>
    <w:rsid w:val="00656EF8"/>
    <w:rsid w:val="00657DD2"/>
    <w:rsid w:val="0066093A"/>
    <w:rsid w:val="00661429"/>
    <w:rsid w:val="006616CB"/>
    <w:rsid w:val="006621D3"/>
    <w:rsid w:val="006630F4"/>
    <w:rsid w:val="00663820"/>
    <w:rsid w:val="0066585E"/>
    <w:rsid w:val="00666191"/>
    <w:rsid w:val="006679D6"/>
    <w:rsid w:val="0067010A"/>
    <w:rsid w:val="006729DF"/>
    <w:rsid w:val="0067347B"/>
    <w:rsid w:val="006743C0"/>
    <w:rsid w:val="00674682"/>
    <w:rsid w:val="00676FD4"/>
    <w:rsid w:val="00677F15"/>
    <w:rsid w:val="00680881"/>
    <w:rsid w:val="00681F0D"/>
    <w:rsid w:val="006824D6"/>
    <w:rsid w:val="00682A88"/>
    <w:rsid w:val="00684745"/>
    <w:rsid w:val="00684B87"/>
    <w:rsid w:val="0068548E"/>
    <w:rsid w:val="0068580B"/>
    <w:rsid w:val="006859E1"/>
    <w:rsid w:val="00685C07"/>
    <w:rsid w:val="0068770A"/>
    <w:rsid w:val="00693140"/>
    <w:rsid w:val="0069488D"/>
    <w:rsid w:val="0069571B"/>
    <w:rsid w:val="00697284"/>
    <w:rsid w:val="00697CE2"/>
    <w:rsid w:val="00697DE0"/>
    <w:rsid w:val="006A108B"/>
    <w:rsid w:val="006A10B4"/>
    <w:rsid w:val="006A2267"/>
    <w:rsid w:val="006A2DF1"/>
    <w:rsid w:val="006A34EE"/>
    <w:rsid w:val="006A4724"/>
    <w:rsid w:val="006A4C09"/>
    <w:rsid w:val="006A5A9F"/>
    <w:rsid w:val="006A5DE5"/>
    <w:rsid w:val="006A5FED"/>
    <w:rsid w:val="006A64FA"/>
    <w:rsid w:val="006B0084"/>
    <w:rsid w:val="006B1336"/>
    <w:rsid w:val="006B2050"/>
    <w:rsid w:val="006B2AB3"/>
    <w:rsid w:val="006B3D96"/>
    <w:rsid w:val="006B5696"/>
    <w:rsid w:val="006B5AEB"/>
    <w:rsid w:val="006B5D8C"/>
    <w:rsid w:val="006C001C"/>
    <w:rsid w:val="006C01D0"/>
    <w:rsid w:val="006C0812"/>
    <w:rsid w:val="006C1975"/>
    <w:rsid w:val="006C1F53"/>
    <w:rsid w:val="006C20F6"/>
    <w:rsid w:val="006C21E8"/>
    <w:rsid w:val="006C26F9"/>
    <w:rsid w:val="006C2D9F"/>
    <w:rsid w:val="006C3334"/>
    <w:rsid w:val="006C3828"/>
    <w:rsid w:val="006C3CF2"/>
    <w:rsid w:val="006C3DB7"/>
    <w:rsid w:val="006C484A"/>
    <w:rsid w:val="006C4C2F"/>
    <w:rsid w:val="006C57BE"/>
    <w:rsid w:val="006C6C14"/>
    <w:rsid w:val="006D27D7"/>
    <w:rsid w:val="006D3EA6"/>
    <w:rsid w:val="006D4043"/>
    <w:rsid w:val="006D40F9"/>
    <w:rsid w:val="006D49D4"/>
    <w:rsid w:val="006D4EBE"/>
    <w:rsid w:val="006D5241"/>
    <w:rsid w:val="006D637D"/>
    <w:rsid w:val="006E0700"/>
    <w:rsid w:val="006E172F"/>
    <w:rsid w:val="006E30F1"/>
    <w:rsid w:val="006E32F3"/>
    <w:rsid w:val="006E3C07"/>
    <w:rsid w:val="006E51E2"/>
    <w:rsid w:val="006E6D90"/>
    <w:rsid w:val="006E7DF9"/>
    <w:rsid w:val="006F0817"/>
    <w:rsid w:val="006F09A0"/>
    <w:rsid w:val="006F2F96"/>
    <w:rsid w:val="006F4519"/>
    <w:rsid w:val="006F4A05"/>
    <w:rsid w:val="00700CAD"/>
    <w:rsid w:val="00700F59"/>
    <w:rsid w:val="007018D2"/>
    <w:rsid w:val="00702387"/>
    <w:rsid w:val="00703C1E"/>
    <w:rsid w:val="00705187"/>
    <w:rsid w:val="00706FE0"/>
    <w:rsid w:val="00712180"/>
    <w:rsid w:val="00713F6B"/>
    <w:rsid w:val="0071433C"/>
    <w:rsid w:val="00716DE6"/>
    <w:rsid w:val="00721811"/>
    <w:rsid w:val="00722EAE"/>
    <w:rsid w:val="0072412E"/>
    <w:rsid w:val="007250DB"/>
    <w:rsid w:val="007252CE"/>
    <w:rsid w:val="0072533C"/>
    <w:rsid w:val="007253E5"/>
    <w:rsid w:val="0072693D"/>
    <w:rsid w:val="00732994"/>
    <w:rsid w:val="00734853"/>
    <w:rsid w:val="0073571C"/>
    <w:rsid w:val="007360EB"/>
    <w:rsid w:val="0073681D"/>
    <w:rsid w:val="00736B90"/>
    <w:rsid w:val="00737B2E"/>
    <w:rsid w:val="00740113"/>
    <w:rsid w:val="00745AE9"/>
    <w:rsid w:val="00747CB4"/>
    <w:rsid w:val="007511FA"/>
    <w:rsid w:val="007512D3"/>
    <w:rsid w:val="007551E4"/>
    <w:rsid w:val="00755209"/>
    <w:rsid w:val="00760B1B"/>
    <w:rsid w:val="00760BBD"/>
    <w:rsid w:val="00761AD0"/>
    <w:rsid w:val="00763668"/>
    <w:rsid w:val="007664A1"/>
    <w:rsid w:val="00767CF4"/>
    <w:rsid w:val="00767EBA"/>
    <w:rsid w:val="007707CD"/>
    <w:rsid w:val="00770E03"/>
    <w:rsid w:val="00771AE6"/>
    <w:rsid w:val="00773A18"/>
    <w:rsid w:val="00775E44"/>
    <w:rsid w:val="007768A4"/>
    <w:rsid w:val="00781795"/>
    <w:rsid w:val="00782418"/>
    <w:rsid w:val="007827C3"/>
    <w:rsid w:val="00782E67"/>
    <w:rsid w:val="00783995"/>
    <w:rsid w:val="00784FC5"/>
    <w:rsid w:val="00785978"/>
    <w:rsid w:val="00786064"/>
    <w:rsid w:val="007864DC"/>
    <w:rsid w:val="00786D7F"/>
    <w:rsid w:val="00787692"/>
    <w:rsid w:val="0079099E"/>
    <w:rsid w:val="0079146D"/>
    <w:rsid w:val="007923BD"/>
    <w:rsid w:val="00792BEC"/>
    <w:rsid w:val="007936A0"/>
    <w:rsid w:val="00794455"/>
    <w:rsid w:val="007946F5"/>
    <w:rsid w:val="00795761"/>
    <w:rsid w:val="007A55BB"/>
    <w:rsid w:val="007A63A5"/>
    <w:rsid w:val="007A689C"/>
    <w:rsid w:val="007B0E0B"/>
    <w:rsid w:val="007B0EAD"/>
    <w:rsid w:val="007B17C1"/>
    <w:rsid w:val="007B1F16"/>
    <w:rsid w:val="007B25F0"/>
    <w:rsid w:val="007B2B0A"/>
    <w:rsid w:val="007B2D91"/>
    <w:rsid w:val="007B3996"/>
    <w:rsid w:val="007B3BB5"/>
    <w:rsid w:val="007B4070"/>
    <w:rsid w:val="007B4085"/>
    <w:rsid w:val="007B4E0F"/>
    <w:rsid w:val="007B4E35"/>
    <w:rsid w:val="007B4F4C"/>
    <w:rsid w:val="007B5C6B"/>
    <w:rsid w:val="007B7525"/>
    <w:rsid w:val="007B7FFD"/>
    <w:rsid w:val="007C1BF0"/>
    <w:rsid w:val="007C2BA0"/>
    <w:rsid w:val="007C2C6E"/>
    <w:rsid w:val="007C3A57"/>
    <w:rsid w:val="007C3BE6"/>
    <w:rsid w:val="007C46B8"/>
    <w:rsid w:val="007D05D4"/>
    <w:rsid w:val="007D09E3"/>
    <w:rsid w:val="007D3E22"/>
    <w:rsid w:val="007D453E"/>
    <w:rsid w:val="007D454C"/>
    <w:rsid w:val="007D4E34"/>
    <w:rsid w:val="007D50D5"/>
    <w:rsid w:val="007D5D3B"/>
    <w:rsid w:val="007D6ADF"/>
    <w:rsid w:val="007D6BEB"/>
    <w:rsid w:val="007D7439"/>
    <w:rsid w:val="007D75D7"/>
    <w:rsid w:val="007E0505"/>
    <w:rsid w:val="007E0822"/>
    <w:rsid w:val="007E08AC"/>
    <w:rsid w:val="007E0B06"/>
    <w:rsid w:val="007E2C0A"/>
    <w:rsid w:val="007E342E"/>
    <w:rsid w:val="007E4B00"/>
    <w:rsid w:val="007E601F"/>
    <w:rsid w:val="007E63F0"/>
    <w:rsid w:val="007E6AB3"/>
    <w:rsid w:val="007E7128"/>
    <w:rsid w:val="007E76BD"/>
    <w:rsid w:val="007E7AF8"/>
    <w:rsid w:val="007E7DEB"/>
    <w:rsid w:val="007F0C4E"/>
    <w:rsid w:val="007F12F2"/>
    <w:rsid w:val="007F1869"/>
    <w:rsid w:val="007F1CB9"/>
    <w:rsid w:val="007F35E3"/>
    <w:rsid w:val="007F47A1"/>
    <w:rsid w:val="007F5FA0"/>
    <w:rsid w:val="007F7471"/>
    <w:rsid w:val="007F79DE"/>
    <w:rsid w:val="00800199"/>
    <w:rsid w:val="00800C28"/>
    <w:rsid w:val="00800F35"/>
    <w:rsid w:val="00801383"/>
    <w:rsid w:val="00801595"/>
    <w:rsid w:val="00801A14"/>
    <w:rsid w:val="00801C91"/>
    <w:rsid w:val="008023C9"/>
    <w:rsid w:val="008039A0"/>
    <w:rsid w:val="0080475E"/>
    <w:rsid w:val="00804C40"/>
    <w:rsid w:val="00805380"/>
    <w:rsid w:val="00805CFA"/>
    <w:rsid w:val="00806529"/>
    <w:rsid w:val="00806D51"/>
    <w:rsid w:val="008073C7"/>
    <w:rsid w:val="00807FAF"/>
    <w:rsid w:val="00810676"/>
    <w:rsid w:val="00812A46"/>
    <w:rsid w:val="00813390"/>
    <w:rsid w:val="00814677"/>
    <w:rsid w:val="00815221"/>
    <w:rsid w:val="0081751F"/>
    <w:rsid w:val="0081755D"/>
    <w:rsid w:val="00817747"/>
    <w:rsid w:val="00820038"/>
    <w:rsid w:val="0082026B"/>
    <w:rsid w:val="00820D7D"/>
    <w:rsid w:val="008228AC"/>
    <w:rsid w:val="008229CA"/>
    <w:rsid w:val="00822DAD"/>
    <w:rsid w:val="00824667"/>
    <w:rsid w:val="00825B0C"/>
    <w:rsid w:val="008272E2"/>
    <w:rsid w:val="0082747F"/>
    <w:rsid w:val="00827856"/>
    <w:rsid w:val="0083080D"/>
    <w:rsid w:val="008310B0"/>
    <w:rsid w:val="00831E20"/>
    <w:rsid w:val="00832695"/>
    <w:rsid w:val="0083475B"/>
    <w:rsid w:val="00835280"/>
    <w:rsid w:val="00835A78"/>
    <w:rsid w:val="00835E94"/>
    <w:rsid w:val="00836550"/>
    <w:rsid w:val="00837931"/>
    <w:rsid w:val="00837F02"/>
    <w:rsid w:val="008404EF"/>
    <w:rsid w:val="00840C35"/>
    <w:rsid w:val="00840C54"/>
    <w:rsid w:val="00841373"/>
    <w:rsid w:val="00841B1D"/>
    <w:rsid w:val="00842F61"/>
    <w:rsid w:val="00843AA1"/>
    <w:rsid w:val="00843BCE"/>
    <w:rsid w:val="00845325"/>
    <w:rsid w:val="00845918"/>
    <w:rsid w:val="00845CEB"/>
    <w:rsid w:val="00845E07"/>
    <w:rsid w:val="008518BD"/>
    <w:rsid w:val="00851909"/>
    <w:rsid w:val="00851CFB"/>
    <w:rsid w:val="00852BED"/>
    <w:rsid w:val="00853183"/>
    <w:rsid w:val="00853B59"/>
    <w:rsid w:val="00853CA8"/>
    <w:rsid w:val="0085460E"/>
    <w:rsid w:val="008555A2"/>
    <w:rsid w:val="00855D37"/>
    <w:rsid w:val="00855D7F"/>
    <w:rsid w:val="00855DB0"/>
    <w:rsid w:val="0085774F"/>
    <w:rsid w:val="00862ECA"/>
    <w:rsid w:val="00863CD8"/>
    <w:rsid w:val="00864681"/>
    <w:rsid w:val="0086671F"/>
    <w:rsid w:val="008673B6"/>
    <w:rsid w:val="00867E3A"/>
    <w:rsid w:val="008703D9"/>
    <w:rsid w:val="008716D0"/>
    <w:rsid w:val="00871FE5"/>
    <w:rsid w:val="0087223F"/>
    <w:rsid w:val="0087252E"/>
    <w:rsid w:val="008728F0"/>
    <w:rsid w:val="00873CA7"/>
    <w:rsid w:val="00873D9F"/>
    <w:rsid w:val="008800A3"/>
    <w:rsid w:val="0088052E"/>
    <w:rsid w:val="00881539"/>
    <w:rsid w:val="00882274"/>
    <w:rsid w:val="00882BD4"/>
    <w:rsid w:val="00882E15"/>
    <w:rsid w:val="00883723"/>
    <w:rsid w:val="00884246"/>
    <w:rsid w:val="008857CA"/>
    <w:rsid w:val="008874D3"/>
    <w:rsid w:val="008875A6"/>
    <w:rsid w:val="00887985"/>
    <w:rsid w:val="00887E40"/>
    <w:rsid w:val="0089055C"/>
    <w:rsid w:val="00892319"/>
    <w:rsid w:val="00893013"/>
    <w:rsid w:val="00894999"/>
    <w:rsid w:val="00894B7A"/>
    <w:rsid w:val="00895303"/>
    <w:rsid w:val="00896A12"/>
    <w:rsid w:val="0089777C"/>
    <w:rsid w:val="008A1577"/>
    <w:rsid w:val="008A1728"/>
    <w:rsid w:val="008A2639"/>
    <w:rsid w:val="008A2653"/>
    <w:rsid w:val="008A30C4"/>
    <w:rsid w:val="008A509C"/>
    <w:rsid w:val="008A5162"/>
    <w:rsid w:val="008A6F8A"/>
    <w:rsid w:val="008A79EB"/>
    <w:rsid w:val="008B1BC5"/>
    <w:rsid w:val="008B3FDD"/>
    <w:rsid w:val="008B4471"/>
    <w:rsid w:val="008B4CB7"/>
    <w:rsid w:val="008B529D"/>
    <w:rsid w:val="008B5BF2"/>
    <w:rsid w:val="008B608E"/>
    <w:rsid w:val="008B6BF1"/>
    <w:rsid w:val="008C01F7"/>
    <w:rsid w:val="008C1425"/>
    <w:rsid w:val="008C1A64"/>
    <w:rsid w:val="008C2497"/>
    <w:rsid w:val="008C5B07"/>
    <w:rsid w:val="008C5DD3"/>
    <w:rsid w:val="008C668F"/>
    <w:rsid w:val="008C673F"/>
    <w:rsid w:val="008D034F"/>
    <w:rsid w:val="008D0CC6"/>
    <w:rsid w:val="008D30FA"/>
    <w:rsid w:val="008D32F1"/>
    <w:rsid w:val="008D3A14"/>
    <w:rsid w:val="008D60A6"/>
    <w:rsid w:val="008D66FF"/>
    <w:rsid w:val="008D689C"/>
    <w:rsid w:val="008E0C9F"/>
    <w:rsid w:val="008E2338"/>
    <w:rsid w:val="008E3FF9"/>
    <w:rsid w:val="008E47FF"/>
    <w:rsid w:val="008E49DE"/>
    <w:rsid w:val="008E55D8"/>
    <w:rsid w:val="008E6A81"/>
    <w:rsid w:val="008F0411"/>
    <w:rsid w:val="008F10B6"/>
    <w:rsid w:val="008F1693"/>
    <w:rsid w:val="008F16FF"/>
    <w:rsid w:val="008F371B"/>
    <w:rsid w:val="008F42F0"/>
    <w:rsid w:val="008F4453"/>
    <w:rsid w:val="008F47EB"/>
    <w:rsid w:val="009013C4"/>
    <w:rsid w:val="00901716"/>
    <w:rsid w:val="00901E7C"/>
    <w:rsid w:val="009020DB"/>
    <w:rsid w:val="00902EB0"/>
    <w:rsid w:val="0090366C"/>
    <w:rsid w:val="00903FA9"/>
    <w:rsid w:val="00905618"/>
    <w:rsid w:val="0090656C"/>
    <w:rsid w:val="00907563"/>
    <w:rsid w:val="00911A58"/>
    <w:rsid w:val="00911E3F"/>
    <w:rsid w:val="0091331A"/>
    <w:rsid w:val="0091336B"/>
    <w:rsid w:val="009133D6"/>
    <w:rsid w:val="00913B62"/>
    <w:rsid w:val="0091617A"/>
    <w:rsid w:val="009169D8"/>
    <w:rsid w:val="009170D4"/>
    <w:rsid w:val="009170E7"/>
    <w:rsid w:val="00921178"/>
    <w:rsid w:val="00921676"/>
    <w:rsid w:val="00921951"/>
    <w:rsid w:val="00922175"/>
    <w:rsid w:val="009234FF"/>
    <w:rsid w:val="0092364E"/>
    <w:rsid w:val="009243AB"/>
    <w:rsid w:val="009265C4"/>
    <w:rsid w:val="00926B11"/>
    <w:rsid w:val="009271ED"/>
    <w:rsid w:val="00927AF6"/>
    <w:rsid w:val="00927BDE"/>
    <w:rsid w:val="00927BFF"/>
    <w:rsid w:val="00930FC3"/>
    <w:rsid w:val="00931DAA"/>
    <w:rsid w:val="00932AE1"/>
    <w:rsid w:val="00932DDB"/>
    <w:rsid w:val="00933576"/>
    <w:rsid w:val="00935A28"/>
    <w:rsid w:val="00936DE1"/>
    <w:rsid w:val="0093760E"/>
    <w:rsid w:val="00937BF3"/>
    <w:rsid w:val="009404C5"/>
    <w:rsid w:val="00941EDF"/>
    <w:rsid w:val="00943463"/>
    <w:rsid w:val="0094427C"/>
    <w:rsid w:val="009446C1"/>
    <w:rsid w:val="00944CE9"/>
    <w:rsid w:val="00945881"/>
    <w:rsid w:val="0094607E"/>
    <w:rsid w:val="00951504"/>
    <w:rsid w:val="00951B71"/>
    <w:rsid w:val="00953628"/>
    <w:rsid w:val="00953781"/>
    <w:rsid w:val="00953F5C"/>
    <w:rsid w:val="00961C29"/>
    <w:rsid w:val="00961F6A"/>
    <w:rsid w:val="009627E4"/>
    <w:rsid w:val="00962915"/>
    <w:rsid w:val="00962E50"/>
    <w:rsid w:val="009643E3"/>
    <w:rsid w:val="00964632"/>
    <w:rsid w:val="00964B8E"/>
    <w:rsid w:val="0096535B"/>
    <w:rsid w:val="009666A7"/>
    <w:rsid w:val="00966DF7"/>
    <w:rsid w:val="009705F0"/>
    <w:rsid w:val="00971BAA"/>
    <w:rsid w:val="00972AA6"/>
    <w:rsid w:val="00973536"/>
    <w:rsid w:val="0097438C"/>
    <w:rsid w:val="009758D8"/>
    <w:rsid w:val="00977104"/>
    <w:rsid w:val="009774CF"/>
    <w:rsid w:val="009778EE"/>
    <w:rsid w:val="00977A78"/>
    <w:rsid w:val="00977C6F"/>
    <w:rsid w:val="00980228"/>
    <w:rsid w:val="009812C4"/>
    <w:rsid w:val="009822F3"/>
    <w:rsid w:val="009827AA"/>
    <w:rsid w:val="00985C02"/>
    <w:rsid w:val="009873EF"/>
    <w:rsid w:val="0099344F"/>
    <w:rsid w:val="00993BA0"/>
    <w:rsid w:val="00993ED6"/>
    <w:rsid w:val="0099475F"/>
    <w:rsid w:val="00994E3A"/>
    <w:rsid w:val="0099520B"/>
    <w:rsid w:val="0099794F"/>
    <w:rsid w:val="00997FA9"/>
    <w:rsid w:val="009A1A2E"/>
    <w:rsid w:val="009A1B2A"/>
    <w:rsid w:val="009A2754"/>
    <w:rsid w:val="009A32F5"/>
    <w:rsid w:val="009B0ACE"/>
    <w:rsid w:val="009B1423"/>
    <w:rsid w:val="009B19E8"/>
    <w:rsid w:val="009B263F"/>
    <w:rsid w:val="009B3083"/>
    <w:rsid w:val="009B38FA"/>
    <w:rsid w:val="009B3E73"/>
    <w:rsid w:val="009B4380"/>
    <w:rsid w:val="009B4A16"/>
    <w:rsid w:val="009B532E"/>
    <w:rsid w:val="009B5A45"/>
    <w:rsid w:val="009C1AAF"/>
    <w:rsid w:val="009C2D63"/>
    <w:rsid w:val="009C4008"/>
    <w:rsid w:val="009C48D1"/>
    <w:rsid w:val="009C585E"/>
    <w:rsid w:val="009C5FAE"/>
    <w:rsid w:val="009C61F5"/>
    <w:rsid w:val="009C7565"/>
    <w:rsid w:val="009D017A"/>
    <w:rsid w:val="009D1223"/>
    <w:rsid w:val="009D27F8"/>
    <w:rsid w:val="009D3235"/>
    <w:rsid w:val="009D3AAF"/>
    <w:rsid w:val="009D3FC8"/>
    <w:rsid w:val="009D4F7F"/>
    <w:rsid w:val="009D5BA1"/>
    <w:rsid w:val="009D6117"/>
    <w:rsid w:val="009D6381"/>
    <w:rsid w:val="009D7325"/>
    <w:rsid w:val="009D74CE"/>
    <w:rsid w:val="009E0CFF"/>
    <w:rsid w:val="009E197D"/>
    <w:rsid w:val="009E1D2D"/>
    <w:rsid w:val="009E356D"/>
    <w:rsid w:val="009E3F2A"/>
    <w:rsid w:val="009E45DA"/>
    <w:rsid w:val="009E4670"/>
    <w:rsid w:val="009E50F6"/>
    <w:rsid w:val="009E6474"/>
    <w:rsid w:val="009E768F"/>
    <w:rsid w:val="009E7D4E"/>
    <w:rsid w:val="009E7EEF"/>
    <w:rsid w:val="009F21F0"/>
    <w:rsid w:val="009F3C29"/>
    <w:rsid w:val="009F4683"/>
    <w:rsid w:val="009F56DF"/>
    <w:rsid w:val="009F5FF8"/>
    <w:rsid w:val="009F6502"/>
    <w:rsid w:val="009F6945"/>
    <w:rsid w:val="00A0062C"/>
    <w:rsid w:val="00A014D8"/>
    <w:rsid w:val="00A02644"/>
    <w:rsid w:val="00A02779"/>
    <w:rsid w:val="00A04708"/>
    <w:rsid w:val="00A05BB9"/>
    <w:rsid w:val="00A062E0"/>
    <w:rsid w:val="00A06474"/>
    <w:rsid w:val="00A06AD8"/>
    <w:rsid w:val="00A06F6F"/>
    <w:rsid w:val="00A0738B"/>
    <w:rsid w:val="00A10534"/>
    <w:rsid w:val="00A11243"/>
    <w:rsid w:val="00A12A39"/>
    <w:rsid w:val="00A1330A"/>
    <w:rsid w:val="00A13851"/>
    <w:rsid w:val="00A13A97"/>
    <w:rsid w:val="00A149D8"/>
    <w:rsid w:val="00A15130"/>
    <w:rsid w:val="00A157B9"/>
    <w:rsid w:val="00A2055E"/>
    <w:rsid w:val="00A20F94"/>
    <w:rsid w:val="00A21878"/>
    <w:rsid w:val="00A21A1E"/>
    <w:rsid w:val="00A23D96"/>
    <w:rsid w:val="00A24227"/>
    <w:rsid w:val="00A24BEB"/>
    <w:rsid w:val="00A25979"/>
    <w:rsid w:val="00A25A57"/>
    <w:rsid w:val="00A30211"/>
    <w:rsid w:val="00A358F1"/>
    <w:rsid w:val="00A376C2"/>
    <w:rsid w:val="00A41318"/>
    <w:rsid w:val="00A416AD"/>
    <w:rsid w:val="00A41A19"/>
    <w:rsid w:val="00A42100"/>
    <w:rsid w:val="00A426D3"/>
    <w:rsid w:val="00A42895"/>
    <w:rsid w:val="00A4428C"/>
    <w:rsid w:val="00A4440A"/>
    <w:rsid w:val="00A51ACC"/>
    <w:rsid w:val="00A5219D"/>
    <w:rsid w:val="00A52368"/>
    <w:rsid w:val="00A5286A"/>
    <w:rsid w:val="00A530EE"/>
    <w:rsid w:val="00A5499F"/>
    <w:rsid w:val="00A560BF"/>
    <w:rsid w:val="00A602BA"/>
    <w:rsid w:val="00A605F0"/>
    <w:rsid w:val="00A6150A"/>
    <w:rsid w:val="00A62CCD"/>
    <w:rsid w:val="00A63612"/>
    <w:rsid w:val="00A6544D"/>
    <w:rsid w:val="00A65866"/>
    <w:rsid w:val="00A70524"/>
    <w:rsid w:val="00A70B1F"/>
    <w:rsid w:val="00A71447"/>
    <w:rsid w:val="00A720C4"/>
    <w:rsid w:val="00A742E7"/>
    <w:rsid w:val="00A76C6B"/>
    <w:rsid w:val="00A77833"/>
    <w:rsid w:val="00A8088D"/>
    <w:rsid w:val="00A81BB6"/>
    <w:rsid w:val="00A81DC9"/>
    <w:rsid w:val="00A82AC2"/>
    <w:rsid w:val="00A82F04"/>
    <w:rsid w:val="00A83E6E"/>
    <w:rsid w:val="00A86FFE"/>
    <w:rsid w:val="00A8713B"/>
    <w:rsid w:val="00A871AD"/>
    <w:rsid w:val="00A87464"/>
    <w:rsid w:val="00A87A42"/>
    <w:rsid w:val="00A90CFE"/>
    <w:rsid w:val="00A91B85"/>
    <w:rsid w:val="00A93F3A"/>
    <w:rsid w:val="00A94A6E"/>
    <w:rsid w:val="00A958BD"/>
    <w:rsid w:val="00A95A4F"/>
    <w:rsid w:val="00A96290"/>
    <w:rsid w:val="00AA2114"/>
    <w:rsid w:val="00AA3CF3"/>
    <w:rsid w:val="00AA4470"/>
    <w:rsid w:val="00AA6904"/>
    <w:rsid w:val="00AA7BFD"/>
    <w:rsid w:val="00AB06BA"/>
    <w:rsid w:val="00AB0B2B"/>
    <w:rsid w:val="00AB0CCB"/>
    <w:rsid w:val="00AB1D34"/>
    <w:rsid w:val="00AB2A4C"/>
    <w:rsid w:val="00AB2B2E"/>
    <w:rsid w:val="00AB30A0"/>
    <w:rsid w:val="00AB33B1"/>
    <w:rsid w:val="00AB3AAA"/>
    <w:rsid w:val="00AB45AA"/>
    <w:rsid w:val="00AB561F"/>
    <w:rsid w:val="00AB67A1"/>
    <w:rsid w:val="00AB701C"/>
    <w:rsid w:val="00AC363B"/>
    <w:rsid w:val="00AC46C6"/>
    <w:rsid w:val="00AC53AF"/>
    <w:rsid w:val="00AC5B05"/>
    <w:rsid w:val="00AC7C0F"/>
    <w:rsid w:val="00AD0839"/>
    <w:rsid w:val="00AD0FC2"/>
    <w:rsid w:val="00AD1689"/>
    <w:rsid w:val="00AD190F"/>
    <w:rsid w:val="00AD45B9"/>
    <w:rsid w:val="00AD4AE5"/>
    <w:rsid w:val="00AD68D9"/>
    <w:rsid w:val="00AD6B29"/>
    <w:rsid w:val="00AD6C64"/>
    <w:rsid w:val="00AE00AD"/>
    <w:rsid w:val="00AE06B1"/>
    <w:rsid w:val="00AE0D41"/>
    <w:rsid w:val="00AE0FE1"/>
    <w:rsid w:val="00AE12B3"/>
    <w:rsid w:val="00AE3CE9"/>
    <w:rsid w:val="00AE55EA"/>
    <w:rsid w:val="00AE7089"/>
    <w:rsid w:val="00AE7CC9"/>
    <w:rsid w:val="00AF1320"/>
    <w:rsid w:val="00AF1DC4"/>
    <w:rsid w:val="00AF29CB"/>
    <w:rsid w:val="00AF305A"/>
    <w:rsid w:val="00AF30EB"/>
    <w:rsid w:val="00AF43EE"/>
    <w:rsid w:val="00AF4616"/>
    <w:rsid w:val="00AF5F0F"/>
    <w:rsid w:val="00AF5F23"/>
    <w:rsid w:val="00AF6C7D"/>
    <w:rsid w:val="00AF6F13"/>
    <w:rsid w:val="00AF74DB"/>
    <w:rsid w:val="00B01229"/>
    <w:rsid w:val="00B01775"/>
    <w:rsid w:val="00B01CDA"/>
    <w:rsid w:val="00B02560"/>
    <w:rsid w:val="00B03046"/>
    <w:rsid w:val="00B038CA"/>
    <w:rsid w:val="00B06675"/>
    <w:rsid w:val="00B066D0"/>
    <w:rsid w:val="00B06D3F"/>
    <w:rsid w:val="00B07C75"/>
    <w:rsid w:val="00B11DE1"/>
    <w:rsid w:val="00B122F0"/>
    <w:rsid w:val="00B1240E"/>
    <w:rsid w:val="00B1458E"/>
    <w:rsid w:val="00B15D3E"/>
    <w:rsid w:val="00B162AB"/>
    <w:rsid w:val="00B16777"/>
    <w:rsid w:val="00B179E9"/>
    <w:rsid w:val="00B20D0E"/>
    <w:rsid w:val="00B20E4D"/>
    <w:rsid w:val="00B21781"/>
    <w:rsid w:val="00B228A0"/>
    <w:rsid w:val="00B22D54"/>
    <w:rsid w:val="00B26432"/>
    <w:rsid w:val="00B2651F"/>
    <w:rsid w:val="00B27638"/>
    <w:rsid w:val="00B27782"/>
    <w:rsid w:val="00B2787E"/>
    <w:rsid w:val="00B27FCD"/>
    <w:rsid w:val="00B3156E"/>
    <w:rsid w:val="00B32BF0"/>
    <w:rsid w:val="00B33502"/>
    <w:rsid w:val="00B34223"/>
    <w:rsid w:val="00B3504B"/>
    <w:rsid w:val="00B36CE7"/>
    <w:rsid w:val="00B370F3"/>
    <w:rsid w:val="00B37397"/>
    <w:rsid w:val="00B373C2"/>
    <w:rsid w:val="00B373E8"/>
    <w:rsid w:val="00B419CD"/>
    <w:rsid w:val="00B437C8"/>
    <w:rsid w:val="00B43EFF"/>
    <w:rsid w:val="00B44DA6"/>
    <w:rsid w:val="00B4539F"/>
    <w:rsid w:val="00B453BA"/>
    <w:rsid w:val="00B46216"/>
    <w:rsid w:val="00B46E41"/>
    <w:rsid w:val="00B506D2"/>
    <w:rsid w:val="00B52368"/>
    <w:rsid w:val="00B52DA7"/>
    <w:rsid w:val="00B534E3"/>
    <w:rsid w:val="00B53755"/>
    <w:rsid w:val="00B53B5D"/>
    <w:rsid w:val="00B54EAA"/>
    <w:rsid w:val="00B558B1"/>
    <w:rsid w:val="00B55BD3"/>
    <w:rsid w:val="00B578FE"/>
    <w:rsid w:val="00B5795A"/>
    <w:rsid w:val="00B608B5"/>
    <w:rsid w:val="00B60D30"/>
    <w:rsid w:val="00B6176B"/>
    <w:rsid w:val="00B63983"/>
    <w:rsid w:val="00B65847"/>
    <w:rsid w:val="00B65958"/>
    <w:rsid w:val="00B66B16"/>
    <w:rsid w:val="00B66F7A"/>
    <w:rsid w:val="00B70A6F"/>
    <w:rsid w:val="00B70DDD"/>
    <w:rsid w:val="00B712D5"/>
    <w:rsid w:val="00B723C6"/>
    <w:rsid w:val="00B724B2"/>
    <w:rsid w:val="00B72CC8"/>
    <w:rsid w:val="00B73454"/>
    <w:rsid w:val="00B73FBD"/>
    <w:rsid w:val="00B7464E"/>
    <w:rsid w:val="00B74F68"/>
    <w:rsid w:val="00B753C5"/>
    <w:rsid w:val="00B754D6"/>
    <w:rsid w:val="00B7711E"/>
    <w:rsid w:val="00B77E66"/>
    <w:rsid w:val="00B807C8"/>
    <w:rsid w:val="00B825A9"/>
    <w:rsid w:val="00B82D4F"/>
    <w:rsid w:val="00B84023"/>
    <w:rsid w:val="00B85402"/>
    <w:rsid w:val="00B86DAE"/>
    <w:rsid w:val="00B91451"/>
    <w:rsid w:val="00B929C9"/>
    <w:rsid w:val="00B9384C"/>
    <w:rsid w:val="00B9443B"/>
    <w:rsid w:val="00B9662F"/>
    <w:rsid w:val="00B977BC"/>
    <w:rsid w:val="00B97894"/>
    <w:rsid w:val="00B97BA9"/>
    <w:rsid w:val="00BA1349"/>
    <w:rsid w:val="00BA1E2D"/>
    <w:rsid w:val="00BA2ADD"/>
    <w:rsid w:val="00BA336C"/>
    <w:rsid w:val="00BA57CF"/>
    <w:rsid w:val="00BA5AB0"/>
    <w:rsid w:val="00BA622C"/>
    <w:rsid w:val="00BB029E"/>
    <w:rsid w:val="00BB0316"/>
    <w:rsid w:val="00BB0614"/>
    <w:rsid w:val="00BB0AB8"/>
    <w:rsid w:val="00BB0FF0"/>
    <w:rsid w:val="00BB12D1"/>
    <w:rsid w:val="00BB1D52"/>
    <w:rsid w:val="00BB1DE6"/>
    <w:rsid w:val="00BB20C2"/>
    <w:rsid w:val="00BB22D7"/>
    <w:rsid w:val="00BB2346"/>
    <w:rsid w:val="00BB2F37"/>
    <w:rsid w:val="00BB3B06"/>
    <w:rsid w:val="00BB4429"/>
    <w:rsid w:val="00BB4A34"/>
    <w:rsid w:val="00BB57C8"/>
    <w:rsid w:val="00BB7329"/>
    <w:rsid w:val="00BC01C8"/>
    <w:rsid w:val="00BC02E7"/>
    <w:rsid w:val="00BC0ABE"/>
    <w:rsid w:val="00BC12CA"/>
    <w:rsid w:val="00BC24B4"/>
    <w:rsid w:val="00BC2BD1"/>
    <w:rsid w:val="00BC4769"/>
    <w:rsid w:val="00BC48BD"/>
    <w:rsid w:val="00BC4D56"/>
    <w:rsid w:val="00BC62F3"/>
    <w:rsid w:val="00BC66AB"/>
    <w:rsid w:val="00BC6EF5"/>
    <w:rsid w:val="00BC7E1E"/>
    <w:rsid w:val="00BD177B"/>
    <w:rsid w:val="00BD18AE"/>
    <w:rsid w:val="00BD200D"/>
    <w:rsid w:val="00BD222C"/>
    <w:rsid w:val="00BD23AD"/>
    <w:rsid w:val="00BD293B"/>
    <w:rsid w:val="00BD2B18"/>
    <w:rsid w:val="00BD4DF4"/>
    <w:rsid w:val="00BD537C"/>
    <w:rsid w:val="00BD609A"/>
    <w:rsid w:val="00BE067D"/>
    <w:rsid w:val="00BE0EC1"/>
    <w:rsid w:val="00BE1542"/>
    <w:rsid w:val="00BE24C1"/>
    <w:rsid w:val="00BE2ECE"/>
    <w:rsid w:val="00BE33CB"/>
    <w:rsid w:val="00BE3E0D"/>
    <w:rsid w:val="00BE430E"/>
    <w:rsid w:val="00BE5377"/>
    <w:rsid w:val="00BE53DE"/>
    <w:rsid w:val="00BE7CF6"/>
    <w:rsid w:val="00BF00EF"/>
    <w:rsid w:val="00BF0BDD"/>
    <w:rsid w:val="00BF0F08"/>
    <w:rsid w:val="00BF1902"/>
    <w:rsid w:val="00BF1D48"/>
    <w:rsid w:val="00BF2730"/>
    <w:rsid w:val="00BF3DAB"/>
    <w:rsid w:val="00BF3F25"/>
    <w:rsid w:val="00BF4029"/>
    <w:rsid w:val="00BF42C6"/>
    <w:rsid w:val="00BF59D8"/>
    <w:rsid w:val="00BF7907"/>
    <w:rsid w:val="00C00DED"/>
    <w:rsid w:val="00C012E6"/>
    <w:rsid w:val="00C0401B"/>
    <w:rsid w:val="00C0484C"/>
    <w:rsid w:val="00C0492B"/>
    <w:rsid w:val="00C05989"/>
    <w:rsid w:val="00C06C88"/>
    <w:rsid w:val="00C06E56"/>
    <w:rsid w:val="00C0765F"/>
    <w:rsid w:val="00C07B55"/>
    <w:rsid w:val="00C10A61"/>
    <w:rsid w:val="00C11874"/>
    <w:rsid w:val="00C13991"/>
    <w:rsid w:val="00C13A91"/>
    <w:rsid w:val="00C13D55"/>
    <w:rsid w:val="00C148B2"/>
    <w:rsid w:val="00C15C71"/>
    <w:rsid w:val="00C20463"/>
    <w:rsid w:val="00C208F7"/>
    <w:rsid w:val="00C213DB"/>
    <w:rsid w:val="00C21863"/>
    <w:rsid w:val="00C21B2E"/>
    <w:rsid w:val="00C22F3B"/>
    <w:rsid w:val="00C26D3E"/>
    <w:rsid w:val="00C26D86"/>
    <w:rsid w:val="00C30004"/>
    <w:rsid w:val="00C30503"/>
    <w:rsid w:val="00C30935"/>
    <w:rsid w:val="00C311C5"/>
    <w:rsid w:val="00C323F6"/>
    <w:rsid w:val="00C32C40"/>
    <w:rsid w:val="00C331CC"/>
    <w:rsid w:val="00C3557D"/>
    <w:rsid w:val="00C359AC"/>
    <w:rsid w:val="00C368BC"/>
    <w:rsid w:val="00C3691E"/>
    <w:rsid w:val="00C37160"/>
    <w:rsid w:val="00C40091"/>
    <w:rsid w:val="00C405DB"/>
    <w:rsid w:val="00C41650"/>
    <w:rsid w:val="00C42FEB"/>
    <w:rsid w:val="00C436D1"/>
    <w:rsid w:val="00C440A6"/>
    <w:rsid w:val="00C4421B"/>
    <w:rsid w:val="00C44E58"/>
    <w:rsid w:val="00C466E7"/>
    <w:rsid w:val="00C46BBE"/>
    <w:rsid w:val="00C4744E"/>
    <w:rsid w:val="00C47873"/>
    <w:rsid w:val="00C501C7"/>
    <w:rsid w:val="00C50215"/>
    <w:rsid w:val="00C50688"/>
    <w:rsid w:val="00C51EC3"/>
    <w:rsid w:val="00C52020"/>
    <w:rsid w:val="00C52105"/>
    <w:rsid w:val="00C57324"/>
    <w:rsid w:val="00C613AD"/>
    <w:rsid w:val="00C655F6"/>
    <w:rsid w:val="00C6717A"/>
    <w:rsid w:val="00C70262"/>
    <w:rsid w:val="00C705E1"/>
    <w:rsid w:val="00C71778"/>
    <w:rsid w:val="00C71811"/>
    <w:rsid w:val="00C73346"/>
    <w:rsid w:val="00C7363E"/>
    <w:rsid w:val="00C73C14"/>
    <w:rsid w:val="00C74718"/>
    <w:rsid w:val="00C769F0"/>
    <w:rsid w:val="00C804BC"/>
    <w:rsid w:val="00C82BA4"/>
    <w:rsid w:val="00C837EC"/>
    <w:rsid w:val="00C84EA9"/>
    <w:rsid w:val="00C85F50"/>
    <w:rsid w:val="00C8614E"/>
    <w:rsid w:val="00C86CFB"/>
    <w:rsid w:val="00C8726A"/>
    <w:rsid w:val="00C873AC"/>
    <w:rsid w:val="00C91C42"/>
    <w:rsid w:val="00C91E18"/>
    <w:rsid w:val="00C934DB"/>
    <w:rsid w:val="00C94EDF"/>
    <w:rsid w:val="00C954E0"/>
    <w:rsid w:val="00C96D40"/>
    <w:rsid w:val="00C970FE"/>
    <w:rsid w:val="00C97406"/>
    <w:rsid w:val="00C97DD8"/>
    <w:rsid w:val="00CA14BD"/>
    <w:rsid w:val="00CA2723"/>
    <w:rsid w:val="00CA48E0"/>
    <w:rsid w:val="00CA5E60"/>
    <w:rsid w:val="00CA6B6F"/>
    <w:rsid w:val="00CA6F1B"/>
    <w:rsid w:val="00CB3FC1"/>
    <w:rsid w:val="00CB4040"/>
    <w:rsid w:val="00CB5272"/>
    <w:rsid w:val="00CB5DE8"/>
    <w:rsid w:val="00CC0AAE"/>
    <w:rsid w:val="00CC0E40"/>
    <w:rsid w:val="00CC15CC"/>
    <w:rsid w:val="00CC1A8F"/>
    <w:rsid w:val="00CC216F"/>
    <w:rsid w:val="00CC4989"/>
    <w:rsid w:val="00CC4F28"/>
    <w:rsid w:val="00CC54F3"/>
    <w:rsid w:val="00CC5674"/>
    <w:rsid w:val="00CC57BC"/>
    <w:rsid w:val="00CC5D5F"/>
    <w:rsid w:val="00CC5F52"/>
    <w:rsid w:val="00CC714E"/>
    <w:rsid w:val="00CD0518"/>
    <w:rsid w:val="00CD20AE"/>
    <w:rsid w:val="00CD22A9"/>
    <w:rsid w:val="00CD28B0"/>
    <w:rsid w:val="00CD39C5"/>
    <w:rsid w:val="00CD432C"/>
    <w:rsid w:val="00CD4793"/>
    <w:rsid w:val="00CD74CD"/>
    <w:rsid w:val="00CD74F8"/>
    <w:rsid w:val="00CD78E3"/>
    <w:rsid w:val="00CD7FAA"/>
    <w:rsid w:val="00CE0563"/>
    <w:rsid w:val="00CE10E7"/>
    <w:rsid w:val="00CE173B"/>
    <w:rsid w:val="00CE1ADC"/>
    <w:rsid w:val="00CE2B28"/>
    <w:rsid w:val="00CE50B5"/>
    <w:rsid w:val="00CE5B63"/>
    <w:rsid w:val="00CE5C42"/>
    <w:rsid w:val="00CE5C61"/>
    <w:rsid w:val="00CE6D2A"/>
    <w:rsid w:val="00CE7CCB"/>
    <w:rsid w:val="00CF097A"/>
    <w:rsid w:val="00CF20C3"/>
    <w:rsid w:val="00CF30DB"/>
    <w:rsid w:val="00CF3673"/>
    <w:rsid w:val="00CF3C6C"/>
    <w:rsid w:val="00CF54E5"/>
    <w:rsid w:val="00CF672C"/>
    <w:rsid w:val="00CF69C0"/>
    <w:rsid w:val="00D00C69"/>
    <w:rsid w:val="00D01325"/>
    <w:rsid w:val="00D0206D"/>
    <w:rsid w:val="00D021E1"/>
    <w:rsid w:val="00D02295"/>
    <w:rsid w:val="00D035A7"/>
    <w:rsid w:val="00D04104"/>
    <w:rsid w:val="00D04966"/>
    <w:rsid w:val="00D06893"/>
    <w:rsid w:val="00D1050F"/>
    <w:rsid w:val="00D1077A"/>
    <w:rsid w:val="00D10C6F"/>
    <w:rsid w:val="00D11631"/>
    <w:rsid w:val="00D14C76"/>
    <w:rsid w:val="00D14CCA"/>
    <w:rsid w:val="00D1512A"/>
    <w:rsid w:val="00D15503"/>
    <w:rsid w:val="00D158F5"/>
    <w:rsid w:val="00D16088"/>
    <w:rsid w:val="00D160A4"/>
    <w:rsid w:val="00D16C2D"/>
    <w:rsid w:val="00D16CD8"/>
    <w:rsid w:val="00D20279"/>
    <w:rsid w:val="00D20BBE"/>
    <w:rsid w:val="00D210C1"/>
    <w:rsid w:val="00D21B4E"/>
    <w:rsid w:val="00D232CF"/>
    <w:rsid w:val="00D2386B"/>
    <w:rsid w:val="00D23BA9"/>
    <w:rsid w:val="00D24CAF"/>
    <w:rsid w:val="00D25320"/>
    <w:rsid w:val="00D25CE9"/>
    <w:rsid w:val="00D26B5B"/>
    <w:rsid w:val="00D27CAA"/>
    <w:rsid w:val="00D27CF3"/>
    <w:rsid w:val="00D3021C"/>
    <w:rsid w:val="00D30E61"/>
    <w:rsid w:val="00D317C5"/>
    <w:rsid w:val="00D31F36"/>
    <w:rsid w:val="00D327A3"/>
    <w:rsid w:val="00D35D4E"/>
    <w:rsid w:val="00D376D3"/>
    <w:rsid w:val="00D404B8"/>
    <w:rsid w:val="00D415BE"/>
    <w:rsid w:val="00D41A5A"/>
    <w:rsid w:val="00D41DE9"/>
    <w:rsid w:val="00D41F5A"/>
    <w:rsid w:val="00D42829"/>
    <w:rsid w:val="00D464A5"/>
    <w:rsid w:val="00D471CB"/>
    <w:rsid w:val="00D4743B"/>
    <w:rsid w:val="00D47997"/>
    <w:rsid w:val="00D51413"/>
    <w:rsid w:val="00D539EA"/>
    <w:rsid w:val="00D558B5"/>
    <w:rsid w:val="00D56775"/>
    <w:rsid w:val="00D56F2A"/>
    <w:rsid w:val="00D606E1"/>
    <w:rsid w:val="00D60B84"/>
    <w:rsid w:val="00D60DD1"/>
    <w:rsid w:val="00D6229E"/>
    <w:rsid w:val="00D62EF9"/>
    <w:rsid w:val="00D63651"/>
    <w:rsid w:val="00D6481A"/>
    <w:rsid w:val="00D65B3B"/>
    <w:rsid w:val="00D6603A"/>
    <w:rsid w:val="00D66408"/>
    <w:rsid w:val="00D66581"/>
    <w:rsid w:val="00D66BDB"/>
    <w:rsid w:val="00D711E9"/>
    <w:rsid w:val="00D7143E"/>
    <w:rsid w:val="00D715A2"/>
    <w:rsid w:val="00D71655"/>
    <w:rsid w:val="00D723D3"/>
    <w:rsid w:val="00D727D1"/>
    <w:rsid w:val="00D72C00"/>
    <w:rsid w:val="00D73221"/>
    <w:rsid w:val="00D766ED"/>
    <w:rsid w:val="00D77284"/>
    <w:rsid w:val="00D77696"/>
    <w:rsid w:val="00D81B0E"/>
    <w:rsid w:val="00D83371"/>
    <w:rsid w:val="00D8376A"/>
    <w:rsid w:val="00D842B9"/>
    <w:rsid w:val="00D86D26"/>
    <w:rsid w:val="00D8746B"/>
    <w:rsid w:val="00D87841"/>
    <w:rsid w:val="00D87F9E"/>
    <w:rsid w:val="00D9199F"/>
    <w:rsid w:val="00D9270B"/>
    <w:rsid w:val="00D9418E"/>
    <w:rsid w:val="00D9530B"/>
    <w:rsid w:val="00D968F1"/>
    <w:rsid w:val="00D96B40"/>
    <w:rsid w:val="00DA2B68"/>
    <w:rsid w:val="00DA3524"/>
    <w:rsid w:val="00DA5484"/>
    <w:rsid w:val="00DA5EB2"/>
    <w:rsid w:val="00DA6DD0"/>
    <w:rsid w:val="00DA7FB6"/>
    <w:rsid w:val="00DB118C"/>
    <w:rsid w:val="00DB28AD"/>
    <w:rsid w:val="00DB366E"/>
    <w:rsid w:val="00DB3E16"/>
    <w:rsid w:val="00DB5B8E"/>
    <w:rsid w:val="00DB5F13"/>
    <w:rsid w:val="00DB6296"/>
    <w:rsid w:val="00DB6347"/>
    <w:rsid w:val="00DB78D1"/>
    <w:rsid w:val="00DB7B77"/>
    <w:rsid w:val="00DC026A"/>
    <w:rsid w:val="00DC118F"/>
    <w:rsid w:val="00DC184A"/>
    <w:rsid w:val="00DC4F74"/>
    <w:rsid w:val="00DD24E0"/>
    <w:rsid w:val="00DD3347"/>
    <w:rsid w:val="00DD4465"/>
    <w:rsid w:val="00DD46D0"/>
    <w:rsid w:val="00DD51D6"/>
    <w:rsid w:val="00DD68E2"/>
    <w:rsid w:val="00DD72A9"/>
    <w:rsid w:val="00DD78F0"/>
    <w:rsid w:val="00DD7E33"/>
    <w:rsid w:val="00DE0118"/>
    <w:rsid w:val="00DE1500"/>
    <w:rsid w:val="00DE1AFA"/>
    <w:rsid w:val="00DE1B8E"/>
    <w:rsid w:val="00DE2AF6"/>
    <w:rsid w:val="00DE3342"/>
    <w:rsid w:val="00DE3C0C"/>
    <w:rsid w:val="00DE5F18"/>
    <w:rsid w:val="00DE5FEC"/>
    <w:rsid w:val="00DE691A"/>
    <w:rsid w:val="00DE6C8B"/>
    <w:rsid w:val="00DE7C8B"/>
    <w:rsid w:val="00DE7DE4"/>
    <w:rsid w:val="00DE7E78"/>
    <w:rsid w:val="00DF0B12"/>
    <w:rsid w:val="00DF2BF2"/>
    <w:rsid w:val="00DF382D"/>
    <w:rsid w:val="00DF406A"/>
    <w:rsid w:val="00DF4B9F"/>
    <w:rsid w:val="00DF4C81"/>
    <w:rsid w:val="00DF73B0"/>
    <w:rsid w:val="00E00CD5"/>
    <w:rsid w:val="00E0100B"/>
    <w:rsid w:val="00E01A57"/>
    <w:rsid w:val="00E01DCF"/>
    <w:rsid w:val="00E01FB2"/>
    <w:rsid w:val="00E02341"/>
    <w:rsid w:val="00E0339F"/>
    <w:rsid w:val="00E050BA"/>
    <w:rsid w:val="00E0700D"/>
    <w:rsid w:val="00E074DA"/>
    <w:rsid w:val="00E13AEF"/>
    <w:rsid w:val="00E13CC7"/>
    <w:rsid w:val="00E14565"/>
    <w:rsid w:val="00E14F51"/>
    <w:rsid w:val="00E20094"/>
    <w:rsid w:val="00E2097B"/>
    <w:rsid w:val="00E21143"/>
    <w:rsid w:val="00E2268A"/>
    <w:rsid w:val="00E2367D"/>
    <w:rsid w:val="00E24DB2"/>
    <w:rsid w:val="00E252B7"/>
    <w:rsid w:val="00E25AB3"/>
    <w:rsid w:val="00E26212"/>
    <w:rsid w:val="00E26352"/>
    <w:rsid w:val="00E27935"/>
    <w:rsid w:val="00E304E7"/>
    <w:rsid w:val="00E3170F"/>
    <w:rsid w:val="00E31B5D"/>
    <w:rsid w:val="00E333A2"/>
    <w:rsid w:val="00E34640"/>
    <w:rsid w:val="00E34F99"/>
    <w:rsid w:val="00E3627B"/>
    <w:rsid w:val="00E3653B"/>
    <w:rsid w:val="00E36C4C"/>
    <w:rsid w:val="00E36C5F"/>
    <w:rsid w:val="00E37A55"/>
    <w:rsid w:val="00E37B3C"/>
    <w:rsid w:val="00E4155D"/>
    <w:rsid w:val="00E42DA8"/>
    <w:rsid w:val="00E46E99"/>
    <w:rsid w:val="00E46FC3"/>
    <w:rsid w:val="00E471CF"/>
    <w:rsid w:val="00E479EE"/>
    <w:rsid w:val="00E50FD2"/>
    <w:rsid w:val="00E52142"/>
    <w:rsid w:val="00E53301"/>
    <w:rsid w:val="00E57901"/>
    <w:rsid w:val="00E611B9"/>
    <w:rsid w:val="00E61637"/>
    <w:rsid w:val="00E6371C"/>
    <w:rsid w:val="00E64060"/>
    <w:rsid w:val="00E640F3"/>
    <w:rsid w:val="00E64882"/>
    <w:rsid w:val="00E64C5B"/>
    <w:rsid w:val="00E6597D"/>
    <w:rsid w:val="00E65BA4"/>
    <w:rsid w:val="00E65C8D"/>
    <w:rsid w:val="00E65FC3"/>
    <w:rsid w:val="00E66694"/>
    <w:rsid w:val="00E666A9"/>
    <w:rsid w:val="00E67894"/>
    <w:rsid w:val="00E67E29"/>
    <w:rsid w:val="00E73229"/>
    <w:rsid w:val="00E74EC7"/>
    <w:rsid w:val="00E75BB2"/>
    <w:rsid w:val="00E766FF"/>
    <w:rsid w:val="00E76958"/>
    <w:rsid w:val="00E76FE3"/>
    <w:rsid w:val="00E80099"/>
    <w:rsid w:val="00E81F7D"/>
    <w:rsid w:val="00E82B6E"/>
    <w:rsid w:val="00E834E3"/>
    <w:rsid w:val="00E8370D"/>
    <w:rsid w:val="00E8472F"/>
    <w:rsid w:val="00E84C2C"/>
    <w:rsid w:val="00E8597A"/>
    <w:rsid w:val="00E86F2E"/>
    <w:rsid w:val="00E87D9A"/>
    <w:rsid w:val="00E91C96"/>
    <w:rsid w:val="00E93501"/>
    <w:rsid w:val="00E93E99"/>
    <w:rsid w:val="00E94D9F"/>
    <w:rsid w:val="00E96425"/>
    <w:rsid w:val="00E9662C"/>
    <w:rsid w:val="00EA00E1"/>
    <w:rsid w:val="00EA0F16"/>
    <w:rsid w:val="00EA10AC"/>
    <w:rsid w:val="00EA12DF"/>
    <w:rsid w:val="00EA2462"/>
    <w:rsid w:val="00EA2D31"/>
    <w:rsid w:val="00EA588E"/>
    <w:rsid w:val="00EA5BC0"/>
    <w:rsid w:val="00EA5BC7"/>
    <w:rsid w:val="00EA6720"/>
    <w:rsid w:val="00EA77EC"/>
    <w:rsid w:val="00EB067D"/>
    <w:rsid w:val="00EB089C"/>
    <w:rsid w:val="00EB0E4F"/>
    <w:rsid w:val="00EB1114"/>
    <w:rsid w:val="00EB2678"/>
    <w:rsid w:val="00EB2708"/>
    <w:rsid w:val="00EB2C87"/>
    <w:rsid w:val="00EB3373"/>
    <w:rsid w:val="00EB5B9F"/>
    <w:rsid w:val="00EB79E2"/>
    <w:rsid w:val="00EC0306"/>
    <w:rsid w:val="00EC1070"/>
    <w:rsid w:val="00EC4035"/>
    <w:rsid w:val="00EC40AC"/>
    <w:rsid w:val="00EC5DA4"/>
    <w:rsid w:val="00EC67FF"/>
    <w:rsid w:val="00ED0A75"/>
    <w:rsid w:val="00ED14FB"/>
    <w:rsid w:val="00ED1E05"/>
    <w:rsid w:val="00ED2EEC"/>
    <w:rsid w:val="00ED2FC5"/>
    <w:rsid w:val="00ED5E7E"/>
    <w:rsid w:val="00EE0EF7"/>
    <w:rsid w:val="00EE15B2"/>
    <w:rsid w:val="00EE1C42"/>
    <w:rsid w:val="00EE3020"/>
    <w:rsid w:val="00EE4890"/>
    <w:rsid w:val="00EE6E40"/>
    <w:rsid w:val="00EE6F6F"/>
    <w:rsid w:val="00EE6F92"/>
    <w:rsid w:val="00EF142A"/>
    <w:rsid w:val="00EF2313"/>
    <w:rsid w:val="00EF2334"/>
    <w:rsid w:val="00EF3351"/>
    <w:rsid w:val="00EF4B5B"/>
    <w:rsid w:val="00F0012E"/>
    <w:rsid w:val="00F00777"/>
    <w:rsid w:val="00F00F81"/>
    <w:rsid w:val="00F01103"/>
    <w:rsid w:val="00F01C83"/>
    <w:rsid w:val="00F035A0"/>
    <w:rsid w:val="00F05E49"/>
    <w:rsid w:val="00F069B4"/>
    <w:rsid w:val="00F10C33"/>
    <w:rsid w:val="00F11CB4"/>
    <w:rsid w:val="00F12B34"/>
    <w:rsid w:val="00F12D51"/>
    <w:rsid w:val="00F13059"/>
    <w:rsid w:val="00F145A9"/>
    <w:rsid w:val="00F153EE"/>
    <w:rsid w:val="00F158F0"/>
    <w:rsid w:val="00F15ED7"/>
    <w:rsid w:val="00F15ED9"/>
    <w:rsid w:val="00F163E0"/>
    <w:rsid w:val="00F16DEF"/>
    <w:rsid w:val="00F200AC"/>
    <w:rsid w:val="00F201FC"/>
    <w:rsid w:val="00F21855"/>
    <w:rsid w:val="00F21C80"/>
    <w:rsid w:val="00F2249F"/>
    <w:rsid w:val="00F22A23"/>
    <w:rsid w:val="00F2370E"/>
    <w:rsid w:val="00F23F52"/>
    <w:rsid w:val="00F24285"/>
    <w:rsid w:val="00F26905"/>
    <w:rsid w:val="00F279EE"/>
    <w:rsid w:val="00F30B06"/>
    <w:rsid w:val="00F31228"/>
    <w:rsid w:val="00F33DA3"/>
    <w:rsid w:val="00F34125"/>
    <w:rsid w:val="00F349F1"/>
    <w:rsid w:val="00F35401"/>
    <w:rsid w:val="00F36971"/>
    <w:rsid w:val="00F36F52"/>
    <w:rsid w:val="00F37344"/>
    <w:rsid w:val="00F37C88"/>
    <w:rsid w:val="00F37F37"/>
    <w:rsid w:val="00F40020"/>
    <w:rsid w:val="00F402D9"/>
    <w:rsid w:val="00F40A6B"/>
    <w:rsid w:val="00F41831"/>
    <w:rsid w:val="00F430D6"/>
    <w:rsid w:val="00F44550"/>
    <w:rsid w:val="00F44AFD"/>
    <w:rsid w:val="00F44BCA"/>
    <w:rsid w:val="00F45313"/>
    <w:rsid w:val="00F46890"/>
    <w:rsid w:val="00F50C5F"/>
    <w:rsid w:val="00F52B38"/>
    <w:rsid w:val="00F54157"/>
    <w:rsid w:val="00F55D2E"/>
    <w:rsid w:val="00F57F6F"/>
    <w:rsid w:val="00F60C00"/>
    <w:rsid w:val="00F6173C"/>
    <w:rsid w:val="00F625CC"/>
    <w:rsid w:val="00F63052"/>
    <w:rsid w:val="00F64076"/>
    <w:rsid w:val="00F644A1"/>
    <w:rsid w:val="00F64D51"/>
    <w:rsid w:val="00F664F9"/>
    <w:rsid w:val="00F671D5"/>
    <w:rsid w:val="00F7163E"/>
    <w:rsid w:val="00F731FD"/>
    <w:rsid w:val="00F73F26"/>
    <w:rsid w:val="00F74295"/>
    <w:rsid w:val="00F742A2"/>
    <w:rsid w:val="00F74DA8"/>
    <w:rsid w:val="00F807D3"/>
    <w:rsid w:val="00F81D77"/>
    <w:rsid w:val="00F81DBF"/>
    <w:rsid w:val="00F82B5B"/>
    <w:rsid w:val="00F8302F"/>
    <w:rsid w:val="00F83710"/>
    <w:rsid w:val="00F8528F"/>
    <w:rsid w:val="00F864E0"/>
    <w:rsid w:val="00F86A93"/>
    <w:rsid w:val="00F90BAD"/>
    <w:rsid w:val="00F9246D"/>
    <w:rsid w:val="00F933D9"/>
    <w:rsid w:val="00F9428A"/>
    <w:rsid w:val="00F946FE"/>
    <w:rsid w:val="00F9524D"/>
    <w:rsid w:val="00F9577A"/>
    <w:rsid w:val="00F965D3"/>
    <w:rsid w:val="00F97756"/>
    <w:rsid w:val="00FA2B33"/>
    <w:rsid w:val="00FA32FB"/>
    <w:rsid w:val="00FA4367"/>
    <w:rsid w:val="00FA493E"/>
    <w:rsid w:val="00FA497A"/>
    <w:rsid w:val="00FA553A"/>
    <w:rsid w:val="00FB07F3"/>
    <w:rsid w:val="00FB09CF"/>
    <w:rsid w:val="00FB0CC2"/>
    <w:rsid w:val="00FB0F1D"/>
    <w:rsid w:val="00FB1859"/>
    <w:rsid w:val="00FB2A05"/>
    <w:rsid w:val="00FB5DC8"/>
    <w:rsid w:val="00FB645F"/>
    <w:rsid w:val="00FB69CF"/>
    <w:rsid w:val="00FB79A2"/>
    <w:rsid w:val="00FC006B"/>
    <w:rsid w:val="00FC051A"/>
    <w:rsid w:val="00FC0947"/>
    <w:rsid w:val="00FC2329"/>
    <w:rsid w:val="00FC4A87"/>
    <w:rsid w:val="00FC53F2"/>
    <w:rsid w:val="00FC5E16"/>
    <w:rsid w:val="00FC6BA6"/>
    <w:rsid w:val="00FC70FD"/>
    <w:rsid w:val="00FC7206"/>
    <w:rsid w:val="00FC7778"/>
    <w:rsid w:val="00FD01DF"/>
    <w:rsid w:val="00FD274F"/>
    <w:rsid w:val="00FD3667"/>
    <w:rsid w:val="00FD3C2E"/>
    <w:rsid w:val="00FD43B7"/>
    <w:rsid w:val="00FD6162"/>
    <w:rsid w:val="00FE0DB9"/>
    <w:rsid w:val="00FE1C3B"/>
    <w:rsid w:val="00FE3037"/>
    <w:rsid w:val="00FE382F"/>
    <w:rsid w:val="00FE40AC"/>
    <w:rsid w:val="00FE410D"/>
    <w:rsid w:val="00FE426B"/>
    <w:rsid w:val="00FE44E5"/>
    <w:rsid w:val="00FE5185"/>
    <w:rsid w:val="00FE5BEC"/>
    <w:rsid w:val="00FE68BC"/>
    <w:rsid w:val="00FE7411"/>
    <w:rsid w:val="00FE7D03"/>
    <w:rsid w:val="00FF192E"/>
    <w:rsid w:val="00FF197D"/>
    <w:rsid w:val="00FF1AA0"/>
    <w:rsid w:val="00FF1B6F"/>
    <w:rsid w:val="00FF253A"/>
    <w:rsid w:val="00FF4227"/>
    <w:rsid w:val="00FF6779"/>
    <w:rsid w:val="00FF7A4B"/>
    <w:rsid w:val="00FF7AF1"/>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paragraph" w:styleId="Heading1">
    <w:name w:val="heading 1"/>
    <w:basedOn w:val="Normal"/>
    <w:next w:val="Normal"/>
    <w:link w:val="Heading1Char"/>
    <w:rsid w:val="004614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rsid w:val="004614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rsid w:val="004614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5A0BC4"/>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en-GB" w:eastAsia="da-DK"/>
    </w:rPr>
  </w:style>
  <w:style w:type="paragraph" w:styleId="Heading5">
    <w:name w:val="heading 5"/>
    <w:basedOn w:val="Normal"/>
    <w:next w:val="Normal"/>
    <w:link w:val="Heading5Char"/>
    <w:rsid w:val="005A0BC4"/>
    <w:pPr>
      <w:keepNext/>
      <w:tabs>
        <w:tab w:val="num" w:pos="1008"/>
      </w:tabs>
      <w:spacing w:after="0" w:line="360" w:lineRule="auto"/>
      <w:ind w:left="1008" w:hanging="1008"/>
      <w:jc w:val="both"/>
      <w:outlineLvl w:val="4"/>
    </w:pPr>
    <w:rPr>
      <w:rFonts w:ascii="Times New Roman" w:eastAsia="Times New Roman" w:hAnsi="Times New Roman" w:cs="Times New Roman"/>
      <w:sz w:val="20"/>
      <w:szCs w:val="20"/>
      <w:u w:val="single"/>
      <w:lang w:val="en-GB" w:eastAsia="da-DK"/>
    </w:rPr>
  </w:style>
  <w:style w:type="paragraph" w:styleId="Heading6">
    <w:name w:val="heading 6"/>
    <w:basedOn w:val="Normal"/>
    <w:next w:val="Normal"/>
    <w:link w:val="Heading6Char"/>
    <w:rsid w:val="005A0BC4"/>
    <w:pPr>
      <w:keepNext/>
      <w:tabs>
        <w:tab w:val="num" w:pos="1152"/>
      </w:tabs>
      <w:spacing w:after="0" w:line="360" w:lineRule="auto"/>
      <w:ind w:left="1152" w:hanging="1152"/>
      <w:jc w:val="center"/>
      <w:outlineLvl w:val="5"/>
    </w:pPr>
    <w:rPr>
      <w:rFonts w:ascii="Times New Roman" w:eastAsia="Times New Roman" w:hAnsi="Times New Roman" w:cs="Times New Roman"/>
      <w:sz w:val="20"/>
      <w:szCs w:val="20"/>
      <w:lang w:val="en-GB" w:eastAsia="da-DK"/>
    </w:rPr>
  </w:style>
  <w:style w:type="paragraph" w:styleId="Heading7">
    <w:name w:val="heading 7"/>
    <w:basedOn w:val="Normal"/>
    <w:next w:val="Normal"/>
    <w:link w:val="Heading7Char"/>
    <w:rsid w:val="005A0BC4"/>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GB" w:eastAsia="da-DK"/>
    </w:rPr>
  </w:style>
  <w:style w:type="paragraph" w:styleId="Heading8">
    <w:name w:val="heading 8"/>
    <w:basedOn w:val="Normal"/>
    <w:next w:val="Normal"/>
    <w:link w:val="Heading8Char"/>
    <w:rsid w:val="005A0BC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n-GB" w:eastAsia="da-DK"/>
    </w:rPr>
  </w:style>
  <w:style w:type="paragraph" w:styleId="Heading9">
    <w:name w:val="heading 9"/>
    <w:basedOn w:val="Normal"/>
    <w:next w:val="Normal"/>
    <w:link w:val="Heading9Char"/>
    <w:rsid w:val="005A0BC4"/>
    <w:pPr>
      <w:tabs>
        <w:tab w:val="num" w:pos="1584"/>
      </w:tabs>
      <w:spacing w:before="240" w:after="60" w:line="240" w:lineRule="auto"/>
      <w:ind w:left="1584" w:hanging="1584"/>
      <w:outlineLvl w:val="8"/>
    </w:pPr>
    <w:rPr>
      <w:rFonts w:ascii="Arial" w:eastAsia="Times New Roman" w:hAnsi="Arial" w:cs="Arial"/>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39"/>
    <w:pPr>
      <w:ind w:left="720"/>
      <w:contextualSpacing/>
    </w:pPr>
  </w:style>
  <w:style w:type="paragraph" w:styleId="BalloonText">
    <w:name w:val="Balloon Text"/>
    <w:basedOn w:val="Normal"/>
    <w:link w:val="BalloonTextChar"/>
    <w:uiPriority w:val="99"/>
    <w:semiHidden/>
    <w:unhideWhenUsed/>
    <w:rsid w:val="0007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1D0"/>
    <w:rPr>
      <w:rFonts w:ascii="Tahoma" w:hAnsi="Tahoma" w:cs="Tahoma"/>
      <w:sz w:val="16"/>
      <w:szCs w:val="16"/>
    </w:rPr>
  </w:style>
  <w:style w:type="paragraph" w:styleId="Header">
    <w:name w:val="header"/>
    <w:basedOn w:val="Normal"/>
    <w:link w:val="HeaderChar"/>
    <w:uiPriority w:val="99"/>
    <w:unhideWhenUsed/>
    <w:rsid w:val="00E365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653B"/>
  </w:style>
  <w:style w:type="paragraph" w:styleId="Footer">
    <w:name w:val="footer"/>
    <w:basedOn w:val="Normal"/>
    <w:link w:val="FooterChar"/>
    <w:uiPriority w:val="99"/>
    <w:unhideWhenUsed/>
    <w:rsid w:val="00E365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653B"/>
  </w:style>
  <w:style w:type="character" w:styleId="PlaceholderText">
    <w:name w:val="Placeholder Text"/>
    <w:basedOn w:val="DefaultParagraphFont"/>
    <w:uiPriority w:val="99"/>
    <w:semiHidden/>
    <w:rsid w:val="004E182A"/>
    <w:rPr>
      <w:color w:val="808080"/>
    </w:rPr>
  </w:style>
  <w:style w:type="paragraph" w:styleId="FootnoteText">
    <w:name w:val="footnote text"/>
    <w:basedOn w:val="Normal"/>
    <w:link w:val="FootnoteTextChar"/>
    <w:uiPriority w:val="99"/>
    <w:unhideWhenUsed/>
    <w:rsid w:val="00BD293B"/>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BD293B"/>
    <w:rPr>
      <w:sz w:val="20"/>
      <w:szCs w:val="20"/>
    </w:rPr>
  </w:style>
  <w:style w:type="character" w:styleId="FootnoteReference">
    <w:name w:val="footnote reference"/>
    <w:basedOn w:val="DefaultParagraphFont"/>
    <w:uiPriority w:val="99"/>
    <w:unhideWhenUsed/>
    <w:rsid w:val="00E64060"/>
    <w:rPr>
      <w:vertAlign w:val="superscript"/>
    </w:rPr>
  </w:style>
  <w:style w:type="character" w:styleId="Hyperlink">
    <w:name w:val="Hyperlink"/>
    <w:basedOn w:val="DefaultParagraphFont"/>
    <w:uiPriority w:val="99"/>
    <w:unhideWhenUsed/>
    <w:rsid w:val="009873EF"/>
    <w:rPr>
      <w:color w:val="0000FF" w:themeColor="hyperlink"/>
      <w:u w:val="single"/>
    </w:rPr>
  </w:style>
  <w:style w:type="paragraph" w:styleId="PlainText">
    <w:name w:val="Plain Text"/>
    <w:basedOn w:val="Normal"/>
    <w:link w:val="PlainTextChar"/>
    <w:uiPriority w:val="99"/>
    <w:semiHidden/>
    <w:unhideWhenUsed/>
    <w:rsid w:val="00AF5F23"/>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semiHidden/>
    <w:rsid w:val="00AF5F23"/>
    <w:rPr>
      <w:rFonts w:ascii="Calibri" w:eastAsiaTheme="minorEastAsia" w:hAnsi="Calibri"/>
      <w:szCs w:val="21"/>
      <w:lang w:eastAsia="zh-CN"/>
    </w:rPr>
  </w:style>
  <w:style w:type="table" w:customStyle="1" w:styleId="StandardTable">
    <w:name w:val="Standard Table"/>
    <w:basedOn w:val="TableNormal"/>
    <w:uiPriority w:val="99"/>
    <w:rsid w:val="00EE6E40"/>
    <w:pPr>
      <w:spacing w:after="0" w:line="240" w:lineRule="auto"/>
    </w:pPr>
    <w:rPr>
      <w:sz w:val="20"/>
    </w:rPr>
    <w:tblPr>
      <w:tblInd w:w="0" w:type="dxa"/>
      <w:tblBorders>
        <w:top w:val="double" w:sz="4" w:space="0" w:color="auto"/>
        <w:bottom w:val="double" w:sz="4" w:space="0" w:color="auto"/>
      </w:tblBorders>
      <w:tblCellMar>
        <w:top w:w="0" w:type="dxa"/>
        <w:left w:w="108" w:type="dxa"/>
        <w:bottom w:w="0" w:type="dxa"/>
        <w:right w:w="108" w:type="dxa"/>
      </w:tblCellMar>
    </w:tblPr>
    <w:tblStylePr w:type="firstRow">
      <w:tblPr/>
      <w:tcPr>
        <w:tcBorders>
          <w:top w:val="double" w:sz="4" w:space="0" w:color="auto"/>
          <w:left w:val="nil"/>
          <w:bottom w:val="single" w:sz="4" w:space="0" w:color="auto"/>
          <w:right w:val="nil"/>
          <w:insideH w:val="nil"/>
          <w:insideV w:val="nil"/>
        </w:tcBorders>
      </w:tcPr>
    </w:tblStylePr>
    <w:tblStylePr w:type="lastRow">
      <w:tblPr/>
      <w:tcPr>
        <w:tcBorders>
          <w:top w:val="single" w:sz="4" w:space="0" w:color="auto"/>
        </w:tcBorders>
      </w:tcPr>
    </w:tblStylePr>
  </w:style>
  <w:style w:type="character" w:styleId="FollowedHyperlink">
    <w:name w:val="FollowedHyperlink"/>
    <w:basedOn w:val="DefaultParagraphFont"/>
    <w:uiPriority w:val="99"/>
    <w:semiHidden/>
    <w:unhideWhenUsed/>
    <w:rsid w:val="0006273F"/>
    <w:rPr>
      <w:color w:val="800080" w:themeColor="followedHyperlink"/>
      <w:u w:val="single"/>
    </w:rPr>
  </w:style>
  <w:style w:type="paragraph" w:customStyle="1" w:styleId="TableTitle">
    <w:name w:val="Table Title"/>
    <w:basedOn w:val="Normal"/>
    <w:qFormat/>
    <w:rsid w:val="00B06D3F"/>
    <w:rPr>
      <w:b/>
      <w:lang w:val="en-US"/>
    </w:rPr>
  </w:style>
  <w:style w:type="paragraph" w:customStyle="1" w:styleId="FigureTitle">
    <w:name w:val="Figure Title"/>
    <w:basedOn w:val="Normal"/>
    <w:qFormat/>
    <w:rsid w:val="00B06D3F"/>
    <w:rPr>
      <w:b/>
      <w:lang w:val="en-US"/>
    </w:rPr>
  </w:style>
  <w:style w:type="paragraph" w:customStyle="1" w:styleId="ChapterTitle">
    <w:name w:val="Chapter Title"/>
    <w:basedOn w:val="Normal"/>
    <w:qFormat/>
    <w:rsid w:val="001E664B"/>
    <w:rPr>
      <w:rFonts w:asciiTheme="majorHAnsi" w:hAnsiTheme="majorHAnsi"/>
      <w:b/>
      <w:sz w:val="28"/>
      <w:lang w:val="en-US"/>
    </w:rPr>
  </w:style>
  <w:style w:type="paragraph" w:customStyle="1" w:styleId="MainText">
    <w:name w:val="Main Text"/>
    <w:basedOn w:val="Normal"/>
    <w:qFormat/>
    <w:rsid w:val="001E664B"/>
    <w:pPr>
      <w:spacing w:line="360" w:lineRule="auto"/>
      <w:jc w:val="both"/>
    </w:pPr>
    <w:rPr>
      <w:lang w:val="en-US"/>
    </w:rPr>
  </w:style>
  <w:style w:type="paragraph" w:customStyle="1" w:styleId="SectionTitle">
    <w:name w:val="Section Title"/>
    <w:basedOn w:val="Normal"/>
    <w:qFormat/>
    <w:rsid w:val="001E664B"/>
    <w:pPr>
      <w:spacing w:before="360"/>
    </w:pPr>
    <w:rPr>
      <w:b/>
      <w:u w:val="single"/>
      <w:lang w:val="en-US"/>
    </w:rPr>
  </w:style>
  <w:style w:type="paragraph" w:customStyle="1" w:styleId="SubSectionTitle">
    <w:name w:val="Sub Section Title"/>
    <w:basedOn w:val="Normal"/>
    <w:qFormat/>
    <w:rsid w:val="00244D12"/>
    <w:rPr>
      <w:i/>
      <w:lang w:val="en-US"/>
    </w:rPr>
  </w:style>
  <w:style w:type="paragraph" w:customStyle="1" w:styleId="Bullets">
    <w:name w:val="Bullets"/>
    <w:basedOn w:val="ListParagraph"/>
    <w:qFormat/>
    <w:rsid w:val="00461403"/>
    <w:pPr>
      <w:numPr>
        <w:numId w:val="10"/>
      </w:numPr>
    </w:pPr>
    <w:rPr>
      <w:lang w:val="en-US"/>
    </w:rPr>
  </w:style>
  <w:style w:type="character" w:customStyle="1" w:styleId="Heading3Char">
    <w:name w:val="Heading 3 Char"/>
    <w:basedOn w:val="DefaultParagraphFont"/>
    <w:link w:val="Heading3"/>
    <w:rsid w:val="0046140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61403"/>
    <w:pPr>
      <w:spacing w:after="100"/>
    </w:pPr>
  </w:style>
  <w:style w:type="character" w:customStyle="1" w:styleId="Heading2Char">
    <w:name w:val="Heading 2 Char"/>
    <w:basedOn w:val="DefaultParagraphFont"/>
    <w:link w:val="Heading2"/>
    <w:rsid w:val="0046140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461403"/>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rsid w:val="00F402D9"/>
    <w:pPr>
      <w:spacing w:after="100"/>
      <w:ind w:left="220"/>
    </w:pPr>
  </w:style>
  <w:style w:type="table" w:styleId="TableGrid">
    <w:name w:val="Table Grid"/>
    <w:basedOn w:val="TableNormal"/>
    <w:uiPriority w:val="59"/>
    <w:rsid w:val="00F26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qFormat/>
    <w:rsid w:val="00BD293B"/>
    <w:pPr>
      <w:spacing w:before="60" w:after="0"/>
      <w:jc w:val="both"/>
    </w:pPr>
    <w:rPr>
      <w:sz w:val="18"/>
      <w:szCs w:val="18"/>
      <w:lang w:val="en-US"/>
    </w:rPr>
  </w:style>
  <w:style w:type="paragraph" w:styleId="Caption">
    <w:name w:val="caption"/>
    <w:basedOn w:val="Normal"/>
    <w:next w:val="Normal"/>
    <w:uiPriority w:val="35"/>
    <w:unhideWhenUsed/>
    <w:qFormat/>
    <w:rsid w:val="001934CC"/>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EF2313"/>
    <w:rPr>
      <w:sz w:val="16"/>
      <w:szCs w:val="16"/>
    </w:rPr>
  </w:style>
  <w:style w:type="paragraph" w:styleId="CommentText">
    <w:name w:val="annotation text"/>
    <w:basedOn w:val="Normal"/>
    <w:link w:val="CommentTextChar"/>
    <w:uiPriority w:val="99"/>
    <w:unhideWhenUsed/>
    <w:rsid w:val="00EF2313"/>
    <w:pPr>
      <w:spacing w:line="240" w:lineRule="auto"/>
    </w:pPr>
    <w:rPr>
      <w:sz w:val="20"/>
      <w:szCs w:val="20"/>
    </w:rPr>
  </w:style>
  <w:style w:type="character" w:customStyle="1" w:styleId="CommentTextChar">
    <w:name w:val="Comment Text Char"/>
    <w:basedOn w:val="DefaultParagraphFont"/>
    <w:link w:val="CommentText"/>
    <w:uiPriority w:val="99"/>
    <w:rsid w:val="00EF2313"/>
    <w:rPr>
      <w:sz w:val="20"/>
      <w:szCs w:val="20"/>
    </w:rPr>
  </w:style>
  <w:style w:type="paragraph" w:styleId="CommentSubject">
    <w:name w:val="annotation subject"/>
    <w:basedOn w:val="CommentText"/>
    <w:next w:val="CommentText"/>
    <w:link w:val="CommentSubjectChar"/>
    <w:uiPriority w:val="99"/>
    <w:semiHidden/>
    <w:unhideWhenUsed/>
    <w:rsid w:val="00EF2313"/>
    <w:rPr>
      <w:b/>
      <w:bCs/>
    </w:rPr>
  </w:style>
  <w:style w:type="character" w:customStyle="1" w:styleId="CommentSubjectChar">
    <w:name w:val="Comment Subject Char"/>
    <w:basedOn w:val="CommentTextChar"/>
    <w:link w:val="CommentSubject"/>
    <w:uiPriority w:val="99"/>
    <w:semiHidden/>
    <w:rsid w:val="00EF2313"/>
    <w:rPr>
      <w:b/>
      <w:bCs/>
      <w:sz w:val="20"/>
      <w:szCs w:val="20"/>
    </w:rPr>
  </w:style>
  <w:style w:type="paragraph" w:styleId="Revision">
    <w:name w:val="Revision"/>
    <w:hidden/>
    <w:uiPriority w:val="99"/>
    <w:semiHidden/>
    <w:rsid w:val="009243AB"/>
    <w:pPr>
      <w:spacing w:after="0" w:line="240" w:lineRule="auto"/>
    </w:pPr>
  </w:style>
  <w:style w:type="table" w:customStyle="1" w:styleId="StandardTable1">
    <w:name w:val="Standard Table1"/>
    <w:basedOn w:val="TableNormal"/>
    <w:uiPriority w:val="99"/>
    <w:rsid w:val="00CA5E60"/>
    <w:pPr>
      <w:spacing w:after="0" w:line="240" w:lineRule="auto"/>
    </w:pPr>
    <w:rPr>
      <w:sz w:val="20"/>
    </w:rPr>
    <w:tblPr>
      <w:tblInd w:w="0" w:type="dxa"/>
      <w:tblBorders>
        <w:top w:val="double" w:sz="4" w:space="0" w:color="auto"/>
      </w:tblBorders>
      <w:tblCellMar>
        <w:top w:w="0" w:type="dxa"/>
        <w:left w:w="108" w:type="dxa"/>
        <w:bottom w:w="0" w:type="dxa"/>
        <w:right w:w="108" w:type="dxa"/>
      </w:tblCellMar>
    </w:tblPr>
    <w:tblStylePr w:type="firstRow">
      <w:tblPr/>
      <w:tcPr>
        <w:tcBorders>
          <w:top w:val="double" w:sz="4" w:space="0" w:color="auto"/>
          <w:left w:val="nil"/>
          <w:bottom w:val="single" w:sz="4" w:space="0" w:color="auto"/>
          <w:right w:val="nil"/>
          <w:insideH w:val="nil"/>
          <w:insideV w:val="nil"/>
        </w:tcBorders>
      </w:tcPr>
    </w:tblStylePr>
    <w:tblStylePr w:type="lastRow">
      <w:tblPr/>
      <w:tcPr>
        <w:tcBorders>
          <w:top w:val="single" w:sz="4" w:space="0" w:color="auto"/>
        </w:tcBorders>
      </w:tcPr>
    </w:tblStylePr>
  </w:style>
  <w:style w:type="table" w:customStyle="1" w:styleId="StandardTable2">
    <w:name w:val="Standard Table2"/>
    <w:basedOn w:val="TableNormal"/>
    <w:uiPriority w:val="99"/>
    <w:rsid w:val="00AF5F0F"/>
    <w:pPr>
      <w:spacing w:after="0" w:line="240" w:lineRule="auto"/>
    </w:pPr>
    <w:rPr>
      <w:sz w:val="20"/>
    </w:rPr>
    <w:tblPr>
      <w:tblInd w:w="0" w:type="dxa"/>
      <w:tblBorders>
        <w:top w:val="double" w:sz="4" w:space="0" w:color="auto"/>
      </w:tblBorders>
      <w:tblCellMar>
        <w:top w:w="0" w:type="dxa"/>
        <w:left w:w="108" w:type="dxa"/>
        <w:bottom w:w="0" w:type="dxa"/>
        <w:right w:w="108" w:type="dxa"/>
      </w:tblCellMar>
    </w:tblPr>
    <w:tblStylePr w:type="firstRow">
      <w:tblPr/>
      <w:tcPr>
        <w:tcBorders>
          <w:top w:val="double" w:sz="4" w:space="0" w:color="auto"/>
          <w:left w:val="nil"/>
          <w:bottom w:val="single" w:sz="4" w:space="0" w:color="auto"/>
          <w:right w:val="nil"/>
          <w:insideH w:val="nil"/>
          <w:insideV w:val="nil"/>
        </w:tcBorders>
      </w:tcPr>
    </w:tblStylePr>
    <w:tblStylePr w:type="lastRow">
      <w:tblPr/>
      <w:tcPr>
        <w:tcBorders>
          <w:top w:val="single" w:sz="4" w:space="0" w:color="auto"/>
        </w:tcBorders>
      </w:tcPr>
    </w:tblStylePr>
  </w:style>
  <w:style w:type="table" w:customStyle="1" w:styleId="StandardTable3">
    <w:name w:val="Standard Table3"/>
    <w:basedOn w:val="TableNormal"/>
    <w:uiPriority w:val="99"/>
    <w:rsid w:val="00AF5F0F"/>
    <w:pPr>
      <w:spacing w:after="0" w:line="240" w:lineRule="auto"/>
    </w:pPr>
    <w:rPr>
      <w:sz w:val="20"/>
    </w:rPr>
    <w:tblPr>
      <w:tblInd w:w="0" w:type="dxa"/>
      <w:tblBorders>
        <w:top w:val="double" w:sz="4" w:space="0" w:color="auto"/>
      </w:tblBorders>
      <w:tblCellMar>
        <w:top w:w="0" w:type="dxa"/>
        <w:left w:w="108" w:type="dxa"/>
        <w:bottom w:w="0" w:type="dxa"/>
        <w:right w:w="108" w:type="dxa"/>
      </w:tblCellMar>
    </w:tblPr>
    <w:tblStylePr w:type="firstRow">
      <w:tblPr/>
      <w:tcPr>
        <w:tcBorders>
          <w:top w:val="double" w:sz="4" w:space="0" w:color="auto"/>
          <w:left w:val="nil"/>
          <w:bottom w:val="single" w:sz="4" w:space="0" w:color="auto"/>
          <w:right w:val="nil"/>
          <w:insideH w:val="nil"/>
          <w:insideV w:val="nil"/>
        </w:tcBorders>
      </w:tcPr>
    </w:tblStylePr>
    <w:tblStylePr w:type="lastRow">
      <w:tblPr/>
      <w:tcPr>
        <w:tcBorders>
          <w:top w:val="single" w:sz="4" w:space="0" w:color="auto"/>
        </w:tcBorders>
      </w:tcPr>
    </w:tblStylePr>
  </w:style>
  <w:style w:type="character" w:customStyle="1" w:styleId="Heading4Char">
    <w:name w:val="Heading 4 Char"/>
    <w:basedOn w:val="DefaultParagraphFont"/>
    <w:link w:val="Heading4"/>
    <w:rsid w:val="005A0BC4"/>
    <w:rPr>
      <w:rFonts w:ascii="Times New Roman" w:eastAsia="Times New Roman" w:hAnsi="Times New Roman" w:cs="Times New Roman"/>
      <w:b/>
      <w:bCs/>
      <w:sz w:val="28"/>
      <w:szCs w:val="28"/>
      <w:lang w:val="en-GB" w:eastAsia="da-DK"/>
    </w:rPr>
  </w:style>
  <w:style w:type="character" w:customStyle="1" w:styleId="Heading5Char">
    <w:name w:val="Heading 5 Char"/>
    <w:basedOn w:val="DefaultParagraphFont"/>
    <w:link w:val="Heading5"/>
    <w:rsid w:val="005A0BC4"/>
    <w:rPr>
      <w:rFonts w:ascii="Times New Roman" w:eastAsia="Times New Roman" w:hAnsi="Times New Roman" w:cs="Times New Roman"/>
      <w:sz w:val="20"/>
      <w:szCs w:val="20"/>
      <w:u w:val="single"/>
      <w:lang w:val="en-GB" w:eastAsia="da-DK"/>
    </w:rPr>
  </w:style>
  <w:style w:type="character" w:customStyle="1" w:styleId="Heading6Char">
    <w:name w:val="Heading 6 Char"/>
    <w:basedOn w:val="DefaultParagraphFont"/>
    <w:link w:val="Heading6"/>
    <w:rsid w:val="005A0BC4"/>
    <w:rPr>
      <w:rFonts w:ascii="Times New Roman" w:eastAsia="Times New Roman" w:hAnsi="Times New Roman" w:cs="Times New Roman"/>
      <w:sz w:val="20"/>
      <w:szCs w:val="20"/>
      <w:lang w:val="en-GB" w:eastAsia="da-DK"/>
    </w:rPr>
  </w:style>
  <w:style w:type="character" w:customStyle="1" w:styleId="Heading7Char">
    <w:name w:val="Heading 7 Char"/>
    <w:basedOn w:val="DefaultParagraphFont"/>
    <w:link w:val="Heading7"/>
    <w:rsid w:val="005A0BC4"/>
    <w:rPr>
      <w:rFonts w:ascii="Times New Roman" w:eastAsia="Times New Roman" w:hAnsi="Times New Roman" w:cs="Times New Roman"/>
      <w:sz w:val="24"/>
      <w:szCs w:val="24"/>
      <w:lang w:val="en-GB" w:eastAsia="da-DK"/>
    </w:rPr>
  </w:style>
  <w:style w:type="character" w:customStyle="1" w:styleId="Heading8Char">
    <w:name w:val="Heading 8 Char"/>
    <w:basedOn w:val="DefaultParagraphFont"/>
    <w:link w:val="Heading8"/>
    <w:rsid w:val="005A0BC4"/>
    <w:rPr>
      <w:rFonts w:ascii="Times New Roman" w:eastAsia="Times New Roman" w:hAnsi="Times New Roman" w:cs="Times New Roman"/>
      <w:i/>
      <w:iCs/>
      <w:sz w:val="24"/>
      <w:szCs w:val="24"/>
      <w:lang w:val="en-GB" w:eastAsia="da-DK"/>
    </w:rPr>
  </w:style>
  <w:style w:type="character" w:customStyle="1" w:styleId="Heading9Char">
    <w:name w:val="Heading 9 Char"/>
    <w:basedOn w:val="DefaultParagraphFont"/>
    <w:link w:val="Heading9"/>
    <w:rsid w:val="005A0BC4"/>
    <w:rPr>
      <w:rFonts w:ascii="Arial" w:eastAsia="Times New Roman" w:hAnsi="Arial" w:cs="Arial"/>
      <w:lang w:val="en-GB" w:eastAsia="da-DK"/>
    </w:rPr>
  </w:style>
  <w:style w:type="paragraph" w:styleId="NoSpacing">
    <w:name w:val="No Spacing"/>
    <w:uiPriority w:val="1"/>
    <w:qFormat/>
    <w:rsid w:val="005A0BC4"/>
    <w:pPr>
      <w:spacing w:after="0" w:line="240" w:lineRule="auto"/>
    </w:pPr>
    <w:rPr>
      <w:rFonts w:ascii="Calibri" w:eastAsia="Calibri" w:hAnsi="Calibri" w:cs="Times New Roman"/>
    </w:rPr>
  </w:style>
  <w:style w:type="character" w:styleId="Strong">
    <w:name w:val="Strong"/>
    <w:uiPriority w:val="22"/>
    <w:qFormat/>
    <w:rsid w:val="005A0BC4"/>
    <w:rPr>
      <w:b/>
      <w:bCs/>
    </w:rPr>
  </w:style>
  <w:style w:type="table" w:customStyle="1" w:styleId="SrensTable">
    <w:name w:val="Sørens Table"/>
    <w:basedOn w:val="TableNormal"/>
    <w:uiPriority w:val="99"/>
    <w:rsid w:val="00C97DD8"/>
    <w:pPr>
      <w:spacing w:after="0" w:line="240" w:lineRule="auto"/>
    </w:pPr>
    <w:tblPr>
      <w:tblInd w:w="0" w:type="dxa"/>
      <w:tblCellMar>
        <w:top w:w="0" w:type="dxa"/>
        <w:left w:w="108" w:type="dxa"/>
        <w:bottom w:w="0" w:type="dxa"/>
        <w:right w:w="108" w:type="dxa"/>
      </w:tblCellMar>
    </w:tblPr>
  </w:style>
  <w:style w:type="paragraph" w:customStyle="1" w:styleId="Figure">
    <w:name w:val="Figure"/>
    <w:basedOn w:val="Normal"/>
    <w:qFormat/>
    <w:rsid w:val="0050045A"/>
    <w:pPr>
      <w:spacing w:after="0"/>
      <w:jc w:val="center"/>
    </w:pPr>
    <w:rPr>
      <w:noProof/>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pt-PT"/>
    </w:rPr>
  </w:style>
  <w:style w:type="paragraph" w:styleId="Heading1">
    <w:name w:val="heading 1"/>
    <w:basedOn w:val="Normal"/>
    <w:next w:val="Normal"/>
    <w:link w:val="Heading1Char"/>
    <w:rsid w:val="004614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rsid w:val="0046140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rsid w:val="004614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rsid w:val="005A0BC4"/>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lang w:val="en-GB" w:eastAsia="da-DK"/>
    </w:rPr>
  </w:style>
  <w:style w:type="paragraph" w:styleId="Heading5">
    <w:name w:val="heading 5"/>
    <w:basedOn w:val="Normal"/>
    <w:next w:val="Normal"/>
    <w:link w:val="Heading5Char"/>
    <w:rsid w:val="005A0BC4"/>
    <w:pPr>
      <w:keepNext/>
      <w:tabs>
        <w:tab w:val="num" w:pos="1008"/>
      </w:tabs>
      <w:spacing w:after="0" w:line="360" w:lineRule="auto"/>
      <w:ind w:left="1008" w:hanging="1008"/>
      <w:jc w:val="both"/>
      <w:outlineLvl w:val="4"/>
    </w:pPr>
    <w:rPr>
      <w:rFonts w:ascii="Times New Roman" w:eastAsia="Times New Roman" w:hAnsi="Times New Roman" w:cs="Times New Roman"/>
      <w:sz w:val="20"/>
      <w:szCs w:val="20"/>
      <w:u w:val="single"/>
      <w:lang w:val="en-GB" w:eastAsia="da-DK"/>
    </w:rPr>
  </w:style>
  <w:style w:type="paragraph" w:styleId="Heading6">
    <w:name w:val="heading 6"/>
    <w:basedOn w:val="Normal"/>
    <w:next w:val="Normal"/>
    <w:link w:val="Heading6Char"/>
    <w:rsid w:val="005A0BC4"/>
    <w:pPr>
      <w:keepNext/>
      <w:tabs>
        <w:tab w:val="num" w:pos="1152"/>
      </w:tabs>
      <w:spacing w:after="0" w:line="360" w:lineRule="auto"/>
      <w:ind w:left="1152" w:hanging="1152"/>
      <w:jc w:val="center"/>
      <w:outlineLvl w:val="5"/>
    </w:pPr>
    <w:rPr>
      <w:rFonts w:ascii="Times New Roman" w:eastAsia="Times New Roman" w:hAnsi="Times New Roman" w:cs="Times New Roman"/>
      <w:sz w:val="20"/>
      <w:szCs w:val="20"/>
      <w:lang w:val="en-GB" w:eastAsia="da-DK"/>
    </w:rPr>
  </w:style>
  <w:style w:type="paragraph" w:styleId="Heading7">
    <w:name w:val="heading 7"/>
    <w:basedOn w:val="Normal"/>
    <w:next w:val="Normal"/>
    <w:link w:val="Heading7Char"/>
    <w:rsid w:val="005A0BC4"/>
    <w:pPr>
      <w:tabs>
        <w:tab w:val="num" w:pos="1296"/>
      </w:tabs>
      <w:spacing w:before="240" w:after="60" w:line="240" w:lineRule="auto"/>
      <w:ind w:left="1296" w:hanging="1296"/>
      <w:outlineLvl w:val="6"/>
    </w:pPr>
    <w:rPr>
      <w:rFonts w:ascii="Times New Roman" w:eastAsia="Times New Roman" w:hAnsi="Times New Roman" w:cs="Times New Roman"/>
      <w:sz w:val="24"/>
      <w:szCs w:val="24"/>
      <w:lang w:val="en-GB" w:eastAsia="da-DK"/>
    </w:rPr>
  </w:style>
  <w:style w:type="paragraph" w:styleId="Heading8">
    <w:name w:val="heading 8"/>
    <w:basedOn w:val="Normal"/>
    <w:next w:val="Normal"/>
    <w:link w:val="Heading8Char"/>
    <w:rsid w:val="005A0BC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en-GB" w:eastAsia="da-DK"/>
    </w:rPr>
  </w:style>
  <w:style w:type="paragraph" w:styleId="Heading9">
    <w:name w:val="heading 9"/>
    <w:basedOn w:val="Normal"/>
    <w:next w:val="Normal"/>
    <w:link w:val="Heading9Char"/>
    <w:rsid w:val="005A0BC4"/>
    <w:pPr>
      <w:tabs>
        <w:tab w:val="num" w:pos="1584"/>
      </w:tabs>
      <w:spacing w:before="240" w:after="60" w:line="240" w:lineRule="auto"/>
      <w:ind w:left="1584" w:hanging="1584"/>
      <w:outlineLvl w:val="8"/>
    </w:pPr>
    <w:rPr>
      <w:rFonts w:ascii="Arial" w:eastAsia="Times New Roman" w:hAnsi="Arial" w:cs="Arial"/>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39"/>
    <w:pPr>
      <w:ind w:left="720"/>
      <w:contextualSpacing/>
    </w:pPr>
  </w:style>
  <w:style w:type="paragraph" w:styleId="BalloonText">
    <w:name w:val="Balloon Text"/>
    <w:basedOn w:val="Normal"/>
    <w:link w:val="BalloonTextChar"/>
    <w:uiPriority w:val="99"/>
    <w:semiHidden/>
    <w:unhideWhenUsed/>
    <w:rsid w:val="00076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1D0"/>
    <w:rPr>
      <w:rFonts w:ascii="Tahoma" w:hAnsi="Tahoma" w:cs="Tahoma"/>
      <w:sz w:val="16"/>
      <w:szCs w:val="16"/>
    </w:rPr>
  </w:style>
  <w:style w:type="paragraph" w:styleId="Header">
    <w:name w:val="header"/>
    <w:basedOn w:val="Normal"/>
    <w:link w:val="HeaderChar"/>
    <w:uiPriority w:val="99"/>
    <w:unhideWhenUsed/>
    <w:rsid w:val="00E3653B"/>
    <w:pPr>
      <w:tabs>
        <w:tab w:val="center" w:pos="4819"/>
        <w:tab w:val="right" w:pos="9638"/>
      </w:tabs>
      <w:spacing w:after="0" w:line="240" w:lineRule="auto"/>
    </w:pPr>
  </w:style>
  <w:style w:type="character" w:customStyle="1" w:styleId="HeaderChar">
    <w:name w:val="Header Char"/>
    <w:basedOn w:val="DefaultParagraphFont"/>
    <w:link w:val="Header"/>
    <w:uiPriority w:val="99"/>
    <w:rsid w:val="00E3653B"/>
  </w:style>
  <w:style w:type="paragraph" w:styleId="Footer">
    <w:name w:val="footer"/>
    <w:basedOn w:val="Normal"/>
    <w:link w:val="FooterChar"/>
    <w:uiPriority w:val="99"/>
    <w:unhideWhenUsed/>
    <w:rsid w:val="00E3653B"/>
    <w:pPr>
      <w:tabs>
        <w:tab w:val="center" w:pos="4819"/>
        <w:tab w:val="right" w:pos="9638"/>
      </w:tabs>
      <w:spacing w:after="0" w:line="240" w:lineRule="auto"/>
    </w:pPr>
  </w:style>
  <w:style w:type="character" w:customStyle="1" w:styleId="FooterChar">
    <w:name w:val="Footer Char"/>
    <w:basedOn w:val="DefaultParagraphFont"/>
    <w:link w:val="Footer"/>
    <w:uiPriority w:val="99"/>
    <w:rsid w:val="00E3653B"/>
  </w:style>
  <w:style w:type="character" w:styleId="PlaceholderText">
    <w:name w:val="Placeholder Text"/>
    <w:basedOn w:val="DefaultParagraphFont"/>
    <w:uiPriority w:val="99"/>
    <w:semiHidden/>
    <w:rsid w:val="004E182A"/>
    <w:rPr>
      <w:color w:val="808080"/>
    </w:rPr>
  </w:style>
  <w:style w:type="paragraph" w:styleId="FootnoteText">
    <w:name w:val="footnote text"/>
    <w:basedOn w:val="Normal"/>
    <w:link w:val="FootnoteTextChar"/>
    <w:uiPriority w:val="99"/>
    <w:unhideWhenUsed/>
    <w:rsid w:val="00BD293B"/>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BD293B"/>
    <w:rPr>
      <w:sz w:val="20"/>
      <w:szCs w:val="20"/>
    </w:rPr>
  </w:style>
  <w:style w:type="character" w:styleId="FootnoteReference">
    <w:name w:val="footnote reference"/>
    <w:basedOn w:val="DefaultParagraphFont"/>
    <w:uiPriority w:val="99"/>
    <w:unhideWhenUsed/>
    <w:rsid w:val="00E64060"/>
    <w:rPr>
      <w:vertAlign w:val="superscript"/>
    </w:rPr>
  </w:style>
  <w:style w:type="character" w:styleId="Hyperlink">
    <w:name w:val="Hyperlink"/>
    <w:basedOn w:val="DefaultParagraphFont"/>
    <w:uiPriority w:val="99"/>
    <w:unhideWhenUsed/>
    <w:rsid w:val="009873EF"/>
    <w:rPr>
      <w:color w:val="0000FF" w:themeColor="hyperlink"/>
      <w:u w:val="single"/>
    </w:rPr>
  </w:style>
  <w:style w:type="paragraph" w:styleId="PlainText">
    <w:name w:val="Plain Text"/>
    <w:basedOn w:val="Normal"/>
    <w:link w:val="PlainTextChar"/>
    <w:uiPriority w:val="99"/>
    <w:semiHidden/>
    <w:unhideWhenUsed/>
    <w:rsid w:val="00AF5F23"/>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semiHidden/>
    <w:rsid w:val="00AF5F23"/>
    <w:rPr>
      <w:rFonts w:ascii="Calibri" w:eastAsiaTheme="minorEastAsia" w:hAnsi="Calibri"/>
      <w:szCs w:val="21"/>
      <w:lang w:eastAsia="zh-CN"/>
    </w:rPr>
  </w:style>
  <w:style w:type="table" w:customStyle="1" w:styleId="StandardTable">
    <w:name w:val="Standard Table"/>
    <w:basedOn w:val="TableNormal"/>
    <w:uiPriority w:val="99"/>
    <w:rsid w:val="00EE6E40"/>
    <w:pPr>
      <w:spacing w:after="0" w:line="240" w:lineRule="auto"/>
    </w:pPr>
    <w:rPr>
      <w:sz w:val="20"/>
    </w:rPr>
    <w:tblPr>
      <w:tblInd w:w="0" w:type="dxa"/>
      <w:tblBorders>
        <w:top w:val="double" w:sz="4" w:space="0" w:color="auto"/>
        <w:bottom w:val="double" w:sz="4" w:space="0" w:color="auto"/>
      </w:tblBorders>
      <w:tblCellMar>
        <w:top w:w="0" w:type="dxa"/>
        <w:left w:w="108" w:type="dxa"/>
        <w:bottom w:w="0" w:type="dxa"/>
        <w:right w:w="108" w:type="dxa"/>
      </w:tblCellMar>
    </w:tblPr>
    <w:tblStylePr w:type="firstRow">
      <w:tblPr/>
      <w:tcPr>
        <w:tcBorders>
          <w:top w:val="double" w:sz="4" w:space="0" w:color="auto"/>
          <w:left w:val="nil"/>
          <w:bottom w:val="single" w:sz="4" w:space="0" w:color="auto"/>
          <w:right w:val="nil"/>
          <w:insideH w:val="nil"/>
          <w:insideV w:val="nil"/>
        </w:tcBorders>
      </w:tcPr>
    </w:tblStylePr>
    <w:tblStylePr w:type="lastRow">
      <w:tblPr/>
      <w:tcPr>
        <w:tcBorders>
          <w:top w:val="single" w:sz="4" w:space="0" w:color="auto"/>
        </w:tcBorders>
      </w:tcPr>
    </w:tblStylePr>
  </w:style>
  <w:style w:type="character" w:styleId="FollowedHyperlink">
    <w:name w:val="FollowedHyperlink"/>
    <w:basedOn w:val="DefaultParagraphFont"/>
    <w:uiPriority w:val="99"/>
    <w:semiHidden/>
    <w:unhideWhenUsed/>
    <w:rsid w:val="0006273F"/>
    <w:rPr>
      <w:color w:val="800080" w:themeColor="followedHyperlink"/>
      <w:u w:val="single"/>
    </w:rPr>
  </w:style>
  <w:style w:type="paragraph" w:customStyle="1" w:styleId="TableTitle">
    <w:name w:val="Table Title"/>
    <w:basedOn w:val="Normal"/>
    <w:qFormat/>
    <w:rsid w:val="00B06D3F"/>
    <w:rPr>
      <w:b/>
      <w:lang w:val="en-US"/>
    </w:rPr>
  </w:style>
  <w:style w:type="paragraph" w:customStyle="1" w:styleId="FigureTitle">
    <w:name w:val="Figure Title"/>
    <w:basedOn w:val="Normal"/>
    <w:qFormat/>
    <w:rsid w:val="00B06D3F"/>
    <w:rPr>
      <w:b/>
      <w:lang w:val="en-US"/>
    </w:rPr>
  </w:style>
  <w:style w:type="paragraph" w:customStyle="1" w:styleId="ChapterTitle">
    <w:name w:val="Chapter Title"/>
    <w:basedOn w:val="Normal"/>
    <w:qFormat/>
    <w:rsid w:val="001E664B"/>
    <w:rPr>
      <w:rFonts w:asciiTheme="majorHAnsi" w:hAnsiTheme="majorHAnsi"/>
      <w:b/>
      <w:sz w:val="28"/>
      <w:lang w:val="en-US"/>
    </w:rPr>
  </w:style>
  <w:style w:type="paragraph" w:customStyle="1" w:styleId="MainText">
    <w:name w:val="Main Text"/>
    <w:basedOn w:val="Normal"/>
    <w:qFormat/>
    <w:rsid w:val="001E664B"/>
    <w:pPr>
      <w:spacing w:line="360" w:lineRule="auto"/>
      <w:jc w:val="both"/>
    </w:pPr>
    <w:rPr>
      <w:lang w:val="en-US"/>
    </w:rPr>
  </w:style>
  <w:style w:type="paragraph" w:customStyle="1" w:styleId="SectionTitle">
    <w:name w:val="Section Title"/>
    <w:basedOn w:val="Normal"/>
    <w:qFormat/>
    <w:rsid w:val="001E664B"/>
    <w:pPr>
      <w:spacing w:before="360"/>
    </w:pPr>
    <w:rPr>
      <w:b/>
      <w:u w:val="single"/>
      <w:lang w:val="en-US"/>
    </w:rPr>
  </w:style>
  <w:style w:type="paragraph" w:customStyle="1" w:styleId="SubSectionTitle">
    <w:name w:val="Sub Section Title"/>
    <w:basedOn w:val="Normal"/>
    <w:qFormat/>
    <w:rsid w:val="00244D12"/>
    <w:rPr>
      <w:i/>
      <w:lang w:val="en-US"/>
    </w:rPr>
  </w:style>
  <w:style w:type="paragraph" w:customStyle="1" w:styleId="Bullets">
    <w:name w:val="Bullets"/>
    <w:basedOn w:val="ListParagraph"/>
    <w:qFormat/>
    <w:rsid w:val="00461403"/>
    <w:pPr>
      <w:numPr>
        <w:numId w:val="10"/>
      </w:numPr>
    </w:pPr>
    <w:rPr>
      <w:lang w:val="en-US"/>
    </w:rPr>
  </w:style>
  <w:style w:type="character" w:customStyle="1" w:styleId="Heading3Char">
    <w:name w:val="Heading 3 Char"/>
    <w:basedOn w:val="DefaultParagraphFont"/>
    <w:link w:val="Heading3"/>
    <w:rsid w:val="0046140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461403"/>
    <w:pPr>
      <w:spacing w:after="100"/>
    </w:pPr>
  </w:style>
  <w:style w:type="character" w:customStyle="1" w:styleId="Heading2Char">
    <w:name w:val="Heading 2 Char"/>
    <w:basedOn w:val="DefaultParagraphFont"/>
    <w:link w:val="Heading2"/>
    <w:rsid w:val="0046140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rsid w:val="00461403"/>
    <w:rPr>
      <w:rFonts w:asciiTheme="majorHAnsi" w:eastAsiaTheme="majorEastAsia" w:hAnsiTheme="majorHAnsi" w:cstheme="majorBidi"/>
      <w:b/>
      <w:bCs/>
      <w:color w:val="365F91" w:themeColor="accent1" w:themeShade="BF"/>
      <w:sz w:val="28"/>
      <w:szCs w:val="28"/>
    </w:rPr>
  </w:style>
  <w:style w:type="paragraph" w:styleId="TOC2">
    <w:name w:val="toc 2"/>
    <w:basedOn w:val="Normal"/>
    <w:next w:val="Normal"/>
    <w:autoRedefine/>
    <w:uiPriority w:val="39"/>
    <w:unhideWhenUsed/>
    <w:rsid w:val="00F402D9"/>
    <w:pPr>
      <w:spacing w:after="100"/>
      <w:ind w:left="220"/>
    </w:pPr>
  </w:style>
  <w:style w:type="table" w:styleId="TableGrid">
    <w:name w:val="Table Grid"/>
    <w:basedOn w:val="TableNormal"/>
    <w:uiPriority w:val="59"/>
    <w:rsid w:val="00F269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ote">
    <w:name w:val="Table note"/>
    <w:basedOn w:val="Normal"/>
    <w:qFormat/>
    <w:rsid w:val="00BD293B"/>
    <w:pPr>
      <w:spacing w:before="60" w:after="0"/>
      <w:jc w:val="both"/>
    </w:pPr>
    <w:rPr>
      <w:sz w:val="18"/>
      <w:szCs w:val="18"/>
      <w:lang w:val="en-US"/>
    </w:rPr>
  </w:style>
  <w:style w:type="paragraph" w:styleId="Caption">
    <w:name w:val="caption"/>
    <w:basedOn w:val="Normal"/>
    <w:next w:val="Normal"/>
    <w:uiPriority w:val="35"/>
    <w:unhideWhenUsed/>
    <w:qFormat/>
    <w:rsid w:val="001934CC"/>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EF2313"/>
    <w:rPr>
      <w:sz w:val="16"/>
      <w:szCs w:val="16"/>
    </w:rPr>
  </w:style>
  <w:style w:type="paragraph" w:styleId="CommentText">
    <w:name w:val="annotation text"/>
    <w:basedOn w:val="Normal"/>
    <w:link w:val="CommentTextChar"/>
    <w:uiPriority w:val="99"/>
    <w:unhideWhenUsed/>
    <w:rsid w:val="00EF2313"/>
    <w:pPr>
      <w:spacing w:line="240" w:lineRule="auto"/>
    </w:pPr>
    <w:rPr>
      <w:sz w:val="20"/>
      <w:szCs w:val="20"/>
    </w:rPr>
  </w:style>
  <w:style w:type="character" w:customStyle="1" w:styleId="CommentTextChar">
    <w:name w:val="Comment Text Char"/>
    <w:basedOn w:val="DefaultParagraphFont"/>
    <w:link w:val="CommentText"/>
    <w:uiPriority w:val="99"/>
    <w:rsid w:val="00EF2313"/>
    <w:rPr>
      <w:sz w:val="20"/>
      <w:szCs w:val="20"/>
    </w:rPr>
  </w:style>
  <w:style w:type="paragraph" w:styleId="CommentSubject">
    <w:name w:val="annotation subject"/>
    <w:basedOn w:val="CommentText"/>
    <w:next w:val="CommentText"/>
    <w:link w:val="CommentSubjectChar"/>
    <w:uiPriority w:val="99"/>
    <w:semiHidden/>
    <w:unhideWhenUsed/>
    <w:rsid w:val="00EF2313"/>
    <w:rPr>
      <w:b/>
      <w:bCs/>
    </w:rPr>
  </w:style>
  <w:style w:type="character" w:customStyle="1" w:styleId="CommentSubjectChar">
    <w:name w:val="Comment Subject Char"/>
    <w:basedOn w:val="CommentTextChar"/>
    <w:link w:val="CommentSubject"/>
    <w:uiPriority w:val="99"/>
    <w:semiHidden/>
    <w:rsid w:val="00EF2313"/>
    <w:rPr>
      <w:b/>
      <w:bCs/>
      <w:sz w:val="20"/>
      <w:szCs w:val="20"/>
    </w:rPr>
  </w:style>
  <w:style w:type="paragraph" w:styleId="Revision">
    <w:name w:val="Revision"/>
    <w:hidden/>
    <w:uiPriority w:val="99"/>
    <w:semiHidden/>
    <w:rsid w:val="009243AB"/>
    <w:pPr>
      <w:spacing w:after="0" w:line="240" w:lineRule="auto"/>
    </w:pPr>
  </w:style>
  <w:style w:type="table" w:customStyle="1" w:styleId="StandardTable1">
    <w:name w:val="Standard Table1"/>
    <w:basedOn w:val="TableNormal"/>
    <w:uiPriority w:val="99"/>
    <w:rsid w:val="00CA5E60"/>
    <w:pPr>
      <w:spacing w:after="0" w:line="240" w:lineRule="auto"/>
    </w:pPr>
    <w:rPr>
      <w:sz w:val="20"/>
    </w:rPr>
    <w:tblPr>
      <w:tblInd w:w="0" w:type="dxa"/>
      <w:tblBorders>
        <w:top w:val="double" w:sz="4" w:space="0" w:color="auto"/>
      </w:tblBorders>
      <w:tblCellMar>
        <w:top w:w="0" w:type="dxa"/>
        <w:left w:w="108" w:type="dxa"/>
        <w:bottom w:w="0" w:type="dxa"/>
        <w:right w:w="108" w:type="dxa"/>
      </w:tblCellMar>
    </w:tblPr>
    <w:tblStylePr w:type="firstRow">
      <w:tblPr/>
      <w:tcPr>
        <w:tcBorders>
          <w:top w:val="double" w:sz="4" w:space="0" w:color="auto"/>
          <w:left w:val="nil"/>
          <w:bottom w:val="single" w:sz="4" w:space="0" w:color="auto"/>
          <w:right w:val="nil"/>
          <w:insideH w:val="nil"/>
          <w:insideV w:val="nil"/>
        </w:tcBorders>
      </w:tcPr>
    </w:tblStylePr>
    <w:tblStylePr w:type="lastRow">
      <w:tblPr/>
      <w:tcPr>
        <w:tcBorders>
          <w:top w:val="single" w:sz="4" w:space="0" w:color="auto"/>
        </w:tcBorders>
      </w:tcPr>
    </w:tblStylePr>
  </w:style>
  <w:style w:type="table" w:customStyle="1" w:styleId="StandardTable2">
    <w:name w:val="Standard Table2"/>
    <w:basedOn w:val="TableNormal"/>
    <w:uiPriority w:val="99"/>
    <w:rsid w:val="00AF5F0F"/>
    <w:pPr>
      <w:spacing w:after="0" w:line="240" w:lineRule="auto"/>
    </w:pPr>
    <w:rPr>
      <w:sz w:val="20"/>
    </w:rPr>
    <w:tblPr>
      <w:tblInd w:w="0" w:type="dxa"/>
      <w:tblBorders>
        <w:top w:val="double" w:sz="4" w:space="0" w:color="auto"/>
      </w:tblBorders>
      <w:tblCellMar>
        <w:top w:w="0" w:type="dxa"/>
        <w:left w:w="108" w:type="dxa"/>
        <w:bottom w:w="0" w:type="dxa"/>
        <w:right w:w="108" w:type="dxa"/>
      </w:tblCellMar>
    </w:tblPr>
    <w:tblStylePr w:type="firstRow">
      <w:tblPr/>
      <w:tcPr>
        <w:tcBorders>
          <w:top w:val="double" w:sz="4" w:space="0" w:color="auto"/>
          <w:left w:val="nil"/>
          <w:bottom w:val="single" w:sz="4" w:space="0" w:color="auto"/>
          <w:right w:val="nil"/>
          <w:insideH w:val="nil"/>
          <w:insideV w:val="nil"/>
        </w:tcBorders>
      </w:tcPr>
    </w:tblStylePr>
    <w:tblStylePr w:type="lastRow">
      <w:tblPr/>
      <w:tcPr>
        <w:tcBorders>
          <w:top w:val="single" w:sz="4" w:space="0" w:color="auto"/>
        </w:tcBorders>
      </w:tcPr>
    </w:tblStylePr>
  </w:style>
  <w:style w:type="table" w:customStyle="1" w:styleId="StandardTable3">
    <w:name w:val="Standard Table3"/>
    <w:basedOn w:val="TableNormal"/>
    <w:uiPriority w:val="99"/>
    <w:rsid w:val="00AF5F0F"/>
    <w:pPr>
      <w:spacing w:after="0" w:line="240" w:lineRule="auto"/>
    </w:pPr>
    <w:rPr>
      <w:sz w:val="20"/>
    </w:rPr>
    <w:tblPr>
      <w:tblInd w:w="0" w:type="dxa"/>
      <w:tblBorders>
        <w:top w:val="double" w:sz="4" w:space="0" w:color="auto"/>
      </w:tblBorders>
      <w:tblCellMar>
        <w:top w:w="0" w:type="dxa"/>
        <w:left w:w="108" w:type="dxa"/>
        <w:bottom w:w="0" w:type="dxa"/>
        <w:right w:w="108" w:type="dxa"/>
      </w:tblCellMar>
    </w:tblPr>
    <w:tblStylePr w:type="firstRow">
      <w:tblPr/>
      <w:tcPr>
        <w:tcBorders>
          <w:top w:val="double" w:sz="4" w:space="0" w:color="auto"/>
          <w:left w:val="nil"/>
          <w:bottom w:val="single" w:sz="4" w:space="0" w:color="auto"/>
          <w:right w:val="nil"/>
          <w:insideH w:val="nil"/>
          <w:insideV w:val="nil"/>
        </w:tcBorders>
      </w:tcPr>
    </w:tblStylePr>
    <w:tblStylePr w:type="lastRow">
      <w:tblPr/>
      <w:tcPr>
        <w:tcBorders>
          <w:top w:val="single" w:sz="4" w:space="0" w:color="auto"/>
        </w:tcBorders>
      </w:tcPr>
    </w:tblStylePr>
  </w:style>
  <w:style w:type="character" w:customStyle="1" w:styleId="Heading4Char">
    <w:name w:val="Heading 4 Char"/>
    <w:basedOn w:val="DefaultParagraphFont"/>
    <w:link w:val="Heading4"/>
    <w:rsid w:val="005A0BC4"/>
    <w:rPr>
      <w:rFonts w:ascii="Times New Roman" w:eastAsia="Times New Roman" w:hAnsi="Times New Roman" w:cs="Times New Roman"/>
      <w:b/>
      <w:bCs/>
      <w:sz w:val="28"/>
      <w:szCs w:val="28"/>
      <w:lang w:val="en-GB" w:eastAsia="da-DK"/>
    </w:rPr>
  </w:style>
  <w:style w:type="character" w:customStyle="1" w:styleId="Heading5Char">
    <w:name w:val="Heading 5 Char"/>
    <w:basedOn w:val="DefaultParagraphFont"/>
    <w:link w:val="Heading5"/>
    <w:rsid w:val="005A0BC4"/>
    <w:rPr>
      <w:rFonts w:ascii="Times New Roman" w:eastAsia="Times New Roman" w:hAnsi="Times New Roman" w:cs="Times New Roman"/>
      <w:sz w:val="20"/>
      <w:szCs w:val="20"/>
      <w:u w:val="single"/>
      <w:lang w:val="en-GB" w:eastAsia="da-DK"/>
    </w:rPr>
  </w:style>
  <w:style w:type="character" w:customStyle="1" w:styleId="Heading6Char">
    <w:name w:val="Heading 6 Char"/>
    <w:basedOn w:val="DefaultParagraphFont"/>
    <w:link w:val="Heading6"/>
    <w:rsid w:val="005A0BC4"/>
    <w:rPr>
      <w:rFonts w:ascii="Times New Roman" w:eastAsia="Times New Roman" w:hAnsi="Times New Roman" w:cs="Times New Roman"/>
      <w:sz w:val="20"/>
      <w:szCs w:val="20"/>
      <w:lang w:val="en-GB" w:eastAsia="da-DK"/>
    </w:rPr>
  </w:style>
  <w:style w:type="character" w:customStyle="1" w:styleId="Heading7Char">
    <w:name w:val="Heading 7 Char"/>
    <w:basedOn w:val="DefaultParagraphFont"/>
    <w:link w:val="Heading7"/>
    <w:rsid w:val="005A0BC4"/>
    <w:rPr>
      <w:rFonts w:ascii="Times New Roman" w:eastAsia="Times New Roman" w:hAnsi="Times New Roman" w:cs="Times New Roman"/>
      <w:sz w:val="24"/>
      <w:szCs w:val="24"/>
      <w:lang w:val="en-GB" w:eastAsia="da-DK"/>
    </w:rPr>
  </w:style>
  <w:style w:type="character" w:customStyle="1" w:styleId="Heading8Char">
    <w:name w:val="Heading 8 Char"/>
    <w:basedOn w:val="DefaultParagraphFont"/>
    <w:link w:val="Heading8"/>
    <w:rsid w:val="005A0BC4"/>
    <w:rPr>
      <w:rFonts w:ascii="Times New Roman" w:eastAsia="Times New Roman" w:hAnsi="Times New Roman" w:cs="Times New Roman"/>
      <w:i/>
      <w:iCs/>
      <w:sz w:val="24"/>
      <w:szCs w:val="24"/>
      <w:lang w:val="en-GB" w:eastAsia="da-DK"/>
    </w:rPr>
  </w:style>
  <w:style w:type="character" w:customStyle="1" w:styleId="Heading9Char">
    <w:name w:val="Heading 9 Char"/>
    <w:basedOn w:val="DefaultParagraphFont"/>
    <w:link w:val="Heading9"/>
    <w:rsid w:val="005A0BC4"/>
    <w:rPr>
      <w:rFonts w:ascii="Arial" w:eastAsia="Times New Roman" w:hAnsi="Arial" w:cs="Arial"/>
      <w:lang w:val="en-GB" w:eastAsia="da-DK"/>
    </w:rPr>
  </w:style>
  <w:style w:type="paragraph" w:styleId="NoSpacing">
    <w:name w:val="No Spacing"/>
    <w:uiPriority w:val="1"/>
    <w:qFormat/>
    <w:rsid w:val="005A0BC4"/>
    <w:pPr>
      <w:spacing w:after="0" w:line="240" w:lineRule="auto"/>
    </w:pPr>
    <w:rPr>
      <w:rFonts w:ascii="Calibri" w:eastAsia="Calibri" w:hAnsi="Calibri" w:cs="Times New Roman"/>
    </w:rPr>
  </w:style>
  <w:style w:type="character" w:styleId="Strong">
    <w:name w:val="Strong"/>
    <w:uiPriority w:val="22"/>
    <w:qFormat/>
    <w:rsid w:val="005A0BC4"/>
    <w:rPr>
      <w:b/>
      <w:bCs/>
    </w:rPr>
  </w:style>
  <w:style w:type="table" w:customStyle="1" w:styleId="SrensTable">
    <w:name w:val="Sørens Table"/>
    <w:basedOn w:val="TableNormal"/>
    <w:uiPriority w:val="99"/>
    <w:rsid w:val="00C97DD8"/>
    <w:pPr>
      <w:spacing w:after="0" w:line="240" w:lineRule="auto"/>
    </w:pPr>
    <w:tblPr>
      <w:tblInd w:w="0" w:type="dxa"/>
      <w:tblCellMar>
        <w:top w:w="0" w:type="dxa"/>
        <w:left w:w="108" w:type="dxa"/>
        <w:bottom w:w="0" w:type="dxa"/>
        <w:right w:w="108" w:type="dxa"/>
      </w:tblCellMar>
    </w:tblPr>
  </w:style>
  <w:style w:type="paragraph" w:customStyle="1" w:styleId="Figure">
    <w:name w:val="Figure"/>
    <w:basedOn w:val="Normal"/>
    <w:qFormat/>
    <w:rsid w:val="0050045A"/>
    <w:pPr>
      <w:spacing w:after="0"/>
      <w:jc w:val="center"/>
    </w:pPr>
    <w:rPr>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9131">
      <w:bodyDiv w:val="1"/>
      <w:marLeft w:val="0"/>
      <w:marRight w:val="0"/>
      <w:marTop w:val="0"/>
      <w:marBottom w:val="0"/>
      <w:divBdr>
        <w:top w:val="none" w:sz="0" w:space="0" w:color="auto"/>
        <w:left w:val="none" w:sz="0" w:space="0" w:color="auto"/>
        <w:bottom w:val="none" w:sz="0" w:space="0" w:color="auto"/>
        <w:right w:val="none" w:sz="0" w:space="0" w:color="auto"/>
      </w:divBdr>
    </w:div>
    <w:div w:id="14356679">
      <w:bodyDiv w:val="1"/>
      <w:marLeft w:val="0"/>
      <w:marRight w:val="0"/>
      <w:marTop w:val="0"/>
      <w:marBottom w:val="0"/>
      <w:divBdr>
        <w:top w:val="none" w:sz="0" w:space="0" w:color="auto"/>
        <w:left w:val="none" w:sz="0" w:space="0" w:color="auto"/>
        <w:bottom w:val="none" w:sz="0" w:space="0" w:color="auto"/>
        <w:right w:val="none" w:sz="0" w:space="0" w:color="auto"/>
      </w:divBdr>
    </w:div>
    <w:div w:id="14770342">
      <w:bodyDiv w:val="1"/>
      <w:marLeft w:val="0"/>
      <w:marRight w:val="0"/>
      <w:marTop w:val="0"/>
      <w:marBottom w:val="0"/>
      <w:divBdr>
        <w:top w:val="none" w:sz="0" w:space="0" w:color="auto"/>
        <w:left w:val="none" w:sz="0" w:space="0" w:color="auto"/>
        <w:bottom w:val="none" w:sz="0" w:space="0" w:color="auto"/>
        <w:right w:val="none" w:sz="0" w:space="0" w:color="auto"/>
      </w:divBdr>
    </w:div>
    <w:div w:id="20709896">
      <w:bodyDiv w:val="1"/>
      <w:marLeft w:val="0"/>
      <w:marRight w:val="0"/>
      <w:marTop w:val="0"/>
      <w:marBottom w:val="0"/>
      <w:divBdr>
        <w:top w:val="none" w:sz="0" w:space="0" w:color="auto"/>
        <w:left w:val="none" w:sz="0" w:space="0" w:color="auto"/>
        <w:bottom w:val="none" w:sz="0" w:space="0" w:color="auto"/>
        <w:right w:val="none" w:sz="0" w:space="0" w:color="auto"/>
      </w:divBdr>
    </w:div>
    <w:div w:id="22443325">
      <w:bodyDiv w:val="1"/>
      <w:marLeft w:val="0"/>
      <w:marRight w:val="0"/>
      <w:marTop w:val="0"/>
      <w:marBottom w:val="0"/>
      <w:divBdr>
        <w:top w:val="none" w:sz="0" w:space="0" w:color="auto"/>
        <w:left w:val="none" w:sz="0" w:space="0" w:color="auto"/>
        <w:bottom w:val="none" w:sz="0" w:space="0" w:color="auto"/>
        <w:right w:val="none" w:sz="0" w:space="0" w:color="auto"/>
      </w:divBdr>
    </w:div>
    <w:div w:id="33238807">
      <w:bodyDiv w:val="1"/>
      <w:marLeft w:val="0"/>
      <w:marRight w:val="0"/>
      <w:marTop w:val="0"/>
      <w:marBottom w:val="0"/>
      <w:divBdr>
        <w:top w:val="none" w:sz="0" w:space="0" w:color="auto"/>
        <w:left w:val="none" w:sz="0" w:space="0" w:color="auto"/>
        <w:bottom w:val="none" w:sz="0" w:space="0" w:color="auto"/>
        <w:right w:val="none" w:sz="0" w:space="0" w:color="auto"/>
      </w:divBdr>
    </w:div>
    <w:div w:id="38628232">
      <w:bodyDiv w:val="1"/>
      <w:marLeft w:val="0"/>
      <w:marRight w:val="0"/>
      <w:marTop w:val="0"/>
      <w:marBottom w:val="0"/>
      <w:divBdr>
        <w:top w:val="none" w:sz="0" w:space="0" w:color="auto"/>
        <w:left w:val="none" w:sz="0" w:space="0" w:color="auto"/>
        <w:bottom w:val="none" w:sz="0" w:space="0" w:color="auto"/>
        <w:right w:val="none" w:sz="0" w:space="0" w:color="auto"/>
      </w:divBdr>
    </w:div>
    <w:div w:id="51586360">
      <w:bodyDiv w:val="1"/>
      <w:marLeft w:val="0"/>
      <w:marRight w:val="0"/>
      <w:marTop w:val="0"/>
      <w:marBottom w:val="0"/>
      <w:divBdr>
        <w:top w:val="none" w:sz="0" w:space="0" w:color="auto"/>
        <w:left w:val="none" w:sz="0" w:space="0" w:color="auto"/>
        <w:bottom w:val="none" w:sz="0" w:space="0" w:color="auto"/>
        <w:right w:val="none" w:sz="0" w:space="0" w:color="auto"/>
      </w:divBdr>
    </w:div>
    <w:div w:id="66803930">
      <w:bodyDiv w:val="1"/>
      <w:marLeft w:val="0"/>
      <w:marRight w:val="0"/>
      <w:marTop w:val="0"/>
      <w:marBottom w:val="0"/>
      <w:divBdr>
        <w:top w:val="none" w:sz="0" w:space="0" w:color="auto"/>
        <w:left w:val="none" w:sz="0" w:space="0" w:color="auto"/>
        <w:bottom w:val="none" w:sz="0" w:space="0" w:color="auto"/>
        <w:right w:val="none" w:sz="0" w:space="0" w:color="auto"/>
      </w:divBdr>
    </w:div>
    <w:div w:id="72239800">
      <w:bodyDiv w:val="1"/>
      <w:marLeft w:val="0"/>
      <w:marRight w:val="0"/>
      <w:marTop w:val="0"/>
      <w:marBottom w:val="0"/>
      <w:divBdr>
        <w:top w:val="none" w:sz="0" w:space="0" w:color="auto"/>
        <w:left w:val="none" w:sz="0" w:space="0" w:color="auto"/>
        <w:bottom w:val="none" w:sz="0" w:space="0" w:color="auto"/>
        <w:right w:val="none" w:sz="0" w:space="0" w:color="auto"/>
      </w:divBdr>
    </w:div>
    <w:div w:id="83234731">
      <w:bodyDiv w:val="1"/>
      <w:marLeft w:val="0"/>
      <w:marRight w:val="0"/>
      <w:marTop w:val="0"/>
      <w:marBottom w:val="0"/>
      <w:divBdr>
        <w:top w:val="none" w:sz="0" w:space="0" w:color="auto"/>
        <w:left w:val="none" w:sz="0" w:space="0" w:color="auto"/>
        <w:bottom w:val="none" w:sz="0" w:space="0" w:color="auto"/>
        <w:right w:val="none" w:sz="0" w:space="0" w:color="auto"/>
      </w:divBdr>
    </w:div>
    <w:div w:id="119737611">
      <w:bodyDiv w:val="1"/>
      <w:marLeft w:val="0"/>
      <w:marRight w:val="0"/>
      <w:marTop w:val="0"/>
      <w:marBottom w:val="0"/>
      <w:divBdr>
        <w:top w:val="none" w:sz="0" w:space="0" w:color="auto"/>
        <w:left w:val="none" w:sz="0" w:space="0" w:color="auto"/>
        <w:bottom w:val="none" w:sz="0" w:space="0" w:color="auto"/>
        <w:right w:val="none" w:sz="0" w:space="0" w:color="auto"/>
      </w:divBdr>
    </w:div>
    <w:div w:id="131295136">
      <w:bodyDiv w:val="1"/>
      <w:marLeft w:val="0"/>
      <w:marRight w:val="0"/>
      <w:marTop w:val="0"/>
      <w:marBottom w:val="0"/>
      <w:divBdr>
        <w:top w:val="none" w:sz="0" w:space="0" w:color="auto"/>
        <w:left w:val="none" w:sz="0" w:space="0" w:color="auto"/>
        <w:bottom w:val="none" w:sz="0" w:space="0" w:color="auto"/>
        <w:right w:val="none" w:sz="0" w:space="0" w:color="auto"/>
      </w:divBdr>
    </w:div>
    <w:div w:id="136579256">
      <w:bodyDiv w:val="1"/>
      <w:marLeft w:val="0"/>
      <w:marRight w:val="0"/>
      <w:marTop w:val="0"/>
      <w:marBottom w:val="0"/>
      <w:divBdr>
        <w:top w:val="none" w:sz="0" w:space="0" w:color="auto"/>
        <w:left w:val="none" w:sz="0" w:space="0" w:color="auto"/>
        <w:bottom w:val="none" w:sz="0" w:space="0" w:color="auto"/>
        <w:right w:val="none" w:sz="0" w:space="0" w:color="auto"/>
      </w:divBdr>
    </w:div>
    <w:div w:id="158735321">
      <w:bodyDiv w:val="1"/>
      <w:marLeft w:val="0"/>
      <w:marRight w:val="0"/>
      <w:marTop w:val="0"/>
      <w:marBottom w:val="0"/>
      <w:divBdr>
        <w:top w:val="none" w:sz="0" w:space="0" w:color="auto"/>
        <w:left w:val="none" w:sz="0" w:space="0" w:color="auto"/>
        <w:bottom w:val="none" w:sz="0" w:space="0" w:color="auto"/>
        <w:right w:val="none" w:sz="0" w:space="0" w:color="auto"/>
      </w:divBdr>
    </w:div>
    <w:div w:id="166604443">
      <w:bodyDiv w:val="1"/>
      <w:marLeft w:val="0"/>
      <w:marRight w:val="0"/>
      <w:marTop w:val="0"/>
      <w:marBottom w:val="0"/>
      <w:divBdr>
        <w:top w:val="none" w:sz="0" w:space="0" w:color="auto"/>
        <w:left w:val="none" w:sz="0" w:space="0" w:color="auto"/>
        <w:bottom w:val="none" w:sz="0" w:space="0" w:color="auto"/>
        <w:right w:val="none" w:sz="0" w:space="0" w:color="auto"/>
      </w:divBdr>
    </w:div>
    <w:div w:id="179708521">
      <w:bodyDiv w:val="1"/>
      <w:marLeft w:val="0"/>
      <w:marRight w:val="0"/>
      <w:marTop w:val="0"/>
      <w:marBottom w:val="0"/>
      <w:divBdr>
        <w:top w:val="none" w:sz="0" w:space="0" w:color="auto"/>
        <w:left w:val="none" w:sz="0" w:space="0" w:color="auto"/>
        <w:bottom w:val="none" w:sz="0" w:space="0" w:color="auto"/>
        <w:right w:val="none" w:sz="0" w:space="0" w:color="auto"/>
      </w:divBdr>
    </w:div>
    <w:div w:id="210919178">
      <w:bodyDiv w:val="1"/>
      <w:marLeft w:val="0"/>
      <w:marRight w:val="0"/>
      <w:marTop w:val="0"/>
      <w:marBottom w:val="0"/>
      <w:divBdr>
        <w:top w:val="none" w:sz="0" w:space="0" w:color="auto"/>
        <w:left w:val="none" w:sz="0" w:space="0" w:color="auto"/>
        <w:bottom w:val="none" w:sz="0" w:space="0" w:color="auto"/>
        <w:right w:val="none" w:sz="0" w:space="0" w:color="auto"/>
      </w:divBdr>
    </w:div>
    <w:div w:id="247735766">
      <w:bodyDiv w:val="1"/>
      <w:marLeft w:val="0"/>
      <w:marRight w:val="0"/>
      <w:marTop w:val="0"/>
      <w:marBottom w:val="0"/>
      <w:divBdr>
        <w:top w:val="none" w:sz="0" w:space="0" w:color="auto"/>
        <w:left w:val="none" w:sz="0" w:space="0" w:color="auto"/>
        <w:bottom w:val="none" w:sz="0" w:space="0" w:color="auto"/>
        <w:right w:val="none" w:sz="0" w:space="0" w:color="auto"/>
      </w:divBdr>
    </w:div>
    <w:div w:id="266432675">
      <w:bodyDiv w:val="1"/>
      <w:marLeft w:val="0"/>
      <w:marRight w:val="0"/>
      <w:marTop w:val="0"/>
      <w:marBottom w:val="0"/>
      <w:divBdr>
        <w:top w:val="none" w:sz="0" w:space="0" w:color="auto"/>
        <w:left w:val="none" w:sz="0" w:space="0" w:color="auto"/>
        <w:bottom w:val="none" w:sz="0" w:space="0" w:color="auto"/>
        <w:right w:val="none" w:sz="0" w:space="0" w:color="auto"/>
      </w:divBdr>
    </w:div>
    <w:div w:id="273948437">
      <w:bodyDiv w:val="1"/>
      <w:marLeft w:val="0"/>
      <w:marRight w:val="0"/>
      <w:marTop w:val="0"/>
      <w:marBottom w:val="0"/>
      <w:divBdr>
        <w:top w:val="none" w:sz="0" w:space="0" w:color="auto"/>
        <w:left w:val="none" w:sz="0" w:space="0" w:color="auto"/>
        <w:bottom w:val="none" w:sz="0" w:space="0" w:color="auto"/>
        <w:right w:val="none" w:sz="0" w:space="0" w:color="auto"/>
      </w:divBdr>
    </w:div>
    <w:div w:id="283123882">
      <w:bodyDiv w:val="1"/>
      <w:marLeft w:val="0"/>
      <w:marRight w:val="0"/>
      <w:marTop w:val="0"/>
      <w:marBottom w:val="0"/>
      <w:divBdr>
        <w:top w:val="none" w:sz="0" w:space="0" w:color="auto"/>
        <w:left w:val="none" w:sz="0" w:space="0" w:color="auto"/>
        <w:bottom w:val="none" w:sz="0" w:space="0" w:color="auto"/>
        <w:right w:val="none" w:sz="0" w:space="0" w:color="auto"/>
      </w:divBdr>
    </w:div>
    <w:div w:id="287441415">
      <w:bodyDiv w:val="1"/>
      <w:marLeft w:val="0"/>
      <w:marRight w:val="0"/>
      <w:marTop w:val="0"/>
      <w:marBottom w:val="0"/>
      <w:divBdr>
        <w:top w:val="none" w:sz="0" w:space="0" w:color="auto"/>
        <w:left w:val="none" w:sz="0" w:space="0" w:color="auto"/>
        <w:bottom w:val="none" w:sz="0" w:space="0" w:color="auto"/>
        <w:right w:val="none" w:sz="0" w:space="0" w:color="auto"/>
      </w:divBdr>
    </w:div>
    <w:div w:id="289091812">
      <w:bodyDiv w:val="1"/>
      <w:marLeft w:val="0"/>
      <w:marRight w:val="0"/>
      <w:marTop w:val="0"/>
      <w:marBottom w:val="0"/>
      <w:divBdr>
        <w:top w:val="none" w:sz="0" w:space="0" w:color="auto"/>
        <w:left w:val="none" w:sz="0" w:space="0" w:color="auto"/>
        <w:bottom w:val="none" w:sz="0" w:space="0" w:color="auto"/>
        <w:right w:val="none" w:sz="0" w:space="0" w:color="auto"/>
      </w:divBdr>
    </w:div>
    <w:div w:id="313026990">
      <w:bodyDiv w:val="1"/>
      <w:marLeft w:val="0"/>
      <w:marRight w:val="0"/>
      <w:marTop w:val="0"/>
      <w:marBottom w:val="0"/>
      <w:divBdr>
        <w:top w:val="none" w:sz="0" w:space="0" w:color="auto"/>
        <w:left w:val="none" w:sz="0" w:space="0" w:color="auto"/>
        <w:bottom w:val="none" w:sz="0" w:space="0" w:color="auto"/>
        <w:right w:val="none" w:sz="0" w:space="0" w:color="auto"/>
      </w:divBdr>
    </w:div>
    <w:div w:id="318340507">
      <w:bodyDiv w:val="1"/>
      <w:marLeft w:val="0"/>
      <w:marRight w:val="0"/>
      <w:marTop w:val="0"/>
      <w:marBottom w:val="0"/>
      <w:divBdr>
        <w:top w:val="none" w:sz="0" w:space="0" w:color="auto"/>
        <w:left w:val="none" w:sz="0" w:space="0" w:color="auto"/>
        <w:bottom w:val="none" w:sz="0" w:space="0" w:color="auto"/>
        <w:right w:val="none" w:sz="0" w:space="0" w:color="auto"/>
      </w:divBdr>
    </w:div>
    <w:div w:id="322247867">
      <w:bodyDiv w:val="1"/>
      <w:marLeft w:val="0"/>
      <w:marRight w:val="0"/>
      <w:marTop w:val="0"/>
      <w:marBottom w:val="0"/>
      <w:divBdr>
        <w:top w:val="none" w:sz="0" w:space="0" w:color="auto"/>
        <w:left w:val="none" w:sz="0" w:space="0" w:color="auto"/>
        <w:bottom w:val="none" w:sz="0" w:space="0" w:color="auto"/>
        <w:right w:val="none" w:sz="0" w:space="0" w:color="auto"/>
      </w:divBdr>
    </w:div>
    <w:div w:id="335159503">
      <w:bodyDiv w:val="1"/>
      <w:marLeft w:val="0"/>
      <w:marRight w:val="0"/>
      <w:marTop w:val="0"/>
      <w:marBottom w:val="0"/>
      <w:divBdr>
        <w:top w:val="none" w:sz="0" w:space="0" w:color="auto"/>
        <w:left w:val="none" w:sz="0" w:space="0" w:color="auto"/>
        <w:bottom w:val="none" w:sz="0" w:space="0" w:color="auto"/>
        <w:right w:val="none" w:sz="0" w:space="0" w:color="auto"/>
      </w:divBdr>
    </w:div>
    <w:div w:id="342710848">
      <w:bodyDiv w:val="1"/>
      <w:marLeft w:val="0"/>
      <w:marRight w:val="0"/>
      <w:marTop w:val="0"/>
      <w:marBottom w:val="0"/>
      <w:divBdr>
        <w:top w:val="none" w:sz="0" w:space="0" w:color="auto"/>
        <w:left w:val="none" w:sz="0" w:space="0" w:color="auto"/>
        <w:bottom w:val="none" w:sz="0" w:space="0" w:color="auto"/>
        <w:right w:val="none" w:sz="0" w:space="0" w:color="auto"/>
      </w:divBdr>
    </w:div>
    <w:div w:id="342824714">
      <w:bodyDiv w:val="1"/>
      <w:marLeft w:val="0"/>
      <w:marRight w:val="0"/>
      <w:marTop w:val="0"/>
      <w:marBottom w:val="0"/>
      <w:divBdr>
        <w:top w:val="none" w:sz="0" w:space="0" w:color="auto"/>
        <w:left w:val="none" w:sz="0" w:space="0" w:color="auto"/>
        <w:bottom w:val="none" w:sz="0" w:space="0" w:color="auto"/>
        <w:right w:val="none" w:sz="0" w:space="0" w:color="auto"/>
      </w:divBdr>
    </w:div>
    <w:div w:id="347173400">
      <w:bodyDiv w:val="1"/>
      <w:marLeft w:val="0"/>
      <w:marRight w:val="0"/>
      <w:marTop w:val="0"/>
      <w:marBottom w:val="0"/>
      <w:divBdr>
        <w:top w:val="none" w:sz="0" w:space="0" w:color="auto"/>
        <w:left w:val="none" w:sz="0" w:space="0" w:color="auto"/>
        <w:bottom w:val="none" w:sz="0" w:space="0" w:color="auto"/>
        <w:right w:val="none" w:sz="0" w:space="0" w:color="auto"/>
      </w:divBdr>
    </w:div>
    <w:div w:id="348290531">
      <w:bodyDiv w:val="1"/>
      <w:marLeft w:val="0"/>
      <w:marRight w:val="0"/>
      <w:marTop w:val="0"/>
      <w:marBottom w:val="0"/>
      <w:divBdr>
        <w:top w:val="none" w:sz="0" w:space="0" w:color="auto"/>
        <w:left w:val="none" w:sz="0" w:space="0" w:color="auto"/>
        <w:bottom w:val="none" w:sz="0" w:space="0" w:color="auto"/>
        <w:right w:val="none" w:sz="0" w:space="0" w:color="auto"/>
      </w:divBdr>
    </w:div>
    <w:div w:id="374157720">
      <w:bodyDiv w:val="1"/>
      <w:marLeft w:val="0"/>
      <w:marRight w:val="0"/>
      <w:marTop w:val="0"/>
      <w:marBottom w:val="0"/>
      <w:divBdr>
        <w:top w:val="none" w:sz="0" w:space="0" w:color="auto"/>
        <w:left w:val="none" w:sz="0" w:space="0" w:color="auto"/>
        <w:bottom w:val="none" w:sz="0" w:space="0" w:color="auto"/>
        <w:right w:val="none" w:sz="0" w:space="0" w:color="auto"/>
      </w:divBdr>
    </w:div>
    <w:div w:id="379403656">
      <w:bodyDiv w:val="1"/>
      <w:marLeft w:val="0"/>
      <w:marRight w:val="0"/>
      <w:marTop w:val="0"/>
      <w:marBottom w:val="0"/>
      <w:divBdr>
        <w:top w:val="none" w:sz="0" w:space="0" w:color="auto"/>
        <w:left w:val="none" w:sz="0" w:space="0" w:color="auto"/>
        <w:bottom w:val="none" w:sz="0" w:space="0" w:color="auto"/>
        <w:right w:val="none" w:sz="0" w:space="0" w:color="auto"/>
      </w:divBdr>
    </w:div>
    <w:div w:id="396822284">
      <w:bodyDiv w:val="1"/>
      <w:marLeft w:val="0"/>
      <w:marRight w:val="0"/>
      <w:marTop w:val="0"/>
      <w:marBottom w:val="0"/>
      <w:divBdr>
        <w:top w:val="none" w:sz="0" w:space="0" w:color="auto"/>
        <w:left w:val="none" w:sz="0" w:space="0" w:color="auto"/>
        <w:bottom w:val="none" w:sz="0" w:space="0" w:color="auto"/>
        <w:right w:val="none" w:sz="0" w:space="0" w:color="auto"/>
      </w:divBdr>
    </w:div>
    <w:div w:id="404114364">
      <w:bodyDiv w:val="1"/>
      <w:marLeft w:val="0"/>
      <w:marRight w:val="0"/>
      <w:marTop w:val="0"/>
      <w:marBottom w:val="0"/>
      <w:divBdr>
        <w:top w:val="none" w:sz="0" w:space="0" w:color="auto"/>
        <w:left w:val="none" w:sz="0" w:space="0" w:color="auto"/>
        <w:bottom w:val="none" w:sz="0" w:space="0" w:color="auto"/>
        <w:right w:val="none" w:sz="0" w:space="0" w:color="auto"/>
      </w:divBdr>
    </w:div>
    <w:div w:id="426736428">
      <w:bodyDiv w:val="1"/>
      <w:marLeft w:val="0"/>
      <w:marRight w:val="0"/>
      <w:marTop w:val="0"/>
      <w:marBottom w:val="0"/>
      <w:divBdr>
        <w:top w:val="none" w:sz="0" w:space="0" w:color="auto"/>
        <w:left w:val="none" w:sz="0" w:space="0" w:color="auto"/>
        <w:bottom w:val="none" w:sz="0" w:space="0" w:color="auto"/>
        <w:right w:val="none" w:sz="0" w:space="0" w:color="auto"/>
      </w:divBdr>
    </w:div>
    <w:div w:id="436171906">
      <w:bodyDiv w:val="1"/>
      <w:marLeft w:val="0"/>
      <w:marRight w:val="0"/>
      <w:marTop w:val="0"/>
      <w:marBottom w:val="0"/>
      <w:divBdr>
        <w:top w:val="none" w:sz="0" w:space="0" w:color="auto"/>
        <w:left w:val="none" w:sz="0" w:space="0" w:color="auto"/>
        <w:bottom w:val="none" w:sz="0" w:space="0" w:color="auto"/>
        <w:right w:val="none" w:sz="0" w:space="0" w:color="auto"/>
      </w:divBdr>
    </w:div>
    <w:div w:id="436214402">
      <w:bodyDiv w:val="1"/>
      <w:marLeft w:val="0"/>
      <w:marRight w:val="0"/>
      <w:marTop w:val="0"/>
      <w:marBottom w:val="0"/>
      <w:divBdr>
        <w:top w:val="none" w:sz="0" w:space="0" w:color="auto"/>
        <w:left w:val="none" w:sz="0" w:space="0" w:color="auto"/>
        <w:bottom w:val="none" w:sz="0" w:space="0" w:color="auto"/>
        <w:right w:val="none" w:sz="0" w:space="0" w:color="auto"/>
      </w:divBdr>
    </w:div>
    <w:div w:id="437411556">
      <w:bodyDiv w:val="1"/>
      <w:marLeft w:val="0"/>
      <w:marRight w:val="0"/>
      <w:marTop w:val="0"/>
      <w:marBottom w:val="0"/>
      <w:divBdr>
        <w:top w:val="none" w:sz="0" w:space="0" w:color="auto"/>
        <w:left w:val="none" w:sz="0" w:space="0" w:color="auto"/>
        <w:bottom w:val="none" w:sz="0" w:space="0" w:color="auto"/>
        <w:right w:val="none" w:sz="0" w:space="0" w:color="auto"/>
      </w:divBdr>
    </w:div>
    <w:div w:id="441807336">
      <w:bodyDiv w:val="1"/>
      <w:marLeft w:val="0"/>
      <w:marRight w:val="0"/>
      <w:marTop w:val="0"/>
      <w:marBottom w:val="0"/>
      <w:divBdr>
        <w:top w:val="none" w:sz="0" w:space="0" w:color="auto"/>
        <w:left w:val="none" w:sz="0" w:space="0" w:color="auto"/>
        <w:bottom w:val="none" w:sz="0" w:space="0" w:color="auto"/>
        <w:right w:val="none" w:sz="0" w:space="0" w:color="auto"/>
      </w:divBdr>
    </w:div>
    <w:div w:id="472528907">
      <w:bodyDiv w:val="1"/>
      <w:marLeft w:val="0"/>
      <w:marRight w:val="0"/>
      <w:marTop w:val="0"/>
      <w:marBottom w:val="0"/>
      <w:divBdr>
        <w:top w:val="none" w:sz="0" w:space="0" w:color="auto"/>
        <w:left w:val="none" w:sz="0" w:space="0" w:color="auto"/>
        <w:bottom w:val="none" w:sz="0" w:space="0" w:color="auto"/>
        <w:right w:val="none" w:sz="0" w:space="0" w:color="auto"/>
      </w:divBdr>
    </w:div>
    <w:div w:id="477959577">
      <w:bodyDiv w:val="1"/>
      <w:marLeft w:val="0"/>
      <w:marRight w:val="0"/>
      <w:marTop w:val="0"/>
      <w:marBottom w:val="0"/>
      <w:divBdr>
        <w:top w:val="none" w:sz="0" w:space="0" w:color="auto"/>
        <w:left w:val="none" w:sz="0" w:space="0" w:color="auto"/>
        <w:bottom w:val="none" w:sz="0" w:space="0" w:color="auto"/>
        <w:right w:val="none" w:sz="0" w:space="0" w:color="auto"/>
      </w:divBdr>
    </w:div>
    <w:div w:id="490756518">
      <w:bodyDiv w:val="1"/>
      <w:marLeft w:val="0"/>
      <w:marRight w:val="0"/>
      <w:marTop w:val="0"/>
      <w:marBottom w:val="0"/>
      <w:divBdr>
        <w:top w:val="none" w:sz="0" w:space="0" w:color="auto"/>
        <w:left w:val="none" w:sz="0" w:space="0" w:color="auto"/>
        <w:bottom w:val="none" w:sz="0" w:space="0" w:color="auto"/>
        <w:right w:val="none" w:sz="0" w:space="0" w:color="auto"/>
      </w:divBdr>
    </w:div>
    <w:div w:id="499469865">
      <w:bodyDiv w:val="1"/>
      <w:marLeft w:val="0"/>
      <w:marRight w:val="0"/>
      <w:marTop w:val="0"/>
      <w:marBottom w:val="0"/>
      <w:divBdr>
        <w:top w:val="none" w:sz="0" w:space="0" w:color="auto"/>
        <w:left w:val="none" w:sz="0" w:space="0" w:color="auto"/>
        <w:bottom w:val="none" w:sz="0" w:space="0" w:color="auto"/>
        <w:right w:val="none" w:sz="0" w:space="0" w:color="auto"/>
      </w:divBdr>
    </w:div>
    <w:div w:id="499855699">
      <w:bodyDiv w:val="1"/>
      <w:marLeft w:val="0"/>
      <w:marRight w:val="0"/>
      <w:marTop w:val="0"/>
      <w:marBottom w:val="0"/>
      <w:divBdr>
        <w:top w:val="none" w:sz="0" w:space="0" w:color="auto"/>
        <w:left w:val="none" w:sz="0" w:space="0" w:color="auto"/>
        <w:bottom w:val="none" w:sz="0" w:space="0" w:color="auto"/>
        <w:right w:val="none" w:sz="0" w:space="0" w:color="auto"/>
      </w:divBdr>
    </w:div>
    <w:div w:id="519587965">
      <w:bodyDiv w:val="1"/>
      <w:marLeft w:val="0"/>
      <w:marRight w:val="0"/>
      <w:marTop w:val="0"/>
      <w:marBottom w:val="0"/>
      <w:divBdr>
        <w:top w:val="none" w:sz="0" w:space="0" w:color="auto"/>
        <w:left w:val="none" w:sz="0" w:space="0" w:color="auto"/>
        <w:bottom w:val="none" w:sz="0" w:space="0" w:color="auto"/>
        <w:right w:val="none" w:sz="0" w:space="0" w:color="auto"/>
      </w:divBdr>
    </w:div>
    <w:div w:id="527716901">
      <w:bodyDiv w:val="1"/>
      <w:marLeft w:val="0"/>
      <w:marRight w:val="0"/>
      <w:marTop w:val="0"/>
      <w:marBottom w:val="0"/>
      <w:divBdr>
        <w:top w:val="none" w:sz="0" w:space="0" w:color="auto"/>
        <w:left w:val="none" w:sz="0" w:space="0" w:color="auto"/>
        <w:bottom w:val="none" w:sz="0" w:space="0" w:color="auto"/>
        <w:right w:val="none" w:sz="0" w:space="0" w:color="auto"/>
      </w:divBdr>
    </w:div>
    <w:div w:id="533152282">
      <w:bodyDiv w:val="1"/>
      <w:marLeft w:val="0"/>
      <w:marRight w:val="0"/>
      <w:marTop w:val="0"/>
      <w:marBottom w:val="0"/>
      <w:divBdr>
        <w:top w:val="none" w:sz="0" w:space="0" w:color="auto"/>
        <w:left w:val="none" w:sz="0" w:space="0" w:color="auto"/>
        <w:bottom w:val="none" w:sz="0" w:space="0" w:color="auto"/>
        <w:right w:val="none" w:sz="0" w:space="0" w:color="auto"/>
      </w:divBdr>
    </w:div>
    <w:div w:id="533887794">
      <w:bodyDiv w:val="1"/>
      <w:marLeft w:val="0"/>
      <w:marRight w:val="0"/>
      <w:marTop w:val="0"/>
      <w:marBottom w:val="0"/>
      <w:divBdr>
        <w:top w:val="none" w:sz="0" w:space="0" w:color="auto"/>
        <w:left w:val="none" w:sz="0" w:space="0" w:color="auto"/>
        <w:bottom w:val="none" w:sz="0" w:space="0" w:color="auto"/>
        <w:right w:val="none" w:sz="0" w:space="0" w:color="auto"/>
      </w:divBdr>
    </w:div>
    <w:div w:id="563218341">
      <w:bodyDiv w:val="1"/>
      <w:marLeft w:val="0"/>
      <w:marRight w:val="0"/>
      <w:marTop w:val="0"/>
      <w:marBottom w:val="0"/>
      <w:divBdr>
        <w:top w:val="none" w:sz="0" w:space="0" w:color="auto"/>
        <w:left w:val="none" w:sz="0" w:space="0" w:color="auto"/>
        <w:bottom w:val="none" w:sz="0" w:space="0" w:color="auto"/>
        <w:right w:val="none" w:sz="0" w:space="0" w:color="auto"/>
      </w:divBdr>
    </w:div>
    <w:div w:id="568419401">
      <w:bodyDiv w:val="1"/>
      <w:marLeft w:val="0"/>
      <w:marRight w:val="0"/>
      <w:marTop w:val="0"/>
      <w:marBottom w:val="0"/>
      <w:divBdr>
        <w:top w:val="none" w:sz="0" w:space="0" w:color="auto"/>
        <w:left w:val="none" w:sz="0" w:space="0" w:color="auto"/>
        <w:bottom w:val="none" w:sz="0" w:space="0" w:color="auto"/>
        <w:right w:val="none" w:sz="0" w:space="0" w:color="auto"/>
      </w:divBdr>
    </w:div>
    <w:div w:id="582178299">
      <w:bodyDiv w:val="1"/>
      <w:marLeft w:val="0"/>
      <w:marRight w:val="0"/>
      <w:marTop w:val="0"/>
      <w:marBottom w:val="0"/>
      <w:divBdr>
        <w:top w:val="none" w:sz="0" w:space="0" w:color="auto"/>
        <w:left w:val="none" w:sz="0" w:space="0" w:color="auto"/>
        <w:bottom w:val="none" w:sz="0" w:space="0" w:color="auto"/>
        <w:right w:val="none" w:sz="0" w:space="0" w:color="auto"/>
      </w:divBdr>
    </w:div>
    <w:div w:id="602957061">
      <w:bodyDiv w:val="1"/>
      <w:marLeft w:val="0"/>
      <w:marRight w:val="0"/>
      <w:marTop w:val="0"/>
      <w:marBottom w:val="0"/>
      <w:divBdr>
        <w:top w:val="none" w:sz="0" w:space="0" w:color="auto"/>
        <w:left w:val="none" w:sz="0" w:space="0" w:color="auto"/>
        <w:bottom w:val="none" w:sz="0" w:space="0" w:color="auto"/>
        <w:right w:val="none" w:sz="0" w:space="0" w:color="auto"/>
      </w:divBdr>
    </w:div>
    <w:div w:id="605964629">
      <w:bodyDiv w:val="1"/>
      <w:marLeft w:val="0"/>
      <w:marRight w:val="0"/>
      <w:marTop w:val="0"/>
      <w:marBottom w:val="0"/>
      <w:divBdr>
        <w:top w:val="none" w:sz="0" w:space="0" w:color="auto"/>
        <w:left w:val="none" w:sz="0" w:space="0" w:color="auto"/>
        <w:bottom w:val="none" w:sz="0" w:space="0" w:color="auto"/>
        <w:right w:val="none" w:sz="0" w:space="0" w:color="auto"/>
      </w:divBdr>
    </w:div>
    <w:div w:id="656031136">
      <w:bodyDiv w:val="1"/>
      <w:marLeft w:val="0"/>
      <w:marRight w:val="0"/>
      <w:marTop w:val="0"/>
      <w:marBottom w:val="0"/>
      <w:divBdr>
        <w:top w:val="none" w:sz="0" w:space="0" w:color="auto"/>
        <w:left w:val="none" w:sz="0" w:space="0" w:color="auto"/>
        <w:bottom w:val="none" w:sz="0" w:space="0" w:color="auto"/>
        <w:right w:val="none" w:sz="0" w:space="0" w:color="auto"/>
      </w:divBdr>
    </w:div>
    <w:div w:id="660085266">
      <w:bodyDiv w:val="1"/>
      <w:marLeft w:val="0"/>
      <w:marRight w:val="0"/>
      <w:marTop w:val="0"/>
      <w:marBottom w:val="0"/>
      <w:divBdr>
        <w:top w:val="none" w:sz="0" w:space="0" w:color="auto"/>
        <w:left w:val="none" w:sz="0" w:space="0" w:color="auto"/>
        <w:bottom w:val="none" w:sz="0" w:space="0" w:color="auto"/>
        <w:right w:val="none" w:sz="0" w:space="0" w:color="auto"/>
      </w:divBdr>
    </w:div>
    <w:div w:id="667177737">
      <w:bodyDiv w:val="1"/>
      <w:marLeft w:val="0"/>
      <w:marRight w:val="0"/>
      <w:marTop w:val="0"/>
      <w:marBottom w:val="0"/>
      <w:divBdr>
        <w:top w:val="none" w:sz="0" w:space="0" w:color="auto"/>
        <w:left w:val="none" w:sz="0" w:space="0" w:color="auto"/>
        <w:bottom w:val="none" w:sz="0" w:space="0" w:color="auto"/>
        <w:right w:val="none" w:sz="0" w:space="0" w:color="auto"/>
      </w:divBdr>
    </w:div>
    <w:div w:id="687294897">
      <w:bodyDiv w:val="1"/>
      <w:marLeft w:val="0"/>
      <w:marRight w:val="0"/>
      <w:marTop w:val="0"/>
      <w:marBottom w:val="0"/>
      <w:divBdr>
        <w:top w:val="none" w:sz="0" w:space="0" w:color="auto"/>
        <w:left w:val="none" w:sz="0" w:space="0" w:color="auto"/>
        <w:bottom w:val="none" w:sz="0" w:space="0" w:color="auto"/>
        <w:right w:val="none" w:sz="0" w:space="0" w:color="auto"/>
      </w:divBdr>
    </w:div>
    <w:div w:id="711150460">
      <w:bodyDiv w:val="1"/>
      <w:marLeft w:val="0"/>
      <w:marRight w:val="0"/>
      <w:marTop w:val="0"/>
      <w:marBottom w:val="0"/>
      <w:divBdr>
        <w:top w:val="none" w:sz="0" w:space="0" w:color="auto"/>
        <w:left w:val="none" w:sz="0" w:space="0" w:color="auto"/>
        <w:bottom w:val="none" w:sz="0" w:space="0" w:color="auto"/>
        <w:right w:val="none" w:sz="0" w:space="0" w:color="auto"/>
      </w:divBdr>
    </w:div>
    <w:div w:id="717508555">
      <w:bodyDiv w:val="1"/>
      <w:marLeft w:val="0"/>
      <w:marRight w:val="0"/>
      <w:marTop w:val="0"/>
      <w:marBottom w:val="0"/>
      <w:divBdr>
        <w:top w:val="none" w:sz="0" w:space="0" w:color="auto"/>
        <w:left w:val="none" w:sz="0" w:space="0" w:color="auto"/>
        <w:bottom w:val="none" w:sz="0" w:space="0" w:color="auto"/>
        <w:right w:val="none" w:sz="0" w:space="0" w:color="auto"/>
      </w:divBdr>
    </w:div>
    <w:div w:id="730076599">
      <w:bodyDiv w:val="1"/>
      <w:marLeft w:val="0"/>
      <w:marRight w:val="0"/>
      <w:marTop w:val="0"/>
      <w:marBottom w:val="0"/>
      <w:divBdr>
        <w:top w:val="none" w:sz="0" w:space="0" w:color="auto"/>
        <w:left w:val="none" w:sz="0" w:space="0" w:color="auto"/>
        <w:bottom w:val="none" w:sz="0" w:space="0" w:color="auto"/>
        <w:right w:val="none" w:sz="0" w:space="0" w:color="auto"/>
      </w:divBdr>
    </w:div>
    <w:div w:id="748040100">
      <w:bodyDiv w:val="1"/>
      <w:marLeft w:val="0"/>
      <w:marRight w:val="0"/>
      <w:marTop w:val="0"/>
      <w:marBottom w:val="0"/>
      <w:divBdr>
        <w:top w:val="none" w:sz="0" w:space="0" w:color="auto"/>
        <w:left w:val="none" w:sz="0" w:space="0" w:color="auto"/>
        <w:bottom w:val="none" w:sz="0" w:space="0" w:color="auto"/>
        <w:right w:val="none" w:sz="0" w:space="0" w:color="auto"/>
      </w:divBdr>
    </w:div>
    <w:div w:id="751124236">
      <w:bodyDiv w:val="1"/>
      <w:marLeft w:val="0"/>
      <w:marRight w:val="0"/>
      <w:marTop w:val="0"/>
      <w:marBottom w:val="0"/>
      <w:divBdr>
        <w:top w:val="none" w:sz="0" w:space="0" w:color="auto"/>
        <w:left w:val="none" w:sz="0" w:space="0" w:color="auto"/>
        <w:bottom w:val="none" w:sz="0" w:space="0" w:color="auto"/>
        <w:right w:val="none" w:sz="0" w:space="0" w:color="auto"/>
      </w:divBdr>
    </w:div>
    <w:div w:id="751659987">
      <w:bodyDiv w:val="1"/>
      <w:marLeft w:val="0"/>
      <w:marRight w:val="0"/>
      <w:marTop w:val="0"/>
      <w:marBottom w:val="0"/>
      <w:divBdr>
        <w:top w:val="none" w:sz="0" w:space="0" w:color="auto"/>
        <w:left w:val="none" w:sz="0" w:space="0" w:color="auto"/>
        <w:bottom w:val="none" w:sz="0" w:space="0" w:color="auto"/>
        <w:right w:val="none" w:sz="0" w:space="0" w:color="auto"/>
      </w:divBdr>
    </w:div>
    <w:div w:id="757291127">
      <w:bodyDiv w:val="1"/>
      <w:marLeft w:val="0"/>
      <w:marRight w:val="0"/>
      <w:marTop w:val="0"/>
      <w:marBottom w:val="0"/>
      <w:divBdr>
        <w:top w:val="none" w:sz="0" w:space="0" w:color="auto"/>
        <w:left w:val="none" w:sz="0" w:space="0" w:color="auto"/>
        <w:bottom w:val="none" w:sz="0" w:space="0" w:color="auto"/>
        <w:right w:val="none" w:sz="0" w:space="0" w:color="auto"/>
      </w:divBdr>
    </w:div>
    <w:div w:id="771046368">
      <w:bodyDiv w:val="1"/>
      <w:marLeft w:val="0"/>
      <w:marRight w:val="0"/>
      <w:marTop w:val="0"/>
      <w:marBottom w:val="0"/>
      <w:divBdr>
        <w:top w:val="none" w:sz="0" w:space="0" w:color="auto"/>
        <w:left w:val="none" w:sz="0" w:space="0" w:color="auto"/>
        <w:bottom w:val="none" w:sz="0" w:space="0" w:color="auto"/>
        <w:right w:val="none" w:sz="0" w:space="0" w:color="auto"/>
      </w:divBdr>
    </w:div>
    <w:div w:id="774403066">
      <w:bodyDiv w:val="1"/>
      <w:marLeft w:val="0"/>
      <w:marRight w:val="0"/>
      <w:marTop w:val="0"/>
      <w:marBottom w:val="0"/>
      <w:divBdr>
        <w:top w:val="none" w:sz="0" w:space="0" w:color="auto"/>
        <w:left w:val="none" w:sz="0" w:space="0" w:color="auto"/>
        <w:bottom w:val="none" w:sz="0" w:space="0" w:color="auto"/>
        <w:right w:val="none" w:sz="0" w:space="0" w:color="auto"/>
      </w:divBdr>
    </w:div>
    <w:div w:id="808475472">
      <w:bodyDiv w:val="1"/>
      <w:marLeft w:val="0"/>
      <w:marRight w:val="0"/>
      <w:marTop w:val="0"/>
      <w:marBottom w:val="0"/>
      <w:divBdr>
        <w:top w:val="none" w:sz="0" w:space="0" w:color="auto"/>
        <w:left w:val="none" w:sz="0" w:space="0" w:color="auto"/>
        <w:bottom w:val="none" w:sz="0" w:space="0" w:color="auto"/>
        <w:right w:val="none" w:sz="0" w:space="0" w:color="auto"/>
      </w:divBdr>
    </w:div>
    <w:div w:id="863712801">
      <w:bodyDiv w:val="1"/>
      <w:marLeft w:val="0"/>
      <w:marRight w:val="0"/>
      <w:marTop w:val="0"/>
      <w:marBottom w:val="0"/>
      <w:divBdr>
        <w:top w:val="none" w:sz="0" w:space="0" w:color="auto"/>
        <w:left w:val="none" w:sz="0" w:space="0" w:color="auto"/>
        <w:bottom w:val="none" w:sz="0" w:space="0" w:color="auto"/>
        <w:right w:val="none" w:sz="0" w:space="0" w:color="auto"/>
      </w:divBdr>
    </w:div>
    <w:div w:id="866141471">
      <w:bodyDiv w:val="1"/>
      <w:marLeft w:val="0"/>
      <w:marRight w:val="0"/>
      <w:marTop w:val="0"/>
      <w:marBottom w:val="0"/>
      <w:divBdr>
        <w:top w:val="none" w:sz="0" w:space="0" w:color="auto"/>
        <w:left w:val="none" w:sz="0" w:space="0" w:color="auto"/>
        <w:bottom w:val="none" w:sz="0" w:space="0" w:color="auto"/>
        <w:right w:val="none" w:sz="0" w:space="0" w:color="auto"/>
      </w:divBdr>
    </w:div>
    <w:div w:id="883712458">
      <w:bodyDiv w:val="1"/>
      <w:marLeft w:val="0"/>
      <w:marRight w:val="0"/>
      <w:marTop w:val="0"/>
      <w:marBottom w:val="0"/>
      <w:divBdr>
        <w:top w:val="none" w:sz="0" w:space="0" w:color="auto"/>
        <w:left w:val="none" w:sz="0" w:space="0" w:color="auto"/>
        <w:bottom w:val="none" w:sz="0" w:space="0" w:color="auto"/>
        <w:right w:val="none" w:sz="0" w:space="0" w:color="auto"/>
      </w:divBdr>
    </w:div>
    <w:div w:id="892733047">
      <w:bodyDiv w:val="1"/>
      <w:marLeft w:val="0"/>
      <w:marRight w:val="0"/>
      <w:marTop w:val="0"/>
      <w:marBottom w:val="0"/>
      <w:divBdr>
        <w:top w:val="none" w:sz="0" w:space="0" w:color="auto"/>
        <w:left w:val="none" w:sz="0" w:space="0" w:color="auto"/>
        <w:bottom w:val="none" w:sz="0" w:space="0" w:color="auto"/>
        <w:right w:val="none" w:sz="0" w:space="0" w:color="auto"/>
      </w:divBdr>
    </w:div>
    <w:div w:id="911046595">
      <w:bodyDiv w:val="1"/>
      <w:marLeft w:val="0"/>
      <w:marRight w:val="0"/>
      <w:marTop w:val="0"/>
      <w:marBottom w:val="0"/>
      <w:divBdr>
        <w:top w:val="none" w:sz="0" w:space="0" w:color="auto"/>
        <w:left w:val="none" w:sz="0" w:space="0" w:color="auto"/>
        <w:bottom w:val="none" w:sz="0" w:space="0" w:color="auto"/>
        <w:right w:val="none" w:sz="0" w:space="0" w:color="auto"/>
      </w:divBdr>
    </w:div>
    <w:div w:id="911622186">
      <w:bodyDiv w:val="1"/>
      <w:marLeft w:val="0"/>
      <w:marRight w:val="0"/>
      <w:marTop w:val="0"/>
      <w:marBottom w:val="0"/>
      <w:divBdr>
        <w:top w:val="none" w:sz="0" w:space="0" w:color="auto"/>
        <w:left w:val="none" w:sz="0" w:space="0" w:color="auto"/>
        <w:bottom w:val="none" w:sz="0" w:space="0" w:color="auto"/>
        <w:right w:val="none" w:sz="0" w:space="0" w:color="auto"/>
      </w:divBdr>
    </w:div>
    <w:div w:id="917248202">
      <w:bodyDiv w:val="1"/>
      <w:marLeft w:val="0"/>
      <w:marRight w:val="0"/>
      <w:marTop w:val="0"/>
      <w:marBottom w:val="0"/>
      <w:divBdr>
        <w:top w:val="none" w:sz="0" w:space="0" w:color="auto"/>
        <w:left w:val="none" w:sz="0" w:space="0" w:color="auto"/>
        <w:bottom w:val="none" w:sz="0" w:space="0" w:color="auto"/>
        <w:right w:val="none" w:sz="0" w:space="0" w:color="auto"/>
      </w:divBdr>
    </w:div>
    <w:div w:id="921186446">
      <w:bodyDiv w:val="1"/>
      <w:marLeft w:val="0"/>
      <w:marRight w:val="0"/>
      <w:marTop w:val="0"/>
      <w:marBottom w:val="0"/>
      <w:divBdr>
        <w:top w:val="none" w:sz="0" w:space="0" w:color="auto"/>
        <w:left w:val="none" w:sz="0" w:space="0" w:color="auto"/>
        <w:bottom w:val="none" w:sz="0" w:space="0" w:color="auto"/>
        <w:right w:val="none" w:sz="0" w:space="0" w:color="auto"/>
      </w:divBdr>
    </w:div>
    <w:div w:id="946422075">
      <w:bodyDiv w:val="1"/>
      <w:marLeft w:val="0"/>
      <w:marRight w:val="0"/>
      <w:marTop w:val="0"/>
      <w:marBottom w:val="0"/>
      <w:divBdr>
        <w:top w:val="none" w:sz="0" w:space="0" w:color="auto"/>
        <w:left w:val="none" w:sz="0" w:space="0" w:color="auto"/>
        <w:bottom w:val="none" w:sz="0" w:space="0" w:color="auto"/>
        <w:right w:val="none" w:sz="0" w:space="0" w:color="auto"/>
      </w:divBdr>
    </w:div>
    <w:div w:id="966007605">
      <w:bodyDiv w:val="1"/>
      <w:marLeft w:val="0"/>
      <w:marRight w:val="0"/>
      <w:marTop w:val="0"/>
      <w:marBottom w:val="0"/>
      <w:divBdr>
        <w:top w:val="none" w:sz="0" w:space="0" w:color="auto"/>
        <w:left w:val="none" w:sz="0" w:space="0" w:color="auto"/>
        <w:bottom w:val="none" w:sz="0" w:space="0" w:color="auto"/>
        <w:right w:val="none" w:sz="0" w:space="0" w:color="auto"/>
      </w:divBdr>
    </w:div>
    <w:div w:id="970205614">
      <w:bodyDiv w:val="1"/>
      <w:marLeft w:val="0"/>
      <w:marRight w:val="0"/>
      <w:marTop w:val="0"/>
      <w:marBottom w:val="0"/>
      <w:divBdr>
        <w:top w:val="none" w:sz="0" w:space="0" w:color="auto"/>
        <w:left w:val="none" w:sz="0" w:space="0" w:color="auto"/>
        <w:bottom w:val="none" w:sz="0" w:space="0" w:color="auto"/>
        <w:right w:val="none" w:sz="0" w:space="0" w:color="auto"/>
      </w:divBdr>
    </w:div>
    <w:div w:id="1019622625">
      <w:bodyDiv w:val="1"/>
      <w:marLeft w:val="0"/>
      <w:marRight w:val="0"/>
      <w:marTop w:val="0"/>
      <w:marBottom w:val="0"/>
      <w:divBdr>
        <w:top w:val="none" w:sz="0" w:space="0" w:color="auto"/>
        <w:left w:val="none" w:sz="0" w:space="0" w:color="auto"/>
        <w:bottom w:val="none" w:sz="0" w:space="0" w:color="auto"/>
        <w:right w:val="none" w:sz="0" w:space="0" w:color="auto"/>
      </w:divBdr>
    </w:div>
    <w:div w:id="1025669071">
      <w:bodyDiv w:val="1"/>
      <w:marLeft w:val="0"/>
      <w:marRight w:val="0"/>
      <w:marTop w:val="0"/>
      <w:marBottom w:val="0"/>
      <w:divBdr>
        <w:top w:val="none" w:sz="0" w:space="0" w:color="auto"/>
        <w:left w:val="none" w:sz="0" w:space="0" w:color="auto"/>
        <w:bottom w:val="none" w:sz="0" w:space="0" w:color="auto"/>
        <w:right w:val="none" w:sz="0" w:space="0" w:color="auto"/>
      </w:divBdr>
    </w:div>
    <w:div w:id="1039664607">
      <w:bodyDiv w:val="1"/>
      <w:marLeft w:val="0"/>
      <w:marRight w:val="0"/>
      <w:marTop w:val="0"/>
      <w:marBottom w:val="0"/>
      <w:divBdr>
        <w:top w:val="none" w:sz="0" w:space="0" w:color="auto"/>
        <w:left w:val="none" w:sz="0" w:space="0" w:color="auto"/>
        <w:bottom w:val="none" w:sz="0" w:space="0" w:color="auto"/>
        <w:right w:val="none" w:sz="0" w:space="0" w:color="auto"/>
      </w:divBdr>
    </w:div>
    <w:div w:id="1047144393">
      <w:bodyDiv w:val="1"/>
      <w:marLeft w:val="0"/>
      <w:marRight w:val="0"/>
      <w:marTop w:val="0"/>
      <w:marBottom w:val="0"/>
      <w:divBdr>
        <w:top w:val="none" w:sz="0" w:space="0" w:color="auto"/>
        <w:left w:val="none" w:sz="0" w:space="0" w:color="auto"/>
        <w:bottom w:val="none" w:sz="0" w:space="0" w:color="auto"/>
        <w:right w:val="none" w:sz="0" w:space="0" w:color="auto"/>
      </w:divBdr>
    </w:div>
    <w:div w:id="1050686018">
      <w:bodyDiv w:val="1"/>
      <w:marLeft w:val="0"/>
      <w:marRight w:val="0"/>
      <w:marTop w:val="0"/>
      <w:marBottom w:val="0"/>
      <w:divBdr>
        <w:top w:val="none" w:sz="0" w:space="0" w:color="auto"/>
        <w:left w:val="none" w:sz="0" w:space="0" w:color="auto"/>
        <w:bottom w:val="none" w:sz="0" w:space="0" w:color="auto"/>
        <w:right w:val="none" w:sz="0" w:space="0" w:color="auto"/>
      </w:divBdr>
    </w:div>
    <w:div w:id="1063915564">
      <w:bodyDiv w:val="1"/>
      <w:marLeft w:val="0"/>
      <w:marRight w:val="0"/>
      <w:marTop w:val="0"/>
      <w:marBottom w:val="0"/>
      <w:divBdr>
        <w:top w:val="none" w:sz="0" w:space="0" w:color="auto"/>
        <w:left w:val="none" w:sz="0" w:space="0" w:color="auto"/>
        <w:bottom w:val="none" w:sz="0" w:space="0" w:color="auto"/>
        <w:right w:val="none" w:sz="0" w:space="0" w:color="auto"/>
      </w:divBdr>
    </w:div>
    <w:div w:id="1072894593">
      <w:bodyDiv w:val="1"/>
      <w:marLeft w:val="0"/>
      <w:marRight w:val="0"/>
      <w:marTop w:val="0"/>
      <w:marBottom w:val="0"/>
      <w:divBdr>
        <w:top w:val="none" w:sz="0" w:space="0" w:color="auto"/>
        <w:left w:val="none" w:sz="0" w:space="0" w:color="auto"/>
        <w:bottom w:val="none" w:sz="0" w:space="0" w:color="auto"/>
        <w:right w:val="none" w:sz="0" w:space="0" w:color="auto"/>
      </w:divBdr>
    </w:div>
    <w:div w:id="1075475485">
      <w:bodyDiv w:val="1"/>
      <w:marLeft w:val="0"/>
      <w:marRight w:val="0"/>
      <w:marTop w:val="0"/>
      <w:marBottom w:val="0"/>
      <w:divBdr>
        <w:top w:val="none" w:sz="0" w:space="0" w:color="auto"/>
        <w:left w:val="none" w:sz="0" w:space="0" w:color="auto"/>
        <w:bottom w:val="none" w:sz="0" w:space="0" w:color="auto"/>
        <w:right w:val="none" w:sz="0" w:space="0" w:color="auto"/>
      </w:divBdr>
    </w:div>
    <w:div w:id="1084180081">
      <w:bodyDiv w:val="1"/>
      <w:marLeft w:val="0"/>
      <w:marRight w:val="0"/>
      <w:marTop w:val="0"/>
      <w:marBottom w:val="0"/>
      <w:divBdr>
        <w:top w:val="none" w:sz="0" w:space="0" w:color="auto"/>
        <w:left w:val="none" w:sz="0" w:space="0" w:color="auto"/>
        <w:bottom w:val="none" w:sz="0" w:space="0" w:color="auto"/>
        <w:right w:val="none" w:sz="0" w:space="0" w:color="auto"/>
      </w:divBdr>
    </w:div>
    <w:div w:id="1099836577">
      <w:bodyDiv w:val="1"/>
      <w:marLeft w:val="0"/>
      <w:marRight w:val="0"/>
      <w:marTop w:val="0"/>
      <w:marBottom w:val="0"/>
      <w:divBdr>
        <w:top w:val="none" w:sz="0" w:space="0" w:color="auto"/>
        <w:left w:val="none" w:sz="0" w:space="0" w:color="auto"/>
        <w:bottom w:val="none" w:sz="0" w:space="0" w:color="auto"/>
        <w:right w:val="none" w:sz="0" w:space="0" w:color="auto"/>
      </w:divBdr>
    </w:div>
    <w:div w:id="1143158557">
      <w:bodyDiv w:val="1"/>
      <w:marLeft w:val="0"/>
      <w:marRight w:val="0"/>
      <w:marTop w:val="0"/>
      <w:marBottom w:val="0"/>
      <w:divBdr>
        <w:top w:val="none" w:sz="0" w:space="0" w:color="auto"/>
        <w:left w:val="none" w:sz="0" w:space="0" w:color="auto"/>
        <w:bottom w:val="none" w:sz="0" w:space="0" w:color="auto"/>
        <w:right w:val="none" w:sz="0" w:space="0" w:color="auto"/>
      </w:divBdr>
    </w:div>
    <w:div w:id="1153790993">
      <w:bodyDiv w:val="1"/>
      <w:marLeft w:val="0"/>
      <w:marRight w:val="0"/>
      <w:marTop w:val="0"/>
      <w:marBottom w:val="0"/>
      <w:divBdr>
        <w:top w:val="none" w:sz="0" w:space="0" w:color="auto"/>
        <w:left w:val="none" w:sz="0" w:space="0" w:color="auto"/>
        <w:bottom w:val="none" w:sz="0" w:space="0" w:color="auto"/>
        <w:right w:val="none" w:sz="0" w:space="0" w:color="auto"/>
      </w:divBdr>
    </w:div>
    <w:div w:id="1158887187">
      <w:bodyDiv w:val="1"/>
      <w:marLeft w:val="0"/>
      <w:marRight w:val="0"/>
      <w:marTop w:val="0"/>
      <w:marBottom w:val="0"/>
      <w:divBdr>
        <w:top w:val="none" w:sz="0" w:space="0" w:color="auto"/>
        <w:left w:val="none" w:sz="0" w:space="0" w:color="auto"/>
        <w:bottom w:val="none" w:sz="0" w:space="0" w:color="auto"/>
        <w:right w:val="none" w:sz="0" w:space="0" w:color="auto"/>
      </w:divBdr>
    </w:div>
    <w:div w:id="1168867048">
      <w:bodyDiv w:val="1"/>
      <w:marLeft w:val="0"/>
      <w:marRight w:val="0"/>
      <w:marTop w:val="0"/>
      <w:marBottom w:val="0"/>
      <w:divBdr>
        <w:top w:val="none" w:sz="0" w:space="0" w:color="auto"/>
        <w:left w:val="none" w:sz="0" w:space="0" w:color="auto"/>
        <w:bottom w:val="none" w:sz="0" w:space="0" w:color="auto"/>
        <w:right w:val="none" w:sz="0" w:space="0" w:color="auto"/>
      </w:divBdr>
    </w:div>
    <w:div w:id="1171602999">
      <w:bodyDiv w:val="1"/>
      <w:marLeft w:val="0"/>
      <w:marRight w:val="0"/>
      <w:marTop w:val="0"/>
      <w:marBottom w:val="0"/>
      <w:divBdr>
        <w:top w:val="none" w:sz="0" w:space="0" w:color="auto"/>
        <w:left w:val="none" w:sz="0" w:space="0" w:color="auto"/>
        <w:bottom w:val="none" w:sz="0" w:space="0" w:color="auto"/>
        <w:right w:val="none" w:sz="0" w:space="0" w:color="auto"/>
      </w:divBdr>
    </w:div>
    <w:div w:id="1172260203">
      <w:bodyDiv w:val="1"/>
      <w:marLeft w:val="0"/>
      <w:marRight w:val="0"/>
      <w:marTop w:val="0"/>
      <w:marBottom w:val="0"/>
      <w:divBdr>
        <w:top w:val="none" w:sz="0" w:space="0" w:color="auto"/>
        <w:left w:val="none" w:sz="0" w:space="0" w:color="auto"/>
        <w:bottom w:val="none" w:sz="0" w:space="0" w:color="auto"/>
        <w:right w:val="none" w:sz="0" w:space="0" w:color="auto"/>
      </w:divBdr>
    </w:div>
    <w:div w:id="1192844930">
      <w:bodyDiv w:val="1"/>
      <w:marLeft w:val="0"/>
      <w:marRight w:val="0"/>
      <w:marTop w:val="0"/>
      <w:marBottom w:val="0"/>
      <w:divBdr>
        <w:top w:val="none" w:sz="0" w:space="0" w:color="auto"/>
        <w:left w:val="none" w:sz="0" w:space="0" w:color="auto"/>
        <w:bottom w:val="none" w:sz="0" w:space="0" w:color="auto"/>
        <w:right w:val="none" w:sz="0" w:space="0" w:color="auto"/>
      </w:divBdr>
    </w:div>
    <w:div w:id="1209754952">
      <w:bodyDiv w:val="1"/>
      <w:marLeft w:val="0"/>
      <w:marRight w:val="0"/>
      <w:marTop w:val="0"/>
      <w:marBottom w:val="0"/>
      <w:divBdr>
        <w:top w:val="none" w:sz="0" w:space="0" w:color="auto"/>
        <w:left w:val="none" w:sz="0" w:space="0" w:color="auto"/>
        <w:bottom w:val="none" w:sz="0" w:space="0" w:color="auto"/>
        <w:right w:val="none" w:sz="0" w:space="0" w:color="auto"/>
      </w:divBdr>
    </w:div>
    <w:div w:id="1221790809">
      <w:bodyDiv w:val="1"/>
      <w:marLeft w:val="0"/>
      <w:marRight w:val="0"/>
      <w:marTop w:val="0"/>
      <w:marBottom w:val="0"/>
      <w:divBdr>
        <w:top w:val="none" w:sz="0" w:space="0" w:color="auto"/>
        <w:left w:val="none" w:sz="0" w:space="0" w:color="auto"/>
        <w:bottom w:val="none" w:sz="0" w:space="0" w:color="auto"/>
        <w:right w:val="none" w:sz="0" w:space="0" w:color="auto"/>
      </w:divBdr>
    </w:div>
    <w:div w:id="1222137417">
      <w:bodyDiv w:val="1"/>
      <w:marLeft w:val="0"/>
      <w:marRight w:val="0"/>
      <w:marTop w:val="0"/>
      <w:marBottom w:val="0"/>
      <w:divBdr>
        <w:top w:val="none" w:sz="0" w:space="0" w:color="auto"/>
        <w:left w:val="none" w:sz="0" w:space="0" w:color="auto"/>
        <w:bottom w:val="none" w:sz="0" w:space="0" w:color="auto"/>
        <w:right w:val="none" w:sz="0" w:space="0" w:color="auto"/>
      </w:divBdr>
    </w:div>
    <w:div w:id="1252543338">
      <w:bodyDiv w:val="1"/>
      <w:marLeft w:val="0"/>
      <w:marRight w:val="0"/>
      <w:marTop w:val="0"/>
      <w:marBottom w:val="0"/>
      <w:divBdr>
        <w:top w:val="none" w:sz="0" w:space="0" w:color="auto"/>
        <w:left w:val="none" w:sz="0" w:space="0" w:color="auto"/>
        <w:bottom w:val="none" w:sz="0" w:space="0" w:color="auto"/>
        <w:right w:val="none" w:sz="0" w:space="0" w:color="auto"/>
      </w:divBdr>
    </w:div>
    <w:div w:id="1274631768">
      <w:bodyDiv w:val="1"/>
      <w:marLeft w:val="0"/>
      <w:marRight w:val="0"/>
      <w:marTop w:val="0"/>
      <w:marBottom w:val="0"/>
      <w:divBdr>
        <w:top w:val="none" w:sz="0" w:space="0" w:color="auto"/>
        <w:left w:val="none" w:sz="0" w:space="0" w:color="auto"/>
        <w:bottom w:val="none" w:sz="0" w:space="0" w:color="auto"/>
        <w:right w:val="none" w:sz="0" w:space="0" w:color="auto"/>
      </w:divBdr>
    </w:div>
    <w:div w:id="1274750921">
      <w:bodyDiv w:val="1"/>
      <w:marLeft w:val="0"/>
      <w:marRight w:val="0"/>
      <w:marTop w:val="0"/>
      <w:marBottom w:val="0"/>
      <w:divBdr>
        <w:top w:val="none" w:sz="0" w:space="0" w:color="auto"/>
        <w:left w:val="none" w:sz="0" w:space="0" w:color="auto"/>
        <w:bottom w:val="none" w:sz="0" w:space="0" w:color="auto"/>
        <w:right w:val="none" w:sz="0" w:space="0" w:color="auto"/>
      </w:divBdr>
    </w:div>
    <w:div w:id="1288896794">
      <w:bodyDiv w:val="1"/>
      <w:marLeft w:val="0"/>
      <w:marRight w:val="0"/>
      <w:marTop w:val="0"/>
      <w:marBottom w:val="0"/>
      <w:divBdr>
        <w:top w:val="none" w:sz="0" w:space="0" w:color="auto"/>
        <w:left w:val="none" w:sz="0" w:space="0" w:color="auto"/>
        <w:bottom w:val="none" w:sz="0" w:space="0" w:color="auto"/>
        <w:right w:val="none" w:sz="0" w:space="0" w:color="auto"/>
      </w:divBdr>
    </w:div>
    <w:div w:id="1301228546">
      <w:bodyDiv w:val="1"/>
      <w:marLeft w:val="0"/>
      <w:marRight w:val="0"/>
      <w:marTop w:val="0"/>
      <w:marBottom w:val="0"/>
      <w:divBdr>
        <w:top w:val="none" w:sz="0" w:space="0" w:color="auto"/>
        <w:left w:val="none" w:sz="0" w:space="0" w:color="auto"/>
        <w:bottom w:val="none" w:sz="0" w:space="0" w:color="auto"/>
        <w:right w:val="none" w:sz="0" w:space="0" w:color="auto"/>
      </w:divBdr>
    </w:div>
    <w:div w:id="1310935957">
      <w:bodyDiv w:val="1"/>
      <w:marLeft w:val="0"/>
      <w:marRight w:val="0"/>
      <w:marTop w:val="0"/>
      <w:marBottom w:val="0"/>
      <w:divBdr>
        <w:top w:val="none" w:sz="0" w:space="0" w:color="auto"/>
        <w:left w:val="none" w:sz="0" w:space="0" w:color="auto"/>
        <w:bottom w:val="none" w:sz="0" w:space="0" w:color="auto"/>
        <w:right w:val="none" w:sz="0" w:space="0" w:color="auto"/>
      </w:divBdr>
    </w:div>
    <w:div w:id="1313411540">
      <w:bodyDiv w:val="1"/>
      <w:marLeft w:val="0"/>
      <w:marRight w:val="0"/>
      <w:marTop w:val="0"/>
      <w:marBottom w:val="0"/>
      <w:divBdr>
        <w:top w:val="none" w:sz="0" w:space="0" w:color="auto"/>
        <w:left w:val="none" w:sz="0" w:space="0" w:color="auto"/>
        <w:bottom w:val="none" w:sz="0" w:space="0" w:color="auto"/>
        <w:right w:val="none" w:sz="0" w:space="0" w:color="auto"/>
      </w:divBdr>
    </w:div>
    <w:div w:id="1314598398">
      <w:bodyDiv w:val="1"/>
      <w:marLeft w:val="0"/>
      <w:marRight w:val="0"/>
      <w:marTop w:val="0"/>
      <w:marBottom w:val="0"/>
      <w:divBdr>
        <w:top w:val="none" w:sz="0" w:space="0" w:color="auto"/>
        <w:left w:val="none" w:sz="0" w:space="0" w:color="auto"/>
        <w:bottom w:val="none" w:sz="0" w:space="0" w:color="auto"/>
        <w:right w:val="none" w:sz="0" w:space="0" w:color="auto"/>
      </w:divBdr>
    </w:div>
    <w:div w:id="1333294104">
      <w:bodyDiv w:val="1"/>
      <w:marLeft w:val="0"/>
      <w:marRight w:val="0"/>
      <w:marTop w:val="0"/>
      <w:marBottom w:val="0"/>
      <w:divBdr>
        <w:top w:val="none" w:sz="0" w:space="0" w:color="auto"/>
        <w:left w:val="none" w:sz="0" w:space="0" w:color="auto"/>
        <w:bottom w:val="none" w:sz="0" w:space="0" w:color="auto"/>
        <w:right w:val="none" w:sz="0" w:space="0" w:color="auto"/>
      </w:divBdr>
    </w:div>
    <w:div w:id="1395466635">
      <w:bodyDiv w:val="1"/>
      <w:marLeft w:val="0"/>
      <w:marRight w:val="0"/>
      <w:marTop w:val="0"/>
      <w:marBottom w:val="0"/>
      <w:divBdr>
        <w:top w:val="none" w:sz="0" w:space="0" w:color="auto"/>
        <w:left w:val="none" w:sz="0" w:space="0" w:color="auto"/>
        <w:bottom w:val="none" w:sz="0" w:space="0" w:color="auto"/>
        <w:right w:val="none" w:sz="0" w:space="0" w:color="auto"/>
      </w:divBdr>
    </w:div>
    <w:div w:id="1412507376">
      <w:bodyDiv w:val="1"/>
      <w:marLeft w:val="0"/>
      <w:marRight w:val="0"/>
      <w:marTop w:val="0"/>
      <w:marBottom w:val="0"/>
      <w:divBdr>
        <w:top w:val="none" w:sz="0" w:space="0" w:color="auto"/>
        <w:left w:val="none" w:sz="0" w:space="0" w:color="auto"/>
        <w:bottom w:val="none" w:sz="0" w:space="0" w:color="auto"/>
        <w:right w:val="none" w:sz="0" w:space="0" w:color="auto"/>
      </w:divBdr>
    </w:div>
    <w:div w:id="1439136229">
      <w:bodyDiv w:val="1"/>
      <w:marLeft w:val="0"/>
      <w:marRight w:val="0"/>
      <w:marTop w:val="0"/>
      <w:marBottom w:val="0"/>
      <w:divBdr>
        <w:top w:val="none" w:sz="0" w:space="0" w:color="auto"/>
        <w:left w:val="none" w:sz="0" w:space="0" w:color="auto"/>
        <w:bottom w:val="none" w:sz="0" w:space="0" w:color="auto"/>
        <w:right w:val="none" w:sz="0" w:space="0" w:color="auto"/>
      </w:divBdr>
    </w:div>
    <w:div w:id="1476219399">
      <w:bodyDiv w:val="1"/>
      <w:marLeft w:val="0"/>
      <w:marRight w:val="0"/>
      <w:marTop w:val="0"/>
      <w:marBottom w:val="0"/>
      <w:divBdr>
        <w:top w:val="none" w:sz="0" w:space="0" w:color="auto"/>
        <w:left w:val="none" w:sz="0" w:space="0" w:color="auto"/>
        <w:bottom w:val="none" w:sz="0" w:space="0" w:color="auto"/>
        <w:right w:val="none" w:sz="0" w:space="0" w:color="auto"/>
      </w:divBdr>
    </w:div>
    <w:div w:id="1479296809">
      <w:bodyDiv w:val="1"/>
      <w:marLeft w:val="0"/>
      <w:marRight w:val="0"/>
      <w:marTop w:val="0"/>
      <w:marBottom w:val="0"/>
      <w:divBdr>
        <w:top w:val="none" w:sz="0" w:space="0" w:color="auto"/>
        <w:left w:val="none" w:sz="0" w:space="0" w:color="auto"/>
        <w:bottom w:val="none" w:sz="0" w:space="0" w:color="auto"/>
        <w:right w:val="none" w:sz="0" w:space="0" w:color="auto"/>
      </w:divBdr>
    </w:div>
    <w:div w:id="1516190296">
      <w:bodyDiv w:val="1"/>
      <w:marLeft w:val="0"/>
      <w:marRight w:val="0"/>
      <w:marTop w:val="0"/>
      <w:marBottom w:val="0"/>
      <w:divBdr>
        <w:top w:val="none" w:sz="0" w:space="0" w:color="auto"/>
        <w:left w:val="none" w:sz="0" w:space="0" w:color="auto"/>
        <w:bottom w:val="none" w:sz="0" w:space="0" w:color="auto"/>
        <w:right w:val="none" w:sz="0" w:space="0" w:color="auto"/>
      </w:divBdr>
    </w:div>
    <w:div w:id="1534001523">
      <w:bodyDiv w:val="1"/>
      <w:marLeft w:val="0"/>
      <w:marRight w:val="0"/>
      <w:marTop w:val="0"/>
      <w:marBottom w:val="0"/>
      <w:divBdr>
        <w:top w:val="none" w:sz="0" w:space="0" w:color="auto"/>
        <w:left w:val="none" w:sz="0" w:space="0" w:color="auto"/>
        <w:bottom w:val="none" w:sz="0" w:space="0" w:color="auto"/>
        <w:right w:val="none" w:sz="0" w:space="0" w:color="auto"/>
      </w:divBdr>
    </w:div>
    <w:div w:id="1552427223">
      <w:bodyDiv w:val="1"/>
      <w:marLeft w:val="0"/>
      <w:marRight w:val="0"/>
      <w:marTop w:val="0"/>
      <w:marBottom w:val="0"/>
      <w:divBdr>
        <w:top w:val="none" w:sz="0" w:space="0" w:color="auto"/>
        <w:left w:val="none" w:sz="0" w:space="0" w:color="auto"/>
        <w:bottom w:val="none" w:sz="0" w:space="0" w:color="auto"/>
        <w:right w:val="none" w:sz="0" w:space="0" w:color="auto"/>
      </w:divBdr>
    </w:div>
    <w:div w:id="1563635008">
      <w:bodyDiv w:val="1"/>
      <w:marLeft w:val="0"/>
      <w:marRight w:val="0"/>
      <w:marTop w:val="0"/>
      <w:marBottom w:val="0"/>
      <w:divBdr>
        <w:top w:val="none" w:sz="0" w:space="0" w:color="auto"/>
        <w:left w:val="none" w:sz="0" w:space="0" w:color="auto"/>
        <w:bottom w:val="none" w:sz="0" w:space="0" w:color="auto"/>
        <w:right w:val="none" w:sz="0" w:space="0" w:color="auto"/>
      </w:divBdr>
    </w:div>
    <w:div w:id="1566598833">
      <w:bodyDiv w:val="1"/>
      <w:marLeft w:val="0"/>
      <w:marRight w:val="0"/>
      <w:marTop w:val="0"/>
      <w:marBottom w:val="0"/>
      <w:divBdr>
        <w:top w:val="none" w:sz="0" w:space="0" w:color="auto"/>
        <w:left w:val="none" w:sz="0" w:space="0" w:color="auto"/>
        <w:bottom w:val="none" w:sz="0" w:space="0" w:color="auto"/>
        <w:right w:val="none" w:sz="0" w:space="0" w:color="auto"/>
      </w:divBdr>
    </w:div>
    <w:div w:id="1570340275">
      <w:bodyDiv w:val="1"/>
      <w:marLeft w:val="0"/>
      <w:marRight w:val="0"/>
      <w:marTop w:val="0"/>
      <w:marBottom w:val="0"/>
      <w:divBdr>
        <w:top w:val="none" w:sz="0" w:space="0" w:color="auto"/>
        <w:left w:val="none" w:sz="0" w:space="0" w:color="auto"/>
        <w:bottom w:val="none" w:sz="0" w:space="0" w:color="auto"/>
        <w:right w:val="none" w:sz="0" w:space="0" w:color="auto"/>
      </w:divBdr>
    </w:div>
    <w:div w:id="1639411537">
      <w:bodyDiv w:val="1"/>
      <w:marLeft w:val="0"/>
      <w:marRight w:val="0"/>
      <w:marTop w:val="0"/>
      <w:marBottom w:val="0"/>
      <w:divBdr>
        <w:top w:val="none" w:sz="0" w:space="0" w:color="auto"/>
        <w:left w:val="none" w:sz="0" w:space="0" w:color="auto"/>
        <w:bottom w:val="none" w:sz="0" w:space="0" w:color="auto"/>
        <w:right w:val="none" w:sz="0" w:space="0" w:color="auto"/>
      </w:divBdr>
    </w:div>
    <w:div w:id="1646734419">
      <w:bodyDiv w:val="1"/>
      <w:marLeft w:val="0"/>
      <w:marRight w:val="0"/>
      <w:marTop w:val="0"/>
      <w:marBottom w:val="0"/>
      <w:divBdr>
        <w:top w:val="none" w:sz="0" w:space="0" w:color="auto"/>
        <w:left w:val="none" w:sz="0" w:space="0" w:color="auto"/>
        <w:bottom w:val="none" w:sz="0" w:space="0" w:color="auto"/>
        <w:right w:val="none" w:sz="0" w:space="0" w:color="auto"/>
      </w:divBdr>
    </w:div>
    <w:div w:id="1660386490">
      <w:bodyDiv w:val="1"/>
      <w:marLeft w:val="0"/>
      <w:marRight w:val="0"/>
      <w:marTop w:val="0"/>
      <w:marBottom w:val="0"/>
      <w:divBdr>
        <w:top w:val="none" w:sz="0" w:space="0" w:color="auto"/>
        <w:left w:val="none" w:sz="0" w:space="0" w:color="auto"/>
        <w:bottom w:val="none" w:sz="0" w:space="0" w:color="auto"/>
        <w:right w:val="none" w:sz="0" w:space="0" w:color="auto"/>
      </w:divBdr>
    </w:div>
    <w:div w:id="1662925149">
      <w:bodyDiv w:val="1"/>
      <w:marLeft w:val="0"/>
      <w:marRight w:val="0"/>
      <w:marTop w:val="0"/>
      <w:marBottom w:val="0"/>
      <w:divBdr>
        <w:top w:val="none" w:sz="0" w:space="0" w:color="auto"/>
        <w:left w:val="none" w:sz="0" w:space="0" w:color="auto"/>
        <w:bottom w:val="none" w:sz="0" w:space="0" w:color="auto"/>
        <w:right w:val="none" w:sz="0" w:space="0" w:color="auto"/>
      </w:divBdr>
    </w:div>
    <w:div w:id="1693531618">
      <w:bodyDiv w:val="1"/>
      <w:marLeft w:val="0"/>
      <w:marRight w:val="0"/>
      <w:marTop w:val="0"/>
      <w:marBottom w:val="0"/>
      <w:divBdr>
        <w:top w:val="none" w:sz="0" w:space="0" w:color="auto"/>
        <w:left w:val="none" w:sz="0" w:space="0" w:color="auto"/>
        <w:bottom w:val="none" w:sz="0" w:space="0" w:color="auto"/>
        <w:right w:val="none" w:sz="0" w:space="0" w:color="auto"/>
      </w:divBdr>
    </w:div>
    <w:div w:id="1719670468">
      <w:bodyDiv w:val="1"/>
      <w:marLeft w:val="0"/>
      <w:marRight w:val="0"/>
      <w:marTop w:val="0"/>
      <w:marBottom w:val="0"/>
      <w:divBdr>
        <w:top w:val="none" w:sz="0" w:space="0" w:color="auto"/>
        <w:left w:val="none" w:sz="0" w:space="0" w:color="auto"/>
        <w:bottom w:val="none" w:sz="0" w:space="0" w:color="auto"/>
        <w:right w:val="none" w:sz="0" w:space="0" w:color="auto"/>
      </w:divBdr>
    </w:div>
    <w:div w:id="1724788076">
      <w:bodyDiv w:val="1"/>
      <w:marLeft w:val="0"/>
      <w:marRight w:val="0"/>
      <w:marTop w:val="0"/>
      <w:marBottom w:val="0"/>
      <w:divBdr>
        <w:top w:val="none" w:sz="0" w:space="0" w:color="auto"/>
        <w:left w:val="none" w:sz="0" w:space="0" w:color="auto"/>
        <w:bottom w:val="none" w:sz="0" w:space="0" w:color="auto"/>
        <w:right w:val="none" w:sz="0" w:space="0" w:color="auto"/>
      </w:divBdr>
    </w:div>
    <w:div w:id="1746224334">
      <w:bodyDiv w:val="1"/>
      <w:marLeft w:val="0"/>
      <w:marRight w:val="0"/>
      <w:marTop w:val="0"/>
      <w:marBottom w:val="0"/>
      <w:divBdr>
        <w:top w:val="none" w:sz="0" w:space="0" w:color="auto"/>
        <w:left w:val="none" w:sz="0" w:space="0" w:color="auto"/>
        <w:bottom w:val="none" w:sz="0" w:space="0" w:color="auto"/>
        <w:right w:val="none" w:sz="0" w:space="0" w:color="auto"/>
      </w:divBdr>
    </w:div>
    <w:div w:id="1782676900">
      <w:bodyDiv w:val="1"/>
      <w:marLeft w:val="0"/>
      <w:marRight w:val="0"/>
      <w:marTop w:val="0"/>
      <w:marBottom w:val="0"/>
      <w:divBdr>
        <w:top w:val="none" w:sz="0" w:space="0" w:color="auto"/>
        <w:left w:val="none" w:sz="0" w:space="0" w:color="auto"/>
        <w:bottom w:val="none" w:sz="0" w:space="0" w:color="auto"/>
        <w:right w:val="none" w:sz="0" w:space="0" w:color="auto"/>
      </w:divBdr>
    </w:div>
    <w:div w:id="1797410400">
      <w:bodyDiv w:val="1"/>
      <w:marLeft w:val="0"/>
      <w:marRight w:val="0"/>
      <w:marTop w:val="0"/>
      <w:marBottom w:val="0"/>
      <w:divBdr>
        <w:top w:val="none" w:sz="0" w:space="0" w:color="auto"/>
        <w:left w:val="none" w:sz="0" w:space="0" w:color="auto"/>
        <w:bottom w:val="none" w:sz="0" w:space="0" w:color="auto"/>
        <w:right w:val="none" w:sz="0" w:space="0" w:color="auto"/>
      </w:divBdr>
    </w:div>
    <w:div w:id="1811432966">
      <w:bodyDiv w:val="1"/>
      <w:marLeft w:val="0"/>
      <w:marRight w:val="0"/>
      <w:marTop w:val="0"/>
      <w:marBottom w:val="0"/>
      <w:divBdr>
        <w:top w:val="none" w:sz="0" w:space="0" w:color="auto"/>
        <w:left w:val="none" w:sz="0" w:space="0" w:color="auto"/>
        <w:bottom w:val="none" w:sz="0" w:space="0" w:color="auto"/>
        <w:right w:val="none" w:sz="0" w:space="0" w:color="auto"/>
      </w:divBdr>
    </w:div>
    <w:div w:id="1829978554">
      <w:bodyDiv w:val="1"/>
      <w:marLeft w:val="0"/>
      <w:marRight w:val="0"/>
      <w:marTop w:val="0"/>
      <w:marBottom w:val="0"/>
      <w:divBdr>
        <w:top w:val="none" w:sz="0" w:space="0" w:color="auto"/>
        <w:left w:val="none" w:sz="0" w:space="0" w:color="auto"/>
        <w:bottom w:val="none" w:sz="0" w:space="0" w:color="auto"/>
        <w:right w:val="none" w:sz="0" w:space="0" w:color="auto"/>
      </w:divBdr>
    </w:div>
    <w:div w:id="1856117035">
      <w:bodyDiv w:val="1"/>
      <w:marLeft w:val="0"/>
      <w:marRight w:val="0"/>
      <w:marTop w:val="0"/>
      <w:marBottom w:val="0"/>
      <w:divBdr>
        <w:top w:val="none" w:sz="0" w:space="0" w:color="auto"/>
        <w:left w:val="none" w:sz="0" w:space="0" w:color="auto"/>
        <w:bottom w:val="none" w:sz="0" w:space="0" w:color="auto"/>
        <w:right w:val="none" w:sz="0" w:space="0" w:color="auto"/>
      </w:divBdr>
    </w:div>
    <w:div w:id="1867208203">
      <w:bodyDiv w:val="1"/>
      <w:marLeft w:val="0"/>
      <w:marRight w:val="0"/>
      <w:marTop w:val="0"/>
      <w:marBottom w:val="0"/>
      <w:divBdr>
        <w:top w:val="none" w:sz="0" w:space="0" w:color="auto"/>
        <w:left w:val="none" w:sz="0" w:space="0" w:color="auto"/>
        <w:bottom w:val="none" w:sz="0" w:space="0" w:color="auto"/>
        <w:right w:val="none" w:sz="0" w:space="0" w:color="auto"/>
      </w:divBdr>
    </w:div>
    <w:div w:id="1884828723">
      <w:bodyDiv w:val="1"/>
      <w:marLeft w:val="0"/>
      <w:marRight w:val="0"/>
      <w:marTop w:val="0"/>
      <w:marBottom w:val="0"/>
      <w:divBdr>
        <w:top w:val="none" w:sz="0" w:space="0" w:color="auto"/>
        <w:left w:val="none" w:sz="0" w:space="0" w:color="auto"/>
        <w:bottom w:val="none" w:sz="0" w:space="0" w:color="auto"/>
        <w:right w:val="none" w:sz="0" w:space="0" w:color="auto"/>
      </w:divBdr>
    </w:div>
    <w:div w:id="1890726502">
      <w:bodyDiv w:val="1"/>
      <w:marLeft w:val="0"/>
      <w:marRight w:val="0"/>
      <w:marTop w:val="0"/>
      <w:marBottom w:val="0"/>
      <w:divBdr>
        <w:top w:val="none" w:sz="0" w:space="0" w:color="auto"/>
        <w:left w:val="none" w:sz="0" w:space="0" w:color="auto"/>
        <w:bottom w:val="none" w:sz="0" w:space="0" w:color="auto"/>
        <w:right w:val="none" w:sz="0" w:space="0" w:color="auto"/>
      </w:divBdr>
    </w:div>
    <w:div w:id="1897470630">
      <w:bodyDiv w:val="1"/>
      <w:marLeft w:val="0"/>
      <w:marRight w:val="0"/>
      <w:marTop w:val="0"/>
      <w:marBottom w:val="0"/>
      <w:divBdr>
        <w:top w:val="none" w:sz="0" w:space="0" w:color="auto"/>
        <w:left w:val="none" w:sz="0" w:space="0" w:color="auto"/>
        <w:bottom w:val="none" w:sz="0" w:space="0" w:color="auto"/>
        <w:right w:val="none" w:sz="0" w:space="0" w:color="auto"/>
      </w:divBdr>
    </w:div>
    <w:div w:id="1898079179">
      <w:bodyDiv w:val="1"/>
      <w:marLeft w:val="0"/>
      <w:marRight w:val="0"/>
      <w:marTop w:val="0"/>
      <w:marBottom w:val="0"/>
      <w:divBdr>
        <w:top w:val="none" w:sz="0" w:space="0" w:color="auto"/>
        <w:left w:val="none" w:sz="0" w:space="0" w:color="auto"/>
        <w:bottom w:val="none" w:sz="0" w:space="0" w:color="auto"/>
        <w:right w:val="none" w:sz="0" w:space="0" w:color="auto"/>
      </w:divBdr>
    </w:div>
    <w:div w:id="1910456511">
      <w:bodyDiv w:val="1"/>
      <w:marLeft w:val="0"/>
      <w:marRight w:val="0"/>
      <w:marTop w:val="0"/>
      <w:marBottom w:val="0"/>
      <w:divBdr>
        <w:top w:val="none" w:sz="0" w:space="0" w:color="auto"/>
        <w:left w:val="none" w:sz="0" w:space="0" w:color="auto"/>
        <w:bottom w:val="none" w:sz="0" w:space="0" w:color="auto"/>
        <w:right w:val="none" w:sz="0" w:space="0" w:color="auto"/>
      </w:divBdr>
    </w:div>
    <w:div w:id="1916083780">
      <w:bodyDiv w:val="1"/>
      <w:marLeft w:val="0"/>
      <w:marRight w:val="0"/>
      <w:marTop w:val="0"/>
      <w:marBottom w:val="0"/>
      <w:divBdr>
        <w:top w:val="none" w:sz="0" w:space="0" w:color="auto"/>
        <w:left w:val="none" w:sz="0" w:space="0" w:color="auto"/>
        <w:bottom w:val="none" w:sz="0" w:space="0" w:color="auto"/>
        <w:right w:val="none" w:sz="0" w:space="0" w:color="auto"/>
      </w:divBdr>
    </w:div>
    <w:div w:id="1916938904">
      <w:bodyDiv w:val="1"/>
      <w:marLeft w:val="0"/>
      <w:marRight w:val="0"/>
      <w:marTop w:val="0"/>
      <w:marBottom w:val="0"/>
      <w:divBdr>
        <w:top w:val="none" w:sz="0" w:space="0" w:color="auto"/>
        <w:left w:val="none" w:sz="0" w:space="0" w:color="auto"/>
        <w:bottom w:val="none" w:sz="0" w:space="0" w:color="auto"/>
        <w:right w:val="none" w:sz="0" w:space="0" w:color="auto"/>
      </w:divBdr>
    </w:div>
    <w:div w:id="1922638079">
      <w:bodyDiv w:val="1"/>
      <w:marLeft w:val="0"/>
      <w:marRight w:val="0"/>
      <w:marTop w:val="0"/>
      <w:marBottom w:val="0"/>
      <w:divBdr>
        <w:top w:val="none" w:sz="0" w:space="0" w:color="auto"/>
        <w:left w:val="none" w:sz="0" w:space="0" w:color="auto"/>
        <w:bottom w:val="none" w:sz="0" w:space="0" w:color="auto"/>
        <w:right w:val="none" w:sz="0" w:space="0" w:color="auto"/>
      </w:divBdr>
    </w:div>
    <w:div w:id="1929458195">
      <w:bodyDiv w:val="1"/>
      <w:marLeft w:val="0"/>
      <w:marRight w:val="0"/>
      <w:marTop w:val="0"/>
      <w:marBottom w:val="0"/>
      <w:divBdr>
        <w:top w:val="none" w:sz="0" w:space="0" w:color="auto"/>
        <w:left w:val="none" w:sz="0" w:space="0" w:color="auto"/>
        <w:bottom w:val="none" w:sz="0" w:space="0" w:color="auto"/>
        <w:right w:val="none" w:sz="0" w:space="0" w:color="auto"/>
      </w:divBdr>
    </w:div>
    <w:div w:id="1933197128">
      <w:bodyDiv w:val="1"/>
      <w:marLeft w:val="0"/>
      <w:marRight w:val="0"/>
      <w:marTop w:val="0"/>
      <w:marBottom w:val="0"/>
      <w:divBdr>
        <w:top w:val="none" w:sz="0" w:space="0" w:color="auto"/>
        <w:left w:val="none" w:sz="0" w:space="0" w:color="auto"/>
        <w:bottom w:val="none" w:sz="0" w:space="0" w:color="auto"/>
        <w:right w:val="none" w:sz="0" w:space="0" w:color="auto"/>
      </w:divBdr>
    </w:div>
    <w:div w:id="1964579574">
      <w:bodyDiv w:val="1"/>
      <w:marLeft w:val="0"/>
      <w:marRight w:val="0"/>
      <w:marTop w:val="0"/>
      <w:marBottom w:val="0"/>
      <w:divBdr>
        <w:top w:val="none" w:sz="0" w:space="0" w:color="auto"/>
        <w:left w:val="none" w:sz="0" w:space="0" w:color="auto"/>
        <w:bottom w:val="none" w:sz="0" w:space="0" w:color="auto"/>
        <w:right w:val="none" w:sz="0" w:space="0" w:color="auto"/>
      </w:divBdr>
    </w:div>
    <w:div w:id="1984772578">
      <w:bodyDiv w:val="1"/>
      <w:marLeft w:val="0"/>
      <w:marRight w:val="0"/>
      <w:marTop w:val="0"/>
      <w:marBottom w:val="0"/>
      <w:divBdr>
        <w:top w:val="none" w:sz="0" w:space="0" w:color="auto"/>
        <w:left w:val="none" w:sz="0" w:space="0" w:color="auto"/>
        <w:bottom w:val="none" w:sz="0" w:space="0" w:color="auto"/>
        <w:right w:val="none" w:sz="0" w:space="0" w:color="auto"/>
      </w:divBdr>
    </w:div>
    <w:div w:id="1996953281">
      <w:bodyDiv w:val="1"/>
      <w:marLeft w:val="0"/>
      <w:marRight w:val="0"/>
      <w:marTop w:val="0"/>
      <w:marBottom w:val="0"/>
      <w:divBdr>
        <w:top w:val="none" w:sz="0" w:space="0" w:color="auto"/>
        <w:left w:val="none" w:sz="0" w:space="0" w:color="auto"/>
        <w:bottom w:val="none" w:sz="0" w:space="0" w:color="auto"/>
        <w:right w:val="none" w:sz="0" w:space="0" w:color="auto"/>
      </w:divBdr>
    </w:div>
    <w:div w:id="1997566799">
      <w:bodyDiv w:val="1"/>
      <w:marLeft w:val="0"/>
      <w:marRight w:val="0"/>
      <w:marTop w:val="0"/>
      <w:marBottom w:val="0"/>
      <w:divBdr>
        <w:top w:val="none" w:sz="0" w:space="0" w:color="auto"/>
        <w:left w:val="none" w:sz="0" w:space="0" w:color="auto"/>
        <w:bottom w:val="none" w:sz="0" w:space="0" w:color="auto"/>
        <w:right w:val="none" w:sz="0" w:space="0" w:color="auto"/>
      </w:divBdr>
    </w:div>
    <w:div w:id="2007975517">
      <w:bodyDiv w:val="1"/>
      <w:marLeft w:val="0"/>
      <w:marRight w:val="0"/>
      <w:marTop w:val="0"/>
      <w:marBottom w:val="0"/>
      <w:divBdr>
        <w:top w:val="none" w:sz="0" w:space="0" w:color="auto"/>
        <w:left w:val="none" w:sz="0" w:space="0" w:color="auto"/>
        <w:bottom w:val="none" w:sz="0" w:space="0" w:color="auto"/>
        <w:right w:val="none" w:sz="0" w:space="0" w:color="auto"/>
      </w:divBdr>
    </w:div>
    <w:div w:id="2018724147">
      <w:bodyDiv w:val="1"/>
      <w:marLeft w:val="0"/>
      <w:marRight w:val="0"/>
      <w:marTop w:val="0"/>
      <w:marBottom w:val="0"/>
      <w:divBdr>
        <w:top w:val="none" w:sz="0" w:space="0" w:color="auto"/>
        <w:left w:val="none" w:sz="0" w:space="0" w:color="auto"/>
        <w:bottom w:val="none" w:sz="0" w:space="0" w:color="auto"/>
        <w:right w:val="none" w:sz="0" w:space="0" w:color="auto"/>
      </w:divBdr>
    </w:div>
    <w:div w:id="2037342559">
      <w:bodyDiv w:val="1"/>
      <w:marLeft w:val="0"/>
      <w:marRight w:val="0"/>
      <w:marTop w:val="0"/>
      <w:marBottom w:val="0"/>
      <w:divBdr>
        <w:top w:val="none" w:sz="0" w:space="0" w:color="auto"/>
        <w:left w:val="none" w:sz="0" w:space="0" w:color="auto"/>
        <w:bottom w:val="none" w:sz="0" w:space="0" w:color="auto"/>
        <w:right w:val="none" w:sz="0" w:space="0" w:color="auto"/>
      </w:divBdr>
    </w:div>
    <w:div w:id="2060125449">
      <w:bodyDiv w:val="1"/>
      <w:marLeft w:val="0"/>
      <w:marRight w:val="0"/>
      <w:marTop w:val="0"/>
      <w:marBottom w:val="0"/>
      <w:divBdr>
        <w:top w:val="none" w:sz="0" w:space="0" w:color="auto"/>
        <w:left w:val="none" w:sz="0" w:space="0" w:color="auto"/>
        <w:bottom w:val="none" w:sz="0" w:space="0" w:color="auto"/>
        <w:right w:val="none" w:sz="0" w:space="0" w:color="auto"/>
      </w:divBdr>
    </w:div>
    <w:div w:id="2084332456">
      <w:bodyDiv w:val="1"/>
      <w:marLeft w:val="0"/>
      <w:marRight w:val="0"/>
      <w:marTop w:val="0"/>
      <w:marBottom w:val="0"/>
      <w:divBdr>
        <w:top w:val="none" w:sz="0" w:space="0" w:color="auto"/>
        <w:left w:val="none" w:sz="0" w:space="0" w:color="auto"/>
        <w:bottom w:val="none" w:sz="0" w:space="0" w:color="auto"/>
        <w:right w:val="none" w:sz="0" w:space="0" w:color="auto"/>
      </w:divBdr>
    </w:div>
    <w:div w:id="2134327005">
      <w:bodyDiv w:val="1"/>
      <w:marLeft w:val="0"/>
      <w:marRight w:val="0"/>
      <w:marTop w:val="0"/>
      <w:marBottom w:val="0"/>
      <w:divBdr>
        <w:top w:val="none" w:sz="0" w:space="0" w:color="auto"/>
        <w:left w:val="none" w:sz="0" w:space="0" w:color="auto"/>
        <w:bottom w:val="none" w:sz="0" w:space="0" w:color="auto"/>
        <w:right w:val="none" w:sz="0" w:space="0" w:color="auto"/>
      </w:divBdr>
    </w:div>
    <w:div w:id="213741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chart" Target="charts/chart6.xml"/><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5.png"/><Relationship Id="rId63" Type="http://schemas.openxmlformats.org/officeDocument/2006/relationships/hyperlink" Target="http://www.verdade.co.mz/destaques/democracia/30980-os-interesses-empresariais-dos-sobreviventes-da-comissao-politica" TargetMode="External"/><Relationship Id="rId64" Type="http://schemas.openxmlformats.org/officeDocument/2006/relationships/hyperlink" Target="http://allafrica.com/stories/201208310791.html?page=1" TargetMode="External"/><Relationship Id="rId65" Type="http://schemas.openxmlformats.org/officeDocument/2006/relationships/hyperlink" Target="http://www.clubofmozambique.com/solutions1/sectionnews.php?secao=mozambique&amp;id=24367&amp;tipo=one" TargetMode="External"/><Relationship Id="rId66" Type="http://schemas.openxmlformats.org/officeDocument/2006/relationships/hyperlink" Target="http://www.clubofmozambique.com/solutions1/sectionnews.php?secao=business&amp;id=21587&amp;tipo=one" TargetMode="External"/><Relationship Id="rId67" Type="http://schemas.openxmlformats.org/officeDocument/2006/relationships/hyperlink" Target="http://www.open.ac.uk/technology/mozambique/pics/d136950.pdf" TargetMode="External"/><Relationship Id="rId68" Type="http://schemas.openxmlformats.org/officeDocument/2006/relationships/hyperlink" Target="http://www.opais.co.mz/index.php/opiniao/90-jeremias-langa/19374-por-que-simango-perdeu-a-guerra-com-os-informais.html" TargetMode="External"/><Relationship Id="rId69" Type="http://schemas.openxmlformats.org/officeDocument/2006/relationships/hyperlink" Target="http://allafrica.com/stories/201204190233.html" TargetMode="External"/><Relationship Id="rId50" Type="http://schemas.openxmlformats.org/officeDocument/2006/relationships/hyperlink" Target="http://www.edm.co.mz/index.php?option=com_docman&amp;task=doc_download&amp;gid=80&amp;Itemid=68&amp;lang=pt" TargetMode="External"/><Relationship Id="rId51" Type="http://schemas.openxmlformats.org/officeDocument/2006/relationships/hyperlink" Target="http://www.portaldogoverno.gov.mz/docs_gov/programa/PES_2010_APROVADO_A_16_de_Abril.pdf/view" TargetMode="External"/><Relationship Id="rId52" Type="http://schemas.openxmlformats.org/officeDocument/2006/relationships/hyperlink" Target="http://www.open.ac.uk/technology/mozambique/sites/www.open.ac.uk.technology.mozambique/files/pics/d130987.pdf" TargetMode="External"/><Relationship Id="rId53" Type="http://schemas.openxmlformats.org/officeDocument/2006/relationships/hyperlink" Target="http://econpapers.repec.org/scripts/redir.pf?u=http%3A%2F%2Fokonomi.foi.dk%2Fworkingpapers%2FWPpdf%2FWP2011%2FWP_2011_14_gender_specific_credit.pdf;h=repec:foi:wpaper:2011_14" TargetMode="External"/><Relationship Id="rId54" Type="http://schemas.openxmlformats.org/officeDocument/2006/relationships/hyperlink" Target="http://www.imf.org/external/country/moz/rr/2012/040112.pdf" TargetMode="External"/><Relationship Id="rId55" Type="http://schemas.openxmlformats.org/officeDocument/2006/relationships/hyperlink" Target="http://www.ine.gov.mz/ResourceCenter/Default.aspx" TargetMode="External"/><Relationship Id="rId56" Type="http://schemas.openxmlformats.org/officeDocument/2006/relationships/hyperlink" Target="http://siteresources.worldbank.org/EXTNWDR2013/Resources/8258024-1320950747192/8260293-1320956712276/8261091-1348683883703/WDR2013_bp_Jobs_and_Welfare_in_Mozambique.pdf" TargetMode="External"/><Relationship Id="rId57" Type="http://schemas.openxmlformats.org/officeDocument/2006/relationships/hyperlink" Target="http://www.kpmg.com/MZ/en/IssuesAndInsights/ArticlesPublications/top-100-companies-Mozambique/Documents/Top%20100%20Companies%20of%20Mozambique%202010.pdf" TargetMode="External"/><Relationship Id="rId58" Type="http://schemas.openxmlformats.org/officeDocument/2006/relationships/hyperlink" Target="http://www.kpmg.com/MZ/en/IssuesAndInsights/ArticlesPublications/top-100-companies-Mozambique/Documents/KPMG_1002011WEB.pdf" TargetMode="External"/><Relationship Id="rId59" Type="http://schemas.openxmlformats.org/officeDocument/2006/relationships/hyperlink" Target="http://elibrary.worldbank.org/content/workingpaper/10.1596/1813-9450-6009" TargetMode="External"/><Relationship Id="rId40" Type="http://schemas.openxmlformats.org/officeDocument/2006/relationships/image" Target="media/image8.png"/><Relationship Id="rId41" Type="http://schemas.openxmlformats.org/officeDocument/2006/relationships/image" Target="media/image9.png"/><Relationship Id="rId42" Type="http://schemas.openxmlformats.org/officeDocument/2006/relationships/chart" Target="charts/chart25.xml"/><Relationship Id="rId43" Type="http://schemas.openxmlformats.org/officeDocument/2006/relationships/chart" Target="charts/chart26.xml"/><Relationship Id="rId44" Type="http://schemas.openxmlformats.org/officeDocument/2006/relationships/chart" Target="charts/chart27.xml"/><Relationship Id="rId45" Type="http://schemas.openxmlformats.org/officeDocument/2006/relationships/chart" Target="charts/chart28.xml"/><Relationship Id="rId46" Type="http://schemas.openxmlformats.org/officeDocument/2006/relationships/chart" Target="charts/chart29.xml"/><Relationship Id="rId47" Type="http://schemas.openxmlformats.org/officeDocument/2006/relationships/image" Target="media/image10.png"/><Relationship Id="rId48" Type="http://schemas.openxmlformats.org/officeDocument/2006/relationships/image" Target="media/image11.png"/><Relationship Id="rId49" Type="http://schemas.openxmlformats.org/officeDocument/2006/relationships/hyperlink" Target="http://www.tipmoz.com/library/resources/documents/byiers_informalityinmozambique_181109.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chart" Target="charts/chart15.xml"/><Relationship Id="rId31" Type="http://schemas.openxmlformats.org/officeDocument/2006/relationships/chart" Target="charts/chart16.xml"/><Relationship Id="rId32" Type="http://schemas.openxmlformats.org/officeDocument/2006/relationships/chart" Target="charts/chart17.xml"/><Relationship Id="rId33" Type="http://schemas.openxmlformats.org/officeDocument/2006/relationships/chart" Target="charts/chart18.xml"/><Relationship Id="rId34" Type="http://schemas.openxmlformats.org/officeDocument/2006/relationships/chart" Target="charts/chart19.xml"/><Relationship Id="rId35" Type="http://schemas.openxmlformats.org/officeDocument/2006/relationships/chart" Target="charts/chart20.xml"/><Relationship Id="rId36" Type="http://schemas.openxmlformats.org/officeDocument/2006/relationships/chart" Target="charts/chart21.xml"/><Relationship Id="rId37" Type="http://schemas.openxmlformats.org/officeDocument/2006/relationships/chart" Target="charts/chart22.xml"/><Relationship Id="rId38" Type="http://schemas.openxmlformats.org/officeDocument/2006/relationships/chart" Target="charts/chart23.xml"/><Relationship Id="rId39" Type="http://schemas.openxmlformats.org/officeDocument/2006/relationships/chart" Target="charts/chart24.xml"/><Relationship Id="rId70" Type="http://schemas.openxmlformats.org/officeDocument/2006/relationships/hyperlink" Target="http://www.portaldogoverno.gov.mz/noticias/news_folder_politica/maio2007/nots_po_364_mai_07/" TargetMode="External"/><Relationship Id="rId71" Type="http://schemas.openxmlformats.org/officeDocument/2006/relationships/hyperlink" Target="http://noticias.sapo.mz/aim/artigo/489926052012180048.html" TargetMode="External"/><Relationship Id="rId72" Type="http://schemas.openxmlformats.org/officeDocument/2006/relationships/image" Target="media/image2.jpg"/><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chart" Target="charts/chart7.xml"/><Relationship Id="rId23" Type="http://schemas.openxmlformats.org/officeDocument/2006/relationships/chart" Target="charts/chart8.xml"/><Relationship Id="rId24" Type="http://schemas.openxmlformats.org/officeDocument/2006/relationships/chart" Target="charts/chart9.xml"/><Relationship Id="rId25" Type="http://schemas.openxmlformats.org/officeDocument/2006/relationships/chart" Target="charts/chart10.xml"/><Relationship Id="rId26" Type="http://schemas.openxmlformats.org/officeDocument/2006/relationships/chart" Target="charts/chart11.xml"/><Relationship Id="rId27" Type="http://schemas.openxmlformats.org/officeDocument/2006/relationships/chart" Target="charts/chart12.xml"/><Relationship Id="rId28" Type="http://schemas.openxmlformats.org/officeDocument/2006/relationships/chart" Target="charts/chart13.xml"/><Relationship Id="rId29" Type="http://schemas.openxmlformats.org/officeDocument/2006/relationships/chart" Target="charts/chart14.xml"/><Relationship Id="rId73" Type="http://schemas.openxmlformats.org/officeDocument/2006/relationships/footer" Target="footer1.xml"/><Relationship Id="rId74" Type="http://schemas.openxmlformats.org/officeDocument/2006/relationships/fontTable" Target="fontTable.xml"/><Relationship Id="rId75" Type="http://schemas.openxmlformats.org/officeDocument/2006/relationships/theme" Target="theme/theme1.xml"/><Relationship Id="rId60" Type="http://schemas.openxmlformats.org/officeDocument/2006/relationships/hyperlink" Target="http://ageconsearch.umn.edu/bitstream/127038/2/Cornell_Dyson_wp0606.pdf" TargetMode="External"/><Relationship Id="rId61" Type="http://schemas.openxmlformats.org/officeDocument/2006/relationships/hyperlink" Target="http://www.soderbom.net/WIDER%20P-S%20rev%20221012.pdf" TargetMode="External"/><Relationship Id="rId62" Type="http://schemas.openxmlformats.org/officeDocument/2006/relationships/hyperlink" Target="http://econ.worldbank.org/external/default/main?contentMDK=23044836&amp;theSitePK=8258025&amp;piPK=8258412&amp;pagePK=8258258" TargetMode="External"/><Relationship Id="rId10" Type="http://schemas.openxmlformats.org/officeDocument/2006/relationships/chart" Target="charts/chart1.xml"/><Relationship Id="rId11" Type="http://schemas.openxmlformats.org/officeDocument/2006/relationships/chart" Target="charts/chart2.xml"/><Relationship Id="rId12"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file:///C:\Dropbox\Firm%20Survey\Report\2.%20Sampling,%20Implementation,%20Validation\Chapter%202%20Figur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ropbox\Firm%20Survey\Report\4.%20Employment\Chapter%204%20Figures.xlsx" TargetMode="External"/><Relationship Id="rId2" Type="http://schemas.openxmlformats.org/officeDocument/2006/relationships/chartUserShapes" Target="../drawings/drawing2.xml"/></Relationships>
</file>

<file path=word/charts/_rels/chart11.xml.rels><?xml version="1.0" encoding="UTF-8" standalone="yes"?>
<Relationships xmlns="http://schemas.openxmlformats.org/package/2006/relationships"><Relationship Id="rId1" Type="http://schemas.openxmlformats.org/officeDocument/2006/relationships/oleObject" Target="file:///C:\Dropbox\Firm%20Survey\Report\4.%20Employment\Chapter%204%20Figur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ropbox\Firm%20Survey\Report\4.%20Employment\Chapter%204%20Figur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ropbox\Firm%20Survey\Report\5.%20Performance\Chapter%205%20Figur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ropbox\Firm%20Survey\Report\5.%20Performance\Chapter%205%20Figur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ropbox\Firm%20Survey\Report\5.%20Performance\Chapter%205%20Figur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ropbox\Firm%20Survey\Report\7.%20Trade\Chapter%207%20Figur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ropbox\Firm%20Survey\Report\7.%20Trade\Chapter%207%20Figur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ropbox\Firm%20Survey\Report\7.%20Trade\Chapter%207%20Figures.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Dropbox\Firm%20Survey\Report\7.%20Trade\Chapter%207%20Figur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ropbox\Firm%20Survey\Report\2.%20Sampling,%20Implementation,%20Validation\Chapter%202%20Figures.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Dropbox\Firm%20Survey\Report\7.%20Trade\Chapter%207%20Figures.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ibtsrv6a\oko\okobb\PhD\Data%20module%20Mozam%202\Final%20data%20and%20report\SN_BB_Table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ibtsrv6a\oko\okobb\PhD\Data%20module%20Mozam%202\Final%20data%20and%20report\SN_BB_Tables.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Dropbox\Firm%20Survey\Report\9.%20Finance\Chapter%209%20Figure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Dropbox\Firm%20Survey\Report\9.%20Finance\Chapter%209%20Figures.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Dropbox\Firm%20Survey\Report\9.%20Finance\Chapter%209%20Figure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Dropbox\Firm%20Survey\Report\10.%20Informality\Chapter%2010%20Figures.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Dropbox\Firm%20Survey\Report\10.%20Informality\Chapter%2010%20Figure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Dropbox\Firm%20Survey\Report\10.%20Informality\Chapter%2010%20Figures.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Dropbox\Firm%20Survey\Report\10.%20Informality\Chapter%2010%20Figur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ropbox\Firm%20Survey\Report\2.%20Sampling,%20Implementation,%20Validation\Chapter%202%20Figur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ropbox\Firm%20Survey\Report\2.%20Sampling,%20Implementation,%20Validation\Chapter%202%20Figur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ropbox\Firm%20Survey\Report\2.%20Sampling,%20Implementation,%20Validation\Chapter%202%20Figur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ropbox\Firm%20Survey\Report\2.%20Sampling,%20Implementation,%20Validation\Chapter%202%20Figur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ropbox\Firm%20Survey\Report\4.%20Employment\Chapter%204%20Figur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ropbox\Firm%20Survey\Report\4.%20Employment\Chapter%204%20Figur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ropbox\Firm%20Survey\Wages\Wage%20data.xlsx" TargetMode="External"/><Relationship Id="rId2"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da-DK" sz="1200"/>
              <a:t>Food (ISIC 15)</a:t>
            </a:r>
          </a:p>
        </c:rich>
      </c:tx>
      <c:overlay val="0"/>
    </c:title>
    <c:autoTitleDeleted val="0"/>
    <c:plotArea>
      <c:layout/>
      <c:pieChart>
        <c:varyColors val="1"/>
        <c:ser>
          <c:idx val="0"/>
          <c:order val="0"/>
          <c:dPt>
            <c:idx val="0"/>
            <c:bubble3D val="0"/>
            <c:spPr>
              <a:solidFill>
                <a:srgbClr val="3366FF"/>
              </a:solidFill>
            </c:spPr>
          </c:dPt>
          <c:dPt>
            <c:idx val="1"/>
            <c:bubble3D val="0"/>
            <c:spPr>
              <a:solidFill>
                <a:srgbClr val="99CCFF"/>
              </a:solidFill>
            </c:spPr>
          </c:dPt>
          <c:dPt>
            <c:idx val="2"/>
            <c:bubble3D val="0"/>
            <c:spPr>
              <a:solidFill>
                <a:srgbClr val="000080"/>
              </a:solidFill>
            </c:spPr>
          </c:dPt>
          <c:dLbls>
            <c:dLbl>
              <c:idx val="2"/>
              <c:layout>
                <c:manualLayout>
                  <c:x val="0.0215853174603175"/>
                  <c:y val="0.0219221070607849"/>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'Figure 2.1'!$C$3:$C$5</c:f>
              <c:strCache>
                <c:ptCount val="3"/>
                <c:pt idx="0">
                  <c:v>Bakery products</c:v>
                </c:pt>
                <c:pt idx="1">
                  <c:v>Grain mill products</c:v>
                </c:pt>
                <c:pt idx="2">
                  <c:v>Other</c:v>
                </c:pt>
              </c:strCache>
            </c:strRef>
          </c:cat>
          <c:val>
            <c:numRef>
              <c:f>'Figure 2.1'!$D$3:$D$5</c:f>
              <c:numCache>
                <c:formatCode>General</c:formatCode>
                <c:ptCount val="3"/>
                <c:pt idx="0">
                  <c:v>63.0</c:v>
                </c:pt>
                <c:pt idx="1">
                  <c:v>43.0</c:v>
                </c:pt>
                <c:pt idx="2">
                  <c:v>21.0</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sz="900"/>
          </a:pPr>
          <a:endParaRPr lang="en-US"/>
        </a:p>
      </c:txPr>
    </c:legend>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4.2'!$A$3</c:f>
              <c:strCache>
                <c:ptCount val="1"/>
                <c:pt idx="0">
                  <c:v>Informal</c:v>
                </c:pt>
              </c:strCache>
            </c:strRef>
          </c:tx>
          <c:spPr>
            <a:solidFill>
              <a:srgbClr val="000080"/>
            </a:solidFill>
          </c:spPr>
          <c:invertIfNegative val="0"/>
          <c:dLbls>
            <c:dLbl>
              <c:idx val="1"/>
              <c:layout>
                <c:manualLayout>
                  <c:x val="0.0"/>
                  <c:y val="0.014678896254878"/>
                </c:manualLayout>
              </c:layout>
              <c:dLblPos val="outEnd"/>
              <c:showLegendKey val="0"/>
              <c:showVal val="1"/>
              <c:showCatName val="0"/>
              <c:showSerName val="0"/>
              <c:showPercent val="0"/>
              <c:showBubbleSize val="0"/>
            </c:dLbl>
            <c:numFmt formatCode="#,##0" sourceLinked="0"/>
            <c:dLblPos val="outEnd"/>
            <c:showLegendKey val="0"/>
            <c:showVal val="1"/>
            <c:showCatName val="0"/>
            <c:showSerName val="0"/>
            <c:showPercent val="0"/>
            <c:showBubbleSize val="0"/>
            <c:showLeaderLines val="0"/>
          </c:dLbls>
          <c:cat>
            <c:strRef>
              <c:f>'Figure 4.2'!$B$2:$C$2</c:f>
              <c:strCache>
                <c:ptCount val="2"/>
                <c:pt idx="0">
                  <c:v>Mean value added per worker</c:v>
                </c:pt>
                <c:pt idx="1">
                  <c:v>Median value added per worker</c:v>
                </c:pt>
              </c:strCache>
            </c:strRef>
          </c:cat>
          <c:val>
            <c:numRef>
              <c:f>'Figure 4.2'!$B$3:$C$3</c:f>
              <c:numCache>
                <c:formatCode>_ * #.##0_ ;_ * \-#.##0_ ;_ * "-"??_ ;_ @_ </c:formatCode>
                <c:ptCount val="2"/>
                <c:pt idx="0">
                  <c:v>39578.69140624999</c:v>
                </c:pt>
                <c:pt idx="1">
                  <c:v>31950.0</c:v>
                </c:pt>
              </c:numCache>
            </c:numRef>
          </c:val>
        </c:ser>
        <c:ser>
          <c:idx val="1"/>
          <c:order val="1"/>
          <c:tx>
            <c:strRef>
              <c:f>'Figure 4.2'!$A$4</c:f>
              <c:strCache>
                <c:ptCount val="1"/>
                <c:pt idx="0">
                  <c:v>Formal</c:v>
                </c:pt>
              </c:strCache>
            </c:strRef>
          </c:tx>
          <c:spPr>
            <a:solidFill>
              <a:srgbClr val="3366FF"/>
            </a:solidFill>
          </c:spPr>
          <c:invertIfNegative val="0"/>
          <c:dLbls>
            <c:numFmt formatCode="#,##0" sourceLinked="0"/>
            <c:dLblPos val="outEnd"/>
            <c:showLegendKey val="0"/>
            <c:showVal val="1"/>
            <c:showCatName val="0"/>
            <c:showSerName val="0"/>
            <c:showPercent val="0"/>
            <c:showBubbleSize val="0"/>
            <c:showLeaderLines val="0"/>
          </c:dLbls>
          <c:cat>
            <c:strRef>
              <c:f>'Figure 4.2'!$B$2:$C$2</c:f>
              <c:strCache>
                <c:ptCount val="2"/>
                <c:pt idx="0">
                  <c:v>Mean value added per worker</c:v>
                </c:pt>
                <c:pt idx="1">
                  <c:v>Median value added per worker</c:v>
                </c:pt>
              </c:strCache>
            </c:strRef>
          </c:cat>
          <c:val>
            <c:numRef>
              <c:f>'Figure 4.2'!$B$4:$C$4</c:f>
              <c:numCache>
                <c:formatCode>_ * #.##0_ ;_ * \-#.##0_ ;_ * "-"??_ ;_ @_ </c:formatCode>
                <c:ptCount val="2"/>
                <c:pt idx="0">
                  <c:v>62696.31250000003</c:v>
                </c:pt>
                <c:pt idx="1">
                  <c:v>40962.7890625</c:v>
                </c:pt>
              </c:numCache>
            </c:numRef>
          </c:val>
        </c:ser>
        <c:dLbls>
          <c:showLegendKey val="0"/>
          <c:showVal val="0"/>
          <c:showCatName val="0"/>
          <c:showSerName val="0"/>
          <c:showPercent val="0"/>
          <c:showBubbleSize val="0"/>
        </c:dLbls>
        <c:gapWidth val="150"/>
        <c:axId val="2078758040"/>
        <c:axId val="2078760952"/>
      </c:barChart>
      <c:catAx>
        <c:axId val="2078758040"/>
        <c:scaling>
          <c:orientation val="minMax"/>
        </c:scaling>
        <c:delete val="0"/>
        <c:axPos val="b"/>
        <c:majorTickMark val="none"/>
        <c:minorTickMark val="none"/>
        <c:tickLblPos val="nextTo"/>
        <c:crossAx val="2078760952"/>
        <c:crosses val="autoZero"/>
        <c:auto val="1"/>
        <c:lblAlgn val="ctr"/>
        <c:lblOffset val="100"/>
        <c:noMultiLvlLbl val="0"/>
      </c:catAx>
      <c:valAx>
        <c:axId val="2078760952"/>
        <c:scaling>
          <c:orientation val="minMax"/>
        </c:scaling>
        <c:delete val="0"/>
        <c:axPos val="l"/>
        <c:majorGridlines/>
        <c:numFmt formatCode="#,##0" sourceLinked="0"/>
        <c:majorTickMark val="out"/>
        <c:minorTickMark val="out"/>
        <c:tickLblPos val="nextTo"/>
        <c:crossAx val="2078758040"/>
        <c:crosses val="autoZero"/>
        <c:crossBetween val="between"/>
        <c:minorUnit val="2000.0"/>
      </c:valAx>
    </c:plotArea>
    <c:legend>
      <c:legendPos val="r"/>
      <c:overlay val="0"/>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4.4'!$C$3</c:f>
              <c:strCache>
                <c:ptCount val="1"/>
                <c:pt idx="0">
                  <c:v>Unionized</c:v>
                </c:pt>
              </c:strCache>
            </c:strRef>
          </c:tx>
          <c:spPr>
            <a:solidFill>
              <a:srgbClr val="000080"/>
            </a:solidFill>
          </c:spPr>
          <c:invertIfNegative val="0"/>
          <c:dLbls>
            <c:numFmt formatCode="#,##0.0" sourceLinked="0"/>
            <c:dLblPos val="outEnd"/>
            <c:showLegendKey val="0"/>
            <c:showVal val="1"/>
            <c:showCatName val="0"/>
            <c:showSerName val="0"/>
            <c:showPercent val="0"/>
            <c:showBubbleSize val="0"/>
            <c:showLeaderLines val="0"/>
          </c:dLbls>
          <c:cat>
            <c:strRef>
              <c:f>'Figure 4.4'!$B$4:$B$6</c:f>
              <c:strCache>
                <c:ptCount val="3"/>
                <c:pt idx="0">
                  <c:v>Micro</c:v>
                </c:pt>
                <c:pt idx="1">
                  <c:v>Small</c:v>
                </c:pt>
                <c:pt idx="2">
                  <c:v>Medium</c:v>
                </c:pt>
              </c:strCache>
            </c:strRef>
          </c:cat>
          <c:val>
            <c:numRef>
              <c:f>'Figure 4.4'!$C$4:$C$6</c:f>
              <c:numCache>
                <c:formatCode>#,#00</c:formatCode>
                <c:ptCount val="3"/>
                <c:pt idx="0">
                  <c:v>5.60928440093994</c:v>
                </c:pt>
                <c:pt idx="1">
                  <c:v>37.85310745239249</c:v>
                </c:pt>
                <c:pt idx="2">
                  <c:v>75.0</c:v>
                </c:pt>
              </c:numCache>
            </c:numRef>
          </c:val>
        </c:ser>
        <c:dLbls>
          <c:showLegendKey val="0"/>
          <c:showVal val="0"/>
          <c:showCatName val="0"/>
          <c:showSerName val="0"/>
          <c:showPercent val="0"/>
          <c:showBubbleSize val="0"/>
        </c:dLbls>
        <c:gapWidth val="150"/>
        <c:axId val="2059368968"/>
        <c:axId val="2059371880"/>
      </c:barChart>
      <c:catAx>
        <c:axId val="2059368968"/>
        <c:scaling>
          <c:orientation val="minMax"/>
        </c:scaling>
        <c:delete val="0"/>
        <c:axPos val="b"/>
        <c:majorTickMark val="out"/>
        <c:minorTickMark val="none"/>
        <c:tickLblPos val="nextTo"/>
        <c:crossAx val="2059371880"/>
        <c:crosses val="autoZero"/>
        <c:auto val="1"/>
        <c:lblAlgn val="ctr"/>
        <c:lblOffset val="100"/>
        <c:noMultiLvlLbl val="0"/>
      </c:catAx>
      <c:valAx>
        <c:axId val="2059371880"/>
        <c:scaling>
          <c:orientation val="minMax"/>
        </c:scaling>
        <c:delete val="0"/>
        <c:axPos val="l"/>
        <c:majorGridlines/>
        <c:numFmt formatCode="#,##0" sourceLinked="0"/>
        <c:majorTickMark val="out"/>
        <c:minorTickMark val="none"/>
        <c:tickLblPos val="nextTo"/>
        <c:crossAx val="2059368968"/>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 4.6'!$C$2</c:f>
              <c:strCache>
                <c:ptCount val="1"/>
                <c:pt idx="0">
                  <c:v>2006</c:v>
                </c:pt>
              </c:strCache>
            </c:strRef>
          </c:tx>
          <c:spPr>
            <a:solidFill>
              <a:srgbClr val="000080"/>
            </a:solidFill>
          </c:spPr>
          <c:invertIfNegative val="0"/>
          <c:dLbls>
            <c:numFmt formatCode="#,##0.0" sourceLinked="0"/>
            <c:showLegendKey val="0"/>
            <c:showVal val="1"/>
            <c:showCatName val="0"/>
            <c:showSerName val="0"/>
            <c:showPercent val="0"/>
            <c:showBubbleSize val="0"/>
            <c:showLeaderLines val="0"/>
          </c:dLbls>
          <c:cat>
            <c:strRef>
              <c:f>'Figure 4.6'!$B$3:$B$5</c:f>
              <c:strCache>
                <c:ptCount val="3"/>
                <c:pt idx="0">
                  <c:v>Micro</c:v>
                </c:pt>
                <c:pt idx="1">
                  <c:v>Small</c:v>
                </c:pt>
                <c:pt idx="2">
                  <c:v>Medium</c:v>
                </c:pt>
              </c:strCache>
            </c:strRef>
          </c:cat>
          <c:val>
            <c:numRef>
              <c:f>'Figure 4.6'!$C$3:$C$5</c:f>
              <c:numCache>
                <c:formatCode>#,#00</c:formatCode>
                <c:ptCount val="3"/>
                <c:pt idx="0">
                  <c:v>12.222222328186</c:v>
                </c:pt>
                <c:pt idx="1">
                  <c:v>18.47826004028319</c:v>
                </c:pt>
                <c:pt idx="2">
                  <c:v>44.1176452636719</c:v>
                </c:pt>
              </c:numCache>
            </c:numRef>
          </c:val>
        </c:ser>
        <c:ser>
          <c:idx val="1"/>
          <c:order val="1"/>
          <c:tx>
            <c:strRef>
              <c:f>'Figure 4.6'!$D$2</c:f>
              <c:strCache>
                <c:ptCount val="1"/>
                <c:pt idx="0">
                  <c:v>2011</c:v>
                </c:pt>
              </c:strCache>
            </c:strRef>
          </c:tx>
          <c:spPr>
            <a:solidFill>
              <a:srgbClr val="3366FF"/>
            </a:solidFill>
          </c:spPr>
          <c:invertIfNegative val="0"/>
          <c:dLbls>
            <c:numFmt formatCode="#,##0.0" sourceLinked="0"/>
            <c:dLblPos val="outEnd"/>
            <c:showLegendKey val="0"/>
            <c:showVal val="1"/>
            <c:showCatName val="0"/>
            <c:showSerName val="0"/>
            <c:showPercent val="0"/>
            <c:showBubbleSize val="0"/>
            <c:showLeaderLines val="0"/>
          </c:dLbls>
          <c:cat>
            <c:strRef>
              <c:f>'Figure 4.6'!$B$3:$B$5</c:f>
              <c:strCache>
                <c:ptCount val="3"/>
                <c:pt idx="0">
                  <c:v>Micro</c:v>
                </c:pt>
                <c:pt idx="1">
                  <c:v>Small</c:v>
                </c:pt>
                <c:pt idx="2">
                  <c:v>Medium</c:v>
                </c:pt>
              </c:strCache>
            </c:strRef>
          </c:cat>
          <c:val>
            <c:numRef>
              <c:f>'Figure 4.6'!$D$3:$D$5</c:f>
              <c:numCache>
                <c:formatCode>#,#00</c:formatCode>
                <c:ptCount val="3"/>
                <c:pt idx="0">
                  <c:v>4.444444656372069</c:v>
                </c:pt>
                <c:pt idx="1">
                  <c:v>11.956521987915</c:v>
                </c:pt>
                <c:pt idx="2">
                  <c:v>23.529411315918</c:v>
                </c:pt>
              </c:numCache>
            </c:numRef>
          </c:val>
        </c:ser>
        <c:dLbls>
          <c:showLegendKey val="0"/>
          <c:showVal val="0"/>
          <c:showCatName val="0"/>
          <c:showSerName val="0"/>
          <c:showPercent val="0"/>
          <c:showBubbleSize val="0"/>
        </c:dLbls>
        <c:gapWidth val="150"/>
        <c:axId val="2078706840"/>
        <c:axId val="2078693528"/>
      </c:barChart>
      <c:catAx>
        <c:axId val="2078706840"/>
        <c:scaling>
          <c:orientation val="minMax"/>
        </c:scaling>
        <c:delete val="0"/>
        <c:axPos val="b"/>
        <c:majorTickMark val="out"/>
        <c:minorTickMark val="none"/>
        <c:tickLblPos val="nextTo"/>
        <c:crossAx val="2078693528"/>
        <c:crosses val="autoZero"/>
        <c:auto val="1"/>
        <c:lblAlgn val="ctr"/>
        <c:lblOffset val="100"/>
        <c:noMultiLvlLbl val="0"/>
      </c:catAx>
      <c:valAx>
        <c:axId val="2078693528"/>
        <c:scaling>
          <c:orientation val="minMax"/>
        </c:scaling>
        <c:delete val="0"/>
        <c:axPos val="l"/>
        <c:majorGridlines/>
        <c:numFmt formatCode="#,##0" sourceLinked="0"/>
        <c:majorTickMark val="out"/>
        <c:minorTickMark val="none"/>
        <c:tickLblPos val="nextTo"/>
        <c:crossAx val="2078706840"/>
        <c:crosses val="autoZero"/>
        <c:crossBetween val="between"/>
      </c:valAx>
    </c:plotArea>
    <c:legend>
      <c:legendPos val="r"/>
      <c:overlay val="0"/>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 5.1'!$C$2</c:f>
              <c:strCache>
                <c:ptCount val="1"/>
                <c:pt idx="0">
                  <c:v>2006</c:v>
                </c:pt>
              </c:strCache>
            </c:strRef>
          </c:tx>
          <c:spPr>
            <a:solidFill>
              <a:srgbClr val="000080"/>
            </a:solidFill>
          </c:spPr>
          <c:invertIfNegative val="0"/>
          <c:dLbls>
            <c:dLblPos val="outEnd"/>
            <c:showLegendKey val="0"/>
            <c:showVal val="1"/>
            <c:showCatName val="0"/>
            <c:showSerName val="0"/>
            <c:showPercent val="0"/>
            <c:showBubbleSize val="0"/>
            <c:showLeaderLines val="0"/>
          </c:dLbls>
          <c:cat>
            <c:strRef>
              <c:f>'Figure 5.1'!$B$3:$B$5</c:f>
              <c:strCache>
                <c:ptCount val="3"/>
                <c:pt idx="0">
                  <c:v>Micro</c:v>
                </c:pt>
                <c:pt idx="1">
                  <c:v>Small</c:v>
                </c:pt>
                <c:pt idx="2">
                  <c:v>Medium</c:v>
                </c:pt>
              </c:strCache>
            </c:strRef>
          </c:cat>
          <c:val>
            <c:numRef>
              <c:f>'Figure 5.1'!$C$3:$C$5</c:f>
              <c:numCache>
                <c:formatCode>#,#00</c:formatCode>
                <c:ptCount val="3"/>
                <c:pt idx="0">
                  <c:v>157.755734375</c:v>
                </c:pt>
                <c:pt idx="1">
                  <c:v>343.8265937499995</c:v>
                </c:pt>
                <c:pt idx="2">
                  <c:v>573.4119999999995</c:v>
                </c:pt>
              </c:numCache>
            </c:numRef>
          </c:val>
        </c:ser>
        <c:ser>
          <c:idx val="1"/>
          <c:order val="1"/>
          <c:tx>
            <c:strRef>
              <c:f>'Figure 5.1'!$D$2</c:f>
              <c:strCache>
                <c:ptCount val="1"/>
                <c:pt idx="0">
                  <c:v>2011</c:v>
                </c:pt>
              </c:strCache>
            </c:strRef>
          </c:tx>
          <c:spPr>
            <a:solidFill>
              <a:srgbClr val="3366FF"/>
            </a:solidFill>
          </c:spPr>
          <c:invertIfNegative val="0"/>
          <c:dLbls>
            <c:dLblPos val="outEnd"/>
            <c:showLegendKey val="0"/>
            <c:showVal val="1"/>
            <c:showCatName val="0"/>
            <c:showSerName val="0"/>
            <c:showPercent val="0"/>
            <c:showBubbleSize val="0"/>
            <c:showLeaderLines val="0"/>
          </c:dLbls>
          <c:cat>
            <c:strRef>
              <c:f>'Figure 5.1'!$B$3:$B$5</c:f>
              <c:strCache>
                <c:ptCount val="3"/>
                <c:pt idx="0">
                  <c:v>Micro</c:v>
                </c:pt>
                <c:pt idx="1">
                  <c:v>Small</c:v>
                </c:pt>
                <c:pt idx="2">
                  <c:v>Medium</c:v>
                </c:pt>
              </c:strCache>
            </c:strRef>
          </c:cat>
          <c:val>
            <c:numRef>
              <c:f>'Figure 5.1'!$D$3:$D$5</c:f>
              <c:numCache>
                <c:formatCode>#,#00</c:formatCode>
                <c:ptCount val="3"/>
                <c:pt idx="0">
                  <c:v>72.0</c:v>
                </c:pt>
                <c:pt idx="1">
                  <c:v>113.954546875</c:v>
                </c:pt>
                <c:pt idx="2">
                  <c:v>469.1454375</c:v>
                </c:pt>
              </c:numCache>
            </c:numRef>
          </c:val>
        </c:ser>
        <c:dLbls>
          <c:showLegendKey val="0"/>
          <c:showVal val="0"/>
          <c:showCatName val="0"/>
          <c:showSerName val="0"/>
          <c:showPercent val="0"/>
          <c:showBubbleSize val="0"/>
        </c:dLbls>
        <c:gapWidth val="150"/>
        <c:axId val="2059358200"/>
        <c:axId val="2076816088"/>
      </c:barChart>
      <c:catAx>
        <c:axId val="2059358200"/>
        <c:scaling>
          <c:orientation val="minMax"/>
        </c:scaling>
        <c:delete val="0"/>
        <c:axPos val="b"/>
        <c:majorTickMark val="out"/>
        <c:minorTickMark val="none"/>
        <c:tickLblPos val="nextTo"/>
        <c:crossAx val="2076816088"/>
        <c:crosses val="autoZero"/>
        <c:auto val="1"/>
        <c:lblAlgn val="ctr"/>
        <c:lblOffset val="100"/>
        <c:noMultiLvlLbl val="0"/>
      </c:catAx>
      <c:valAx>
        <c:axId val="2076816088"/>
        <c:scaling>
          <c:orientation val="minMax"/>
        </c:scaling>
        <c:delete val="0"/>
        <c:axPos val="l"/>
        <c:majorGridlines/>
        <c:numFmt formatCode="#,##0" sourceLinked="0"/>
        <c:majorTickMark val="out"/>
        <c:minorTickMark val="none"/>
        <c:tickLblPos val="nextTo"/>
        <c:crossAx val="2059358200"/>
        <c:crosses val="autoZero"/>
        <c:crossBetween val="between"/>
      </c:valAx>
    </c:plotArea>
    <c:legend>
      <c:legendPos val="r"/>
      <c:overlay val="0"/>
    </c:legend>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 5.2'!$C$3</c:f>
              <c:strCache>
                <c:ptCount val="1"/>
                <c:pt idx="0">
                  <c:v>2006</c:v>
                </c:pt>
              </c:strCache>
            </c:strRef>
          </c:tx>
          <c:spPr>
            <a:solidFill>
              <a:srgbClr val="000080"/>
            </a:solidFill>
          </c:spPr>
          <c:invertIfNegative val="0"/>
          <c:dLbls>
            <c:numFmt formatCode="#,##0.0" sourceLinked="0"/>
            <c:showLegendKey val="0"/>
            <c:showVal val="1"/>
            <c:showCatName val="0"/>
            <c:showSerName val="0"/>
            <c:showPercent val="0"/>
            <c:showBubbleSize val="0"/>
            <c:showLeaderLines val="0"/>
          </c:dLbls>
          <c:cat>
            <c:strRef>
              <c:f>'Figure 5.2'!$B$4:$B$6</c:f>
              <c:strCache>
                <c:ptCount val="3"/>
                <c:pt idx="0">
                  <c:v>Micro</c:v>
                </c:pt>
                <c:pt idx="1">
                  <c:v>Small</c:v>
                </c:pt>
                <c:pt idx="2">
                  <c:v>Medium</c:v>
                </c:pt>
              </c:strCache>
            </c:strRef>
          </c:cat>
          <c:val>
            <c:numRef>
              <c:f>'Figure 5.2'!$C$4:$C$6</c:f>
              <c:numCache>
                <c:formatCode>#,#00</c:formatCode>
                <c:ptCount val="3"/>
                <c:pt idx="0">
                  <c:v>48.48484802246089</c:v>
                </c:pt>
                <c:pt idx="1">
                  <c:v>62.5</c:v>
                </c:pt>
                <c:pt idx="2">
                  <c:v>80.95237731933577</c:v>
                </c:pt>
              </c:numCache>
            </c:numRef>
          </c:val>
        </c:ser>
        <c:ser>
          <c:idx val="1"/>
          <c:order val="1"/>
          <c:tx>
            <c:strRef>
              <c:f>'Figure 5.2'!$D$3</c:f>
              <c:strCache>
                <c:ptCount val="1"/>
                <c:pt idx="0">
                  <c:v>2011</c:v>
                </c:pt>
              </c:strCache>
            </c:strRef>
          </c:tx>
          <c:spPr>
            <a:solidFill>
              <a:srgbClr val="3366FF"/>
            </a:solidFill>
          </c:spPr>
          <c:invertIfNegative val="0"/>
          <c:dLbls>
            <c:numFmt formatCode="#,##0.0" sourceLinked="0"/>
            <c:showLegendKey val="0"/>
            <c:showVal val="1"/>
            <c:showCatName val="0"/>
            <c:showSerName val="0"/>
            <c:showPercent val="0"/>
            <c:showBubbleSize val="0"/>
            <c:showLeaderLines val="0"/>
          </c:dLbls>
          <c:cat>
            <c:strRef>
              <c:f>'Figure 5.2'!$B$4:$B$6</c:f>
              <c:strCache>
                <c:ptCount val="3"/>
                <c:pt idx="0">
                  <c:v>Micro</c:v>
                </c:pt>
                <c:pt idx="1">
                  <c:v>Small</c:v>
                </c:pt>
                <c:pt idx="2">
                  <c:v>Medium</c:v>
                </c:pt>
              </c:strCache>
            </c:strRef>
          </c:cat>
          <c:val>
            <c:numRef>
              <c:f>'Figure 5.2'!$D$4:$D$6</c:f>
              <c:numCache>
                <c:formatCode>#,#00</c:formatCode>
                <c:ptCount val="3"/>
                <c:pt idx="0">
                  <c:v>44.07767105102536</c:v>
                </c:pt>
                <c:pt idx="1">
                  <c:v>50.5617980957031</c:v>
                </c:pt>
                <c:pt idx="2">
                  <c:v>72.3076934814454</c:v>
                </c:pt>
              </c:numCache>
            </c:numRef>
          </c:val>
        </c:ser>
        <c:dLbls>
          <c:showLegendKey val="0"/>
          <c:showVal val="0"/>
          <c:showCatName val="0"/>
          <c:showSerName val="0"/>
          <c:showPercent val="0"/>
          <c:showBubbleSize val="0"/>
        </c:dLbls>
        <c:gapWidth val="150"/>
        <c:axId val="2063059736"/>
        <c:axId val="2062864104"/>
      </c:barChart>
      <c:catAx>
        <c:axId val="2063059736"/>
        <c:scaling>
          <c:orientation val="minMax"/>
        </c:scaling>
        <c:delete val="0"/>
        <c:axPos val="b"/>
        <c:majorTickMark val="out"/>
        <c:minorTickMark val="none"/>
        <c:tickLblPos val="nextTo"/>
        <c:crossAx val="2062864104"/>
        <c:crosses val="autoZero"/>
        <c:auto val="1"/>
        <c:lblAlgn val="ctr"/>
        <c:lblOffset val="100"/>
        <c:noMultiLvlLbl val="0"/>
      </c:catAx>
      <c:valAx>
        <c:axId val="2062864104"/>
        <c:scaling>
          <c:orientation val="minMax"/>
        </c:scaling>
        <c:delete val="0"/>
        <c:axPos val="l"/>
        <c:majorGridlines/>
        <c:numFmt formatCode="#,##0" sourceLinked="0"/>
        <c:majorTickMark val="out"/>
        <c:minorTickMark val="none"/>
        <c:tickLblPos val="nextTo"/>
        <c:crossAx val="2063059736"/>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invertIfNegative val="0"/>
          <c:dPt>
            <c:idx val="0"/>
            <c:invertIfNegative val="0"/>
            <c:bubble3D val="0"/>
            <c:spPr>
              <a:solidFill>
                <a:srgbClr val="000080"/>
              </a:solidFill>
            </c:spPr>
          </c:dPt>
          <c:dPt>
            <c:idx val="1"/>
            <c:invertIfNegative val="0"/>
            <c:bubble3D val="0"/>
            <c:spPr>
              <a:solidFill>
                <a:srgbClr val="3366FF"/>
              </a:solidFill>
            </c:spPr>
          </c:dPt>
          <c:dPt>
            <c:idx val="2"/>
            <c:invertIfNegative val="0"/>
            <c:bubble3D val="0"/>
            <c:spPr>
              <a:solidFill>
                <a:srgbClr val="99CCFF"/>
              </a:solidFill>
            </c:spPr>
          </c:dPt>
          <c:dPt>
            <c:idx val="3"/>
            <c:invertIfNegative val="0"/>
            <c:bubble3D val="0"/>
            <c:spPr>
              <a:solidFill>
                <a:srgbClr val="008000"/>
              </a:solidFill>
            </c:spPr>
          </c:dPt>
          <c:dPt>
            <c:idx val="4"/>
            <c:invertIfNegative val="0"/>
            <c:bubble3D val="0"/>
            <c:spPr>
              <a:solidFill>
                <a:srgbClr val="99CC00"/>
              </a:solidFill>
            </c:spPr>
          </c:dPt>
          <c:dPt>
            <c:idx val="5"/>
            <c:invertIfNegative val="0"/>
            <c:bubble3D val="0"/>
            <c:spPr>
              <a:solidFill>
                <a:srgbClr val="CCFFCC"/>
              </a:solidFill>
            </c:spPr>
          </c:dPt>
          <c:dPt>
            <c:idx val="6"/>
            <c:invertIfNegative val="0"/>
            <c:bubble3D val="0"/>
            <c:spPr>
              <a:solidFill>
                <a:srgbClr val="FF0000"/>
              </a:solidFill>
            </c:spPr>
          </c:dPt>
          <c:dPt>
            <c:idx val="7"/>
            <c:invertIfNegative val="0"/>
            <c:bubble3D val="0"/>
            <c:spPr>
              <a:solidFill>
                <a:srgbClr val="FF99CC"/>
              </a:solidFill>
            </c:spPr>
          </c:dPt>
          <c:dLbls>
            <c:dLbl>
              <c:idx val="0"/>
              <c:layout>
                <c:manualLayout>
                  <c:x val="0.000270997375328084"/>
                  <c:y val="-0.0425448381452319"/>
                </c:manualLayout>
              </c:layout>
              <c:showLegendKey val="0"/>
              <c:showVal val="1"/>
              <c:showCatName val="0"/>
              <c:showSerName val="0"/>
              <c:showPercent val="0"/>
              <c:showBubbleSize val="0"/>
            </c:dLbl>
            <c:numFmt formatCode="#,##0.0" sourceLinked="0"/>
            <c:showLegendKey val="0"/>
            <c:showVal val="1"/>
            <c:showCatName val="0"/>
            <c:showSerName val="0"/>
            <c:showPercent val="0"/>
            <c:showBubbleSize val="0"/>
            <c:showLeaderLines val="0"/>
          </c:dLbls>
          <c:cat>
            <c:strRef>
              <c:f>Sheet1!$B$13:$B$20</c:f>
              <c:strCache>
                <c:ptCount val="8"/>
                <c:pt idx="0">
                  <c:v>Add to capacity</c:v>
                </c:pt>
                <c:pt idx="1">
                  <c:v>Replace old eqpmt.</c:v>
                </c:pt>
                <c:pt idx="2">
                  <c:v>Improve productivity</c:v>
                </c:pt>
                <c:pt idx="3">
                  <c:v>Improve quality</c:v>
                </c:pt>
                <c:pt idx="4">
                  <c:v>Introduce new product</c:v>
                </c:pt>
                <c:pt idx="5">
                  <c:v>Introduce new tech.</c:v>
                </c:pt>
                <c:pt idx="6">
                  <c:v>Safety</c:v>
                </c:pt>
                <c:pt idx="7">
                  <c:v>Other</c:v>
                </c:pt>
              </c:strCache>
            </c:strRef>
          </c:cat>
          <c:val>
            <c:numRef>
              <c:f>Sheet1!$C$13:$C$20</c:f>
              <c:numCache>
                <c:formatCode>General</c:formatCode>
                <c:ptCount val="8"/>
                <c:pt idx="0">
                  <c:v>77.5342464447022</c:v>
                </c:pt>
                <c:pt idx="1">
                  <c:v>28.49315106868742</c:v>
                </c:pt>
                <c:pt idx="2">
                  <c:v>55.8904111385345</c:v>
                </c:pt>
                <c:pt idx="3">
                  <c:v>47.67123162746429</c:v>
                </c:pt>
                <c:pt idx="4">
                  <c:v>16.1643832921982</c:v>
                </c:pt>
                <c:pt idx="5">
                  <c:v>9.863013774156568</c:v>
                </c:pt>
                <c:pt idx="6">
                  <c:v>7.417582720518109</c:v>
                </c:pt>
                <c:pt idx="7">
                  <c:v>13.15068453550342</c:v>
                </c:pt>
              </c:numCache>
            </c:numRef>
          </c:val>
        </c:ser>
        <c:dLbls>
          <c:showLegendKey val="0"/>
          <c:showVal val="0"/>
          <c:showCatName val="0"/>
          <c:showSerName val="0"/>
          <c:showPercent val="0"/>
          <c:showBubbleSize val="0"/>
        </c:dLbls>
        <c:gapWidth val="100"/>
        <c:axId val="2063190200"/>
        <c:axId val="2062946440"/>
      </c:barChart>
      <c:valAx>
        <c:axId val="2062946440"/>
        <c:scaling>
          <c:orientation val="minMax"/>
        </c:scaling>
        <c:delete val="0"/>
        <c:axPos val="l"/>
        <c:majorGridlines/>
        <c:numFmt formatCode="General" sourceLinked="1"/>
        <c:majorTickMark val="out"/>
        <c:minorTickMark val="none"/>
        <c:tickLblPos val="nextTo"/>
        <c:crossAx val="2063190200"/>
        <c:crosses val="autoZero"/>
        <c:crossBetween val="between"/>
      </c:valAx>
      <c:catAx>
        <c:axId val="2063190200"/>
        <c:scaling>
          <c:orientation val="minMax"/>
        </c:scaling>
        <c:delete val="0"/>
        <c:axPos val="b"/>
        <c:majorTickMark val="out"/>
        <c:minorTickMark val="none"/>
        <c:tickLblPos val="nextTo"/>
        <c:crossAx val="2062946440"/>
        <c:crosses val="autoZero"/>
        <c:auto val="1"/>
        <c:lblAlgn val="ctr"/>
        <c:lblOffset val="100"/>
        <c:noMultiLvlLbl val="0"/>
      </c:cat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0080"/>
            </a:solidFill>
          </c:spPr>
          <c:invertIfNegative val="0"/>
          <c:dLbls>
            <c:numFmt formatCode="#,##0.0" sourceLinked="0"/>
            <c:dLblPos val="outEnd"/>
            <c:showLegendKey val="0"/>
            <c:showVal val="1"/>
            <c:showCatName val="0"/>
            <c:showSerName val="0"/>
            <c:showPercent val="0"/>
            <c:showBubbleSize val="0"/>
            <c:showLeaderLines val="0"/>
          </c:dLbls>
          <c:cat>
            <c:strRef>
              <c:f>'Figure 7.1'!$B$3:$B$5</c:f>
              <c:strCache>
                <c:ptCount val="3"/>
                <c:pt idx="0">
                  <c:v>Micro</c:v>
                </c:pt>
                <c:pt idx="1">
                  <c:v>Small</c:v>
                </c:pt>
                <c:pt idx="2">
                  <c:v>Medium</c:v>
                </c:pt>
              </c:strCache>
            </c:strRef>
          </c:cat>
          <c:val>
            <c:numRef>
              <c:f>'Figure 7.1'!$C$3:$C$5</c:f>
              <c:numCache>
                <c:formatCode>General</c:formatCode>
                <c:ptCount val="3"/>
                <c:pt idx="0">
                  <c:v>0.580270767211914</c:v>
                </c:pt>
                <c:pt idx="1">
                  <c:v>3.37078642845154</c:v>
                </c:pt>
                <c:pt idx="2">
                  <c:v>19.6969699859619</c:v>
                </c:pt>
              </c:numCache>
            </c:numRef>
          </c:val>
        </c:ser>
        <c:dLbls>
          <c:showLegendKey val="0"/>
          <c:showVal val="0"/>
          <c:showCatName val="0"/>
          <c:showSerName val="0"/>
          <c:showPercent val="0"/>
          <c:showBubbleSize val="0"/>
        </c:dLbls>
        <c:gapWidth val="150"/>
        <c:axId val="2063384664"/>
        <c:axId val="2062842920"/>
      </c:barChart>
      <c:catAx>
        <c:axId val="2063384664"/>
        <c:scaling>
          <c:orientation val="minMax"/>
        </c:scaling>
        <c:delete val="0"/>
        <c:axPos val="b"/>
        <c:majorTickMark val="out"/>
        <c:minorTickMark val="none"/>
        <c:tickLblPos val="nextTo"/>
        <c:crossAx val="2062842920"/>
        <c:crosses val="autoZero"/>
        <c:auto val="1"/>
        <c:lblAlgn val="ctr"/>
        <c:lblOffset val="100"/>
        <c:noMultiLvlLbl val="0"/>
      </c:catAx>
      <c:valAx>
        <c:axId val="2062842920"/>
        <c:scaling>
          <c:orientation val="minMax"/>
        </c:scaling>
        <c:delete val="0"/>
        <c:axPos val="l"/>
        <c:majorGridlines/>
        <c:numFmt formatCode="General" sourceLinked="1"/>
        <c:majorTickMark val="out"/>
        <c:minorTickMark val="none"/>
        <c:tickLblPos val="nextTo"/>
        <c:crossAx val="2063384664"/>
        <c:crosses val="autoZero"/>
        <c:crossBetween val="between"/>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0080"/>
            </a:solidFill>
          </c:spPr>
          <c:invertIfNegative val="0"/>
          <c:dLbls>
            <c:dLbl>
              <c:idx val="8"/>
              <c:layout>
                <c:manualLayout>
                  <c:x val="-0.00277777777777768"/>
                  <c:y val="0.0"/>
                </c:manualLayout>
              </c:layout>
              <c:dLblPos val="outEnd"/>
              <c:showLegendKey val="0"/>
              <c:showVal val="1"/>
              <c:showCatName val="0"/>
              <c:showSerName val="0"/>
              <c:showPercent val="0"/>
              <c:showBubbleSize val="0"/>
            </c:dLbl>
            <c:numFmt formatCode="#,##0" sourceLinked="0"/>
            <c:dLblPos val="outEnd"/>
            <c:showLegendKey val="0"/>
            <c:showVal val="1"/>
            <c:showCatName val="0"/>
            <c:showSerName val="0"/>
            <c:showPercent val="0"/>
            <c:showBubbleSize val="0"/>
            <c:showLeaderLines val="0"/>
          </c:dLbls>
          <c:cat>
            <c:strRef>
              <c:f>'Figure 7.2'!$C$4:$C$13</c:f>
              <c:strCache>
                <c:ptCount val="10"/>
                <c:pt idx="0">
                  <c:v>Chimoio</c:v>
                </c:pt>
                <c:pt idx="1">
                  <c:v>Tete</c:v>
                </c:pt>
                <c:pt idx="2">
                  <c:v>Maputo</c:v>
                </c:pt>
                <c:pt idx="3">
                  <c:v>Beira</c:v>
                </c:pt>
                <c:pt idx="4">
                  <c:v>Matola</c:v>
                </c:pt>
                <c:pt idx="5">
                  <c:v>Moatize</c:v>
                </c:pt>
                <c:pt idx="6">
                  <c:v>Nampula</c:v>
                </c:pt>
                <c:pt idx="7">
                  <c:v>Nacala</c:v>
                </c:pt>
                <c:pt idx="8">
                  <c:v>Chokwé</c:v>
                </c:pt>
                <c:pt idx="9">
                  <c:v>Xai-Xai</c:v>
                </c:pt>
              </c:strCache>
            </c:strRef>
          </c:cat>
          <c:val>
            <c:numRef>
              <c:f>'Figure 7.2'!$D$4:$D$13</c:f>
              <c:numCache>
                <c:formatCode>#,#00</c:formatCode>
                <c:ptCount val="10"/>
                <c:pt idx="0">
                  <c:v>39.2857131958008</c:v>
                </c:pt>
                <c:pt idx="1">
                  <c:v>58.8235282897949</c:v>
                </c:pt>
                <c:pt idx="2">
                  <c:v>61.62790679931639</c:v>
                </c:pt>
                <c:pt idx="3">
                  <c:v>64.4927520751953</c:v>
                </c:pt>
                <c:pt idx="4">
                  <c:v>73.8461532592773</c:v>
                </c:pt>
                <c:pt idx="5">
                  <c:v>75.0</c:v>
                </c:pt>
                <c:pt idx="6">
                  <c:v>82.22222137451169</c:v>
                </c:pt>
                <c:pt idx="7">
                  <c:v>90.47618865966798</c:v>
                </c:pt>
                <c:pt idx="8">
                  <c:v>96.55172729492189</c:v>
                </c:pt>
                <c:pt idx="9">
                  <c:v>100.0</c:v>
                </c:pt>
              </c:numCache>
            </c:numRef>
          </c:val>
        </c:ser>
        <c:dLbls>
          <c:showLegendKey val="0"/>
          <c:showVal val="0"/>
          <c:showCatName val="0"/>
          <c:showSerName val="0"/>
          <c:showPercent val="0"/>
          <c:showBubbleSize val="0"/>
        </c:dLbls>
        <c:gapWidth val="150"/>
        <c:axId val="2059622360"/>
        <c:axId val="2062847560"/>
      </c:barChart>
      <c:catAx>
        <c:axId val="2059622360"/>
        <c:scaling>
          <c:orientation val="minMax"/>
        </c:scaling>
        <c:delete val="0"/>
        <c:axPos val="b"/>
        <c:majorTickMark val="out"/>
        <c:minorTickMark val="none"/>
        <c:tickLblPos val="nextTo"/>
        <c:crossAx val="2062847560"/>
        <c:crosses val="autoZero"/>
        <c:auto val="1"/>
        <c:lblAlgn val="ctr"/>
        <c:lblOffset val="100"/>
        <c:noMultiLvlLbl val="0"/>
      </c:catAx>
      <c:valAx>
        <c:axId val="2062847560"/>
        <c:scaling>
          <c:orientation val="minMax"/>
          <c:max val="100.0"/>
        </c:scaling>
        <c:delete val="0"/>
        <c:axPos val="l"/>
        <c:majorGridlines/>
        <c:numFmt formatCode="#,##0" sourceLinked="0"/>
        <c:majorTickMark val="out"/>
        <c:minorTickMark val="none"/>
        <c:tickLblPos val="nextTo"/>
        <c:crossAx val="2059622360"/>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 7.3'!$D$3</c:f>
              <c:strCache>
                <c:ptCount val="1"/>
                <c:pt idx="0">
                  <c:v>Private Individuals</c:v>
                </c:pt>
              </c:strCache>
            </c:strRef>
          </c:tx>
          <c:spPr>
            <a:solidFill>
              <a:srgbClr val="000080"/>
            </a:solidFill>
          </c:spPr>
          <c:invertIfNegative val="0"/>
          <c:dLbls>
            <c:showLegendKey val="0"/>
            <c:showVal val="1"/>
            <c:showCatName val="0"/>
            <c:showSerName val="0"/>
            <c:showPercent val="0"/>
            <c:showBubbleSize val="0"/>
            <c:showLeaderLines val="0"/>
          </c:dLbls>
          <c:cat>
            <c:strRef>
              <c:f>'Figure 7.3'!$C$4:$C$7</c:f>
              <c:strCache>
                <c:ptCount val="4"/>
                <c:pt idx="0">
                  <c:v>Micro, informal</c:v>
                </c:pt>
                <c:pt idx="1">
                  <c:v>Micro, formal</c:v>
                </c:pt>
                <c:pt idx="2">
                  <c:v>Small</c:v>
                </c:pt>
                <c:pt idx="3">
                  <c:v>Medium</c:v>
                </c:pt>
              </c:strCache>
            </c:strRef>
          </c:cat>
          <c:val>
            <c:numRef>
              <c:f>'Figure 7.3'!$D$4:$D$7</c:f>
              <c:numCache>
                <c:formatCode>#,#00</c:formatCode>
                <c:ptCount val="4"/>
                <c:pt idx="0">
                  <c:v>92.22785186767578</c:v>
                </c:pt>
                <c:pt idx="1">
                  <c:v>85.67705535888668</c:v>
                </c:pt>
                <c:pt idx="2">
                  <c:v>59.9715919494629</c:v>
                </c:pt>
                <c:pt idx="3">
                  <c:v>37.6923065185547</c:v>
                </c:pt>
              </c:numCache>
            </c:numRef>
          </c:val>
        </c:ser>
        <c:ser>
          <c:idx val="1"/>
          <c:order val="1"/>
          <c:tx>
            <c:strRef>
              <c:f>'Figure 7.3'!$E$3</c:f>
              <c:strCache>
                <c:ptCount val="1"/>
                <c:pt idx="0">
                  <c:v>Firms</c:v>
                </c:pt>
              </c:strCache>
            </c:strRef>
          </c:tx>
          <c:spPr>
            <a:solidFill>
              <a:srgbClr val="3366FF"/>
            </a:solidFill>
          </c:spPr>
          <c:invertIfNegative val="0"/>
          <c:dLbls>
            <c:numFmt formatCode="#,##0" sourceLinked="0"/>
            <c:showLegendKey val="0"/>
            <c:showVal val="1"/>
            <c:showCatName val="0"/>
            <c:showSerName val="0"/>
            <c:showPercent val="0"/>
            <c:showBubbleSize val="0"/>
            <c:showLeaderLines val="0"/>
          </c:dLbls>
          <c:cat>
            <c:strRef>
              <c:f>'Figure 7.3'!$C$4:$C$7</c:f>
              <c:strCache>
                <c:ptCount val="4"/>
                <c:pt idx="0">
                  <c:v>Micro, informal</c:v>
                </c:pt>
                <c:pt idx="1">
                  <c:v>Micro, formal</c:v>
                </c:pt>
                <c:pt idx="2">
                  <c:v>Small</c:v>
                </c:pt>
                <c:pt idx="3">
                  <c:v>Medium</c:v>
                </c:pt>
              </c:strCache>
            </c:strRef>
          </c:cat>
          <c:val>
            <c:numRef>
              <c:f>'Figure 7.3'!$E$4:$E$7</c:f>
              <c:numCache>
                <c:formatCode>#,#00</c:formatCode>
                <c:ptCount val="4"/>
                <c:pt idx="0">
                  <c:v>4.284810066223139</c:v>
                </c:pt>
                <c:pt idx="1">
                  <c:v>10.2237958908081</c:v>
                </c:pt>
                <c:pt idx="2">
                  <c:v>30.6931819915771</c:v>
                </c:pt>
                <c:pt idx="3">
                  <c:v>42.15384674072269</c:v>
                </c:pt>
              </c:numCache>
            </c:numRef>
          </c:val>
        </c:ser>
        <c:ser>
          <c:idx val="2"/>
          <c:order val="2"/>
          <c:tx>
            <c:strRef>
              <c:f>'Figure 7.3'!$F$3</c:f>
              <c:strCache>
                <c:ptCount val="1"/>
                <c:pt idx="0">
                  <c:v>Government</c:v>
                </c:pt>
              </c:strCache>
            </c:strRef>
          </c:tx>
          <c:spPr>
            <a:solidFill>
              <a:srgbClr val="99CCFF"/>
            </a:solidFill>
          </c:spPr>
          <c:invertIfNegative val="0"/>
          <c:dLbls>
            <c:numFmt formatCode="#,##0" sourceLinked="0"/>
            <c:showLegendKey val="0"/>
            <c:showVal val="1"/>
            <c:showCatName val="0"/>
            <c:showSerName val="0"/>
            <c:showPercent val="0"/>
            <c:showBubbleSize val="0"/>
            <c:showLeaderLines val="0"/>
          </c:dLbls>
          <c:cat>
            <c:strRef>
              <c:f>'Figure 7.3'!$C$4:$C$7</c:f>
              <c:strCache>
                <c:ptCount val="4"/>
                <c:pt idx="0">
                  <c:v>Micro, informal</c:v>
                </c:pt>
                <c:pt idx="1">
                  <c:v>Micro, formal</c:v>
                </c:pt>
                <c:pt idx="2">
                  <c:v>Small</c:v>
                </c:pt>
                <c:pt idx="3">
                  <c:v>Medium</c:v>
                </c:pt>
              </c:strCache>
            </c:strRef>
          </c:cat>
          <c:val>
            <c:numRef>
              <c:f>'Figure 7.3'!$F$4:$F$7</c:f>
              <c:numCache>
                <c:formatCode>#,#00</c:formatCode>
                <c:ptCount val="4"/>
                <c:pt idx="0">
                  <c:v>0.506329119205475</c:v>
                </c:pt>
                <c:pt idx="1">
                  <c:v>0.424929171800613</c:v>
                </c:pt>
                <c:pt idx="2">
                  <c:v>2.34090900421143</c:v>
                </c:pt>
                <c:pt idx="3">
                  <c:v>4.23076915740967</c:v>
                </c:pt>
              </c:numCache>
            </c:numRef>
          </c:val>
        </c:ser>
        <c:ser>
          <c:idx val="3"/>
          <c:order val="3"/>
          <c:tx>
            <c:strRef>
              <c:f>'Figure 7.3'!$G$3</c:f>
              <c:strCache>
                <c:ptCount val="1"/>
                <c:pt idx="0">
                  <c:v>Exports</c:v>
                </c:pt>
              </c:strCache>
            </c:strRef>
          </c:tx>
          <c:spPr>
            <a:solidFill>
              <a:srgbClr val="008000"/>
            </a:solidFill>
          </c:spPr>
          <c:invertIfNegative val="0"/>
          <c:dLbls>
            <c:numFmt formatCode="#,##0" sourceLinked="0"/>
            <c:showLegendKey val="0"/>
            <c:showVal val="1"/>
            <c:showCatName val="0"/>
            <c:showSerName val="0"/>
            <c:showPercent val="0"/>
            <c:showBubbleSize val="0"/>
            <c:showLeaderLines val="0"/>
          </c:dLbls>
          <c:cat>
            <c:strRef>
              <c:f>'Figure 7.3'!$C$4:$C$7</c:f>
              <c:strCache>
                <c:ptCount val="4"/>
                <c:pt idx="0">
                  <c:v>Micro, informal</c:v>
                </c:pt>
                <c:pt idx="1">
                  <c:v>Micro, formal</c:v>
                </c:pt>
                <c:pt idx="2">
                  <c:v>Small</c:v>
                </c:pt>
                <c:pt idx="3">
                  <c:v>Medium</c:v>
                </c:pt>
              </c:strCache>
            </c:strRef>
          </c:cat>
          <c:val>
            <c:numRef>
              <c:f>'Figure 7.3'!$G$4:$G$7</c:f>
              <c:numCache>
                <c:formatCode>#,#00</c:formatCode>
                <c:ptCount val="4"/>
                <c:pt idx="0">
                  <c:v>0.0</c:v>
                </c:pt>
                <c:pt idx="1">
                  <c:v>0.509914994239807</c:v>
                </c:pt>
                <c:pt idx="2">
                  <c:v>0.511363625526428</c:v>
                </c:pt>
                <c:pt idx="3">
                  <c:v>10.692307472229</c:v>
                </c:pt>
              </c:numCache>
            </c:numRef>
          </c:val>
        </c:ser>
        <c:ser>
          <c:idx val="4"/>
          <c:order val="4"/>
          <c:tx>
            <c:strRef>
              <c:f>'Figure 7.3'!$H$3</c:f>
              <c:strCache>
                <c:ptCount val="1"/>
                <c:pt idx="0">
                  <c:v>Other</c:v>
                </c:pt>
              </c:strCache>
            </c:strRef>
          </c:tx>
          <c:spPr>
            <a:solidFill>
              <a:srgbClr val="99CC00"/>
            </a:solidFill>
          </c:spPr>
          <c:invertIfNegative val="0"/>
          <c:dLbls>
            <c:numFmt formatCode="#,##0" sourceLinked="0"/>
            <c:showLegendKey val="0"/>
            <c:showVal val="1"/>
            <c:showCatName val="0"/>
            <c:showSerName val="0"/>
            <c:showPercent val="0"/>
            <c:showBubbleSize val="0"/>
            <c:showLeaderLines val="0"/>
          </c:dLbls>
          <c:cat>
            <c:strRef>
              <c:f>'Figure 7.3'!$C$4:$C$7</c:f>
              <c:strCache>
                <c:ptCount val="4"/>
                <c:pt idx="0">
                  <c:v>Micro, informal</c:v>
                </c:pt>
                <c:pt idx="1">
                  <c:v>Micro, formal</c:v>
                </c:pt>
                <c:pt idx="2">
                  <c:v>Small</c:v>
                </c:pt>
                <c:pt idx="3">
                  <c:v>Medium</c:v>
                </c:pt>
              </c:strCache>
            </c:strRef>
          </c:cat>
          <c:val>
            <c:numRef>
              <c:f>'Figure 7.3'!$H$4:$H$7</c:f>
              <c:numCache>
                <c:formatCode>#,#00</c:formatCode>
                <c:ptCount val="4"/>
                <c:pt idx="0">
                  <c:v>1.96202528476715</c:v>
                </c:pt>
                <c:pt idx="1">
                  <c:v>2.379603385925289</c:v>
                </c:pt>
                <c:pt idx="2">
                  <c:v>4.59659099578857</c:v>
                </c:pt>
                <c:pt idx="3">
                  <c:v>4.8461537361145</c:v>
                </c:pt>
              </c:numCache>
            </c:numRef>
          </c:val>
        </c:ser>
        <c:dLbls>
          <c:showLegendKey val="0"/>
          <c:showVal val="0"/>
          <c:showCatName val="0"/>
          <c:showSerName val="0"/>
          <c:showPercent val="0"/>
          <c:showBubbleSize val="0"/>
        </c:dLbls>
        <c:gapWidth val="150"/>
        <c:axId val="2078728872"/>
        <c:axId val="2063207384"/>
      </c:barChart>
      <c:catAx>
        <c:axId val="2078728872"/>
        <c:scaling>
          <c:orientation val="minMax"/>
        </c:scaling>
        <c:delete val="0"/>
        <c:axPos val="b"/>
        <c:majorTickMark val="out"/>
        <c:minorTickMark val="none"/>
        <c:tickLblPos val="nextTo"/>
        <c:crossAx val="2063207384"/>
        <c:crosses val="autoZero"/>
        <c:auto val="1"/>
        <c:lblAlgn val="ctr"/>
        <c:lblOffset val="100"/>
        <c:noMultiLvlLbl val="0"/>
      </c:catAx>
      <c:valAx>
        <c:axId val="2063207384"/>
        <c:scaling>
          <c:orientation val="minMax"/>
        </c:scaling>
        <c:delete val="0"/>
        <c:axPos val="l"/>
        <c:majorGridlines/>
        <c:numFmt formatCode="#,##0" sourceLinked="0"/>
        <c:majorTickMark val="out"/>
        <c:minorTickMark val="none"/>
        <c:tickLblPos val="nextTo"/>
        <c:crossAx val="2078728872"/>
        <c:crosses val="autoZero"/>
        <c:crossBetween val="between"/>
      </c:valAx>
    </c:plotArea>
    <c:legend>
      <c:legendPos val="r"/>
      <c:overlay val="0"/>
    </c:legend>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 7.4'!$D$3</c:f>
              <c:strCache>
                <c:ptCount val="1"/>
                <c:pt idx="0">
                  <c:v>2006</c:v>
                </c:pt>
              </c:strCache>
            </c:strRef>
          </c:tx>
          <c:spPr>
            <a:solidFill>
              <a:srgbClr val="000080"/>
            </a:solidFill>
          </c:spPr>
          <c:invertIfNegative val="0"/>
          <c:dLbls>
            <c:numFmt formatCode="#,##0.0" sourceLinked="0"/>
            <c:showLegendKey val="0"/>
            <c:showVal val="1"/>
            <c:showCatName val="0"/>
            <c:showSerName val="0"/>
            <c:showPercent val="0"/>
            <c:showBubbleSize val="0"/>
            <c:showLeaderLines val="0"/>
          </c:dLbls>
          <c:cat>
            <c:strRef>
              <c:f>'Figure 7.4'!$C$4:$C$6</c:f>
              <c:strCache>
                <c:ptCount val="3"/>
                <c:pt idx="0">
                  <c:v>Micro</c:v>
                </c:pt>
                <c:pt idx="1">
                  <c:v>Small</c:v>
                </c:pt>
                <c:pt idx="2">
                  <c:v>Medium</c:v>
                </c:pt>
              </c:strCache>
            </c:strRef>
          </c:cat>
          <c:val>
            <c:numRef>
              <c:f>'Figure 7.4'!$D$4:$D$6</c:f>
              <c:numCache>
                <c:formatCode>General</c:formatCode>
                <c:ptCount val="3"/>
                <c:pt idx="0">
                  <c:v>18.0120487213135</c:v>
                </c:pt>
                <c:pt idx="1">
                  <c:v>30.3214282989502</c:v>
                </c:pt>
                <c:pt idx="2">
                  <c:v>53.88888931274409</c:v>
                </c:pt>
              </c:numCache>
            </c:numRef>
          </c:val>
        </c:ser>
        <c:ser>
          <c:idx val="1"/>
          <c:order val="1"/>
          <c:tx>
            <c:strRef>
              <c:f>'Figure 7.4'!$E$3</c:f>
              <c:strCache>
                <c:ptCount val="1"/>
                <c:pt idx="0">
                  <c:v>2011</c:v>
                </c:pt>
              </c:strCache>
            </c:strRef>
          </c:tx>
          <c:spPr>
            <a:solidFill>
              <a:srgbClr val="3366FF"/>
            </a:solidFill>
          </c:spPr>
          <c:invertIfNegative val="0"/>
          <c:dLbls>
            <c:numFmt formatCode="#,##0.0" sourceLinked="0"/>
            <c:showLegendKey val="0"/>
            <c:showVal val="1"/>
            <c:showCatName val="0"/>
            <c:showSerName val="0"/>
            <c:showPercent val="0"/>
            <c:showBubbleSize val="0"/>
            <c:showLeaderLines val="0"/>
          </c:dLbls>
          <c:cat>
            <c:strRef>
              <c:f>'Figure 7.4'!$C$4:$C$6</c:f>
              <c:strCache>
                <c:ptCount val="3"/>
                <c:pt idx="0">
                  <c:v>Micro</c:v>
                </c:pt>
                <c:pt idx="1">
                  <c:v>Small</c:v>
                </c:pt>
                <c:pt idx="2">
                  <c:v>Medium</c:v>
                </c:pt>
              </c:strCache>
            </c:strRef>
          </c:cat>
          <c:val>
            <c:numRef>
              <c:f>'Figure 7.4'!$E$4:$E$6</c:f>
              <c:numCache>
                <c:formatCode>General</c:formatCode>
                <c:ptCount val="3"/>
                <c:pt idx="0">
                  <c:v>8.253011703491207</c:v>
                </c:pt>
                <c:pt idx="1">
                  <c:v>21.6428565979004</c:v>
                </c:pt>
                <c:pt idx="2">
                  <c:v>40.74074172973629</c:v>
                </c:pt>
              </c:numCache>
            </c:numRef>
          </c:val>
        </c:ser>
        <c:dLbls>
          <c:showLegendKey val="0"/>
          <c:showVal val="0"/>
          <c:showCatName val="0"/>
          <c:showSerName val="0"/>
          <c:showPercent val="0"/>
          <c:showBubbleSize val="0"/>
        </c:dLbls>
        <c:gapWidth val="150"/>
        <c:axId val="2073995736"/>
        <c:axId val="2058869240"/>
      </c:barChart>
      <c:catAx>
        <c:axId val="2073995736"/>
        <c:scaling>
          <c:orientation val="minMax"/>
        </c:scaling>
        <c:delete val="0"/>
        <c:axPos val="b"/>
        <c:majorTickMark val="out"/>
        <c:minorTickMark val="none"/>
        <c:tickLblPos val="nextTo"/>
        <c:crossAx val="2058869240"/>
        <c:crosses val="autoZero"/>
        <c:auto val="1"/>
        <c:lblAlgn val="ctr"/>
        <c:lblOffset val="100"/>
        <c:noMultiLvlLbl val="0"/>
      </c:catAx>
      <c:valAx>
        <c:axId val="2058869240"/>
        <c:scaling>
          <c:orientation val="minMax"/>
        </c:scaling>
        <c:delete val="0"/>
        <c:axPos val="l"/>
        <c:majorGridlines/>
        <c:numFmt formatCode="General" sourceLinked="1"/>
        <c:majorTickMark val="out"/>
        <c:minorTickMark val="none"/>
        <c:tickLblPos val="nextTo"/>
        <c:crossAx val="207399573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Apparel (ISIC 18)</a:t>
            </a:r>
          </a:p>
        </c:rich>
      </c:tx>
      <c:overlay val="0"/>
    </c:title>
    <c:autoTitleDeleted val="0"/>
    <c:plotArea>
      <c:layout/>
      <c:pieChart>
        <c:varyColors val="1"/>
        <c:ser>
          <c:idx val="0"/>
          <c:order val="0"/>
          <c:tx>
            <c:strRef>
              <c:f>'Figure 2.1'!$C$7</c:f>
              <c:strCache>
                <c:ptCount val="1"/>
                <c:pt idx="0">
                  <c:v>Wearing apparel</c:v>
                </c:pt>
              </c:strCache>
            </c:strRef>
          </c:tx>
          <c:spPr>
            <a:solidFill>
              <a:srgbClr val="3366FF"/>
            </a:solidFill>
          </c:spPr>
          <c:dLbls>
            <c:showLegendKey val="0"/>
            <c:showVal val="0"/>
            <c:showCatName val="0"/>
            <c:showSerName val="0"/>
            <c:showPercent val="1"/>
            <c:showBubbleSize val="0"/>
            <c:showLeaderLines val="1"/>
          </c:dLbls>
          <c:cat>
            <c:strRef>
              <c:f>'Figure 2.1'!$C$7</c:f>
              <c:strCache>
                <c:ptCount val="1"/>
                <c:pt idx="0">
                  <c:v>Wearing apparel</c:v>
                </c:pt>
              </c:strCache>
            </c:strRef>
          </c:cat>
          <c:val>
            <c:numRef>
              <c:f>'Figure 2.1'!$D$7</c:f>
              <c:numCache>
                <c:formatCode>General</c:formatCode>
                <c:ptCount val="1"/>
                <c:pt idx="0">
                  <c:v>84.0</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rtl="0">
            <a:defRPr sz="900"/>
          </a:pPr>
          <a:endParaRPr lang="en-US"/>
        </a:p>
      </c:txPr>
    </c:legend>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 7.5'!$D$3</c:f>
              <c:strCache>
                <c:ptCount val="1"/>
                <c:pt idx="0">
                  <c:v>2006</c:v>
                </c:pt>
              </c:strCache>
            </c:strRef>
          </c:tx>
          <c:spPr>
            <a:solidFill>
              <a:srgbClr val="000080"/>
            </a:solidFill>
          </c:spPr>
          <c:invertIfNegative val="0"/>
          <c:dLbls>
            <c:numFmt formatCode="#,##0.0" sourceLinked="0"/>
            <c:showLegendKey val="0"/>
            <c:showVal val="1"/>
            <c:showCatName val="0"/>
            <c:showSerName val="0"/>
            <c:showPercent val="0"/>
            <c:showBubbleSize val="0"/>
            <c:showLeaderLines val="0"/>
          </c:dLbls>
          <c:cat>
            <c:strRef>
              <c:f>'Figure 7.5'!$C$4:$C$5</c:f>
              <c:strCache>
                <c:ptCount val="2"/>
                <c:pt idx="0">
                  <c:v>Not available in right quantity</c:v>
                </c:pt>
                <c:pt idx="1">
                  <c:v>Not available in right quality</c:v>
                </c:pt>
              </c:strCache>
            </c:strRef>
          </c:cat>
          <c:val>
            <c:numRef>
              <c:f>'Figure 7.5'!$D$4:$D$5</c:f>
              <c:numCache>
                <c:formatCode>General</c:formatCode>
                <c:ptCount val="2"/>
                <c:pt idx="0">
                  <c:v>28.3783779144287</c:v>
                </c:pt>
                <c:pt idx="1">
                  <c:v>29.7297306060791</c:v>
                </c:pt>
              </c:numCache>
            </c:numRef>
          </c:val>
        </c:ser>
        <c:ser>
          <c:idx val="1"/>
          <c:order val="1"/>
          <c:tx>
            <c:strRef>
              <c:f>'Figure 7.5'!$E$3</c:f>
              <c:strCache>
                <c:ptCount val="1"/>
                <c:pt idx="0">
                  <c:v>2011</c:v>
                </c:pt>
              </c:strCache>
            </c:strRef>
          </c:tx>
          <c:spPr>
            <a:solidFill>
              <a:srgbClr val="3366FF"/>
            </a:solidFill>
            <a:ln>
              <a:solidFill>
                <a:schemeClr val="accent1"/>
              </a:solidFill>
            </a:ln>
          </c:spPr>
          <c:invertIfNegative val="0"/>
          <c:dLbls>
            <c:numFmt formatCode="#,##0.0" sourceLinked="0"/>
            <c:dLblPos val="outEnd"/>
            <c:showLegendKey val="0"/>
            <c:showVal val="1"/>
            <c:showCatName val="0"/>
            <c:showSerName val="0"/>
            <c:showPercent val="0"/>
            <c:showBubbleSize val="0"/>
            <c:showLeaderLines val="0"/>
          </c:dLbls>
          <c:cat>
            <c:strRef>
              <c:f>'Figure 7.5'!$C$4:$C$5</c:f>
              <c:strCache>
                <c:ptCount val="2"/>
                <c:pt idx="0">
                  <c:v>Not available in right quantity</c:v>
                </c:pt>
                <c:pt idx="1">
                  <c:v>Not available in right quality</c:v>
                </c:pt>
              </c:strCache>
            </c:strRef>
          </c:cat>
          <c:val>
            <c:numRef>
              <c:f>'Figure 7.5'!$E$4:$E$5</c:f>
              <c:numCache>
                <c:formatCode>General</c:formatCode>
                <c:ptCount val="2"/>
                <c:pt idx="0">
                  <c:v>9.45945930480957</c:v>
                </c:pt>
                <c:pt idx="1">
                  <c:v>13.5135135650635</c:v>
                </c:pt>
              </c:numCache>
            </c:numRef>
          </c:val>
        </c:ser>
        <c:dLbls>
          <c:showLegendKey val="0"/>
          <c:showVal val="0"/>
          <c:showCatName val="0"/>
          <c:showSerName val="0"/>
          <c:showPercent val="0"/>
          <c:showBubbleSize val="0"/>
        </c:dLbls>
        <c:gapWidth val="150"/>
        <c:axId val="2061842744"/>
        <c:axId val="2078986856"/>
      </c:barChart>
      <c:catAx>
        <c:axId val="2061842744"/>
        <c:scaling>
          <c:orientation val="minMax"/>
        </c:scaling>
        <c:delete val="0"/>
        <c:axPos val="b"/>
        <c:majorTickMark val="out"/>
        <c:minorTickMark val="none"/>
        <c:tickLblPos val="nextTo"/>
        <c:crossAx val="2078986856"/>
        <c:crosses val="autoZero"/>
        <c:auto val="1"/>
        <c:lblAlgn val="ctr"/>
        <c:lblOffset val="100"/>
        <c:noMultiLvlLbl val="0"/>
      </c:catAx>
      <c:valAx>
        <c:axId val="2078986856"/>
        <c:scaling>
          <c:orientation val="minMax"/>
        </c:scaling>
        <c:delete val="0"/>
        <c:axPos val="l"/>
        <c:majorGridlines/>
        <c:numFmt formatCode="General" sourceLinked="1"/>
        <c:majorTickMark val="out"/>
        <c:minorTickMark val="none"/>
        <c:tickLblPos val="nextTo"/>
        <c:crossAx val="2061842744"/>
        <c:crosses val="autoZero"/>
        <c:crossBetween val="between"/>
      </c:valAx>
    </c:plotArea>
    <c:legend>
      <c:legendPos val="r"/>
      <c:overlay val="0"/>
    </c:legend>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0548381995728795"/>
          <c:y val="0.0336439990455739"/>
          <c:w val="0.925218986895013"/>
          <c:h val="0.815688637966774"/>
        </c:manualLayout>
      </c:layout>
      <c:barChart>
        <c:barDir val="col"/>
        <c:grouping val="clustered"/>
        <c:varyColors val="0"/>
        <c:ser>
          <c:idx val="0"/>
          <c:order val="0"/>
          <c:tx>
            <c:strRef>
              <c:f>'Tabel 3'!$B$18</c:f>
              <c:strCache>
                <c:ptCount val="1"/>
                <c:pt idx="0">
                  <c:v>Not valuable</c:v>
                </c:pt>
              </c:strCache>
            </c:strRef>
          </c:tx>
          <c:spPr>
            <a:solidFill>
              <a:srgbClr val="000080"/>
            </a:solidFill>
          </c:spPr>
          <c:invertIfNegative val="0"/>
          <c:cat>
            <c:strRef>
              <c:f>'Tabel 3'!$A$19:$A$26</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'Tabel 3'!$B$19:$B$26</c:f>
              <c:numCache>
                <c:formatCode>General</c:formatCode>
                <c:ptCount val="8"/>
                <c:pt idx="0">
                  <c:v>3.5</c:v>
                </c:pt>
                <c:pt idx="1">
                  <c:v>5.1</c:v>
                </c:pt>
                <c:pt idx="2">
                  <c:v>9.4</c:v>
                </c:pt>
                <c:pt idx="3">
                  <c:v>3.9</c:v>
                </c:pt>
                <c:pt idx="4">
                  <c:v>5.8</c:v>
                </c:pt>
                <c:pt idx="5">
                  <c:v>16.9</c:v>
                </c:pt>
                <c:pt idx="6">
                  <c:v>20.0</c:v>
                </c:pt>
                <c:pt idx="7">
                  <c:v>22.7</c:v>
                </c:pt>
              </c:numCache>
            </c:numRef>
          </c:val>
        </c:ser>
        <c:ser>
          <c:idx val="1"/>
          <c:order val="1"/>
          <c:tx>
            <c:strRef>
              <c:f>'Tabel 3'!$C$18</c:f>
              <c:strCache>
                <c:ptCount val="1"/>
                <c:pt idx="0">
                  <c:v>Info. on technology and products</c:v>
                </c:pt>
              </c:strCache>
            </c:strRef>
          </c:tx>
          <c:spPr>
            <a:solidFill>
              <a:srgbClr val="3366FF"/>
            </a:solidFill>
          </c:spPr>
          <c:invertIfNegative val="0"/>
          <c:cat>
            <c:strRef>
              <c:f>'Tabel 3'!$A$19:$A$26</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'Tabel 3'!$C$19:$C$26</c:f>
              <c:numCache>
                <c:formatCode>General</c:formatCode>
                <c:ptCount val="8"/>
                <c:pt idx="0">
                  <c:v>44.0</c:v>
                </c:pt>
                <c:pt idx="1">
                  <c:v>31.7</c:v>
                </c:pt>
                <c:pt idx="2">
                  <c:v>46.2</c:v>
                </c:pt>
                <c:pt idx="3">
                  <c:v>10.6</c:v>
                </c:pt>
                <c:pt idx="4">
                  <c:v>10.1</c:v>
                </c:pt>
                <c:pt idx="5">
                  <c:v>13.0</c:v>
                </c:pt>
                <c:pt idx="6">
                  <c:v>29.1</c:v>
                </c:pt>
                <c:pt idx="7">
                  <c:v>19.3</c:v>
                </c:pt>
              </c:numCache>
            </c:numRef>
          </c:val>
        </c:ser>
        <c:ser>
          <c:idx val="2"/>
          <c:order val="2"/>
          <c:tx>
            <c:strRef>
              <c:f>'Tabel 3'!$D$18</c:f>
              <c:strCache>
                <c:ptCount val="1"/>
                <c:pt idx="0">
                  <c:v>Info. on potential trad-ing partners</c:v>
                </c:pt>
              </c:strCache>
            </c:strRef>
          </c:tx>
          <c:spPr>
            <a:solidFill>
              <a:srgbClr val="99CCFF"/>
            </a:solidFill>
          </c:spPr>
          <c:invertIfNegative val="0"/>
          <c:cat>
            <c:strRef>
              <c:f>'Tabel 3'!$A$19:$A$26</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'Tabel 3'!$D$19:$D$26</c:f>
              <c:numCache>
                <c:formatCode>General</c:formatCode>
                <c:ptCount val="8"/>
                <c:pt idx="0">
                  <c:v>21.5</c:v>
                </c:pt>
                <c:pt idx="1">
                  <c:v>26.1</c:v>
                </c:pt>
                <c:pt idx="2">
                  <c:v>16.2</c:v>
                </c:pt>
                <c:pt idx="3">
                  <c:v>7.2</c:v>
                </c:pt>
                <c:pt idx="4">
                  <c:v>15.3</c:v>
                </c:pt>
                <c:pt idx="5">
                  <c:v>13.0</c:v>
                </c:pt>
                <c:pt idx="6">
                  <c:v>20.0</c:v>
                </c:pt>
                <c:pt idx="7">
                  <c:v>13.6</c:v>
                </c:pt>
              </c:numCache>
            </c:numRef>
          </c:val>
        </c:ser>
        <c:ser>
          <c:idx val="3"/>
          <c:order val="3"/>
          <c:tx>
            <c:strRef>
              <c:f>'Tabel 3'!$E$18</c:f>
              <c:strCache>
                <c:ptCount val="1"/>
                <c:pt idx="0">
                  <c:v>Financial support (loans/gifts)</c:v>
                </c:pt>
              </c:strCache>
            </c:strRef>
          </c:tx>
          <c:spPr>
            <a:solidFill>
              <a:srgbClr val="008000"/>
            </a:solidFill>
          </c:spPr>
          <c:invertIfNegative val="0"/>
          <c:cat>
            <c:strRef>
              <c:f>'Tabel 3'!$A$19:$A$26</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'Tabel 3'!$E$19:$E$26</c:f>
              <c:numCache>
                <c:formatCode>General</c:formatCode>
                <c:ptCount val="8"/>
                <c:pt idx="0">
                  <c:v>4.4</c:v>
                </c:pt>
                <c:pt idx="1">
                  <c:v>7.6</c:v>
                </c:pt>
                <c:pt idx="2">
                  <c:v>3.4</c:v>
                </c:pt>
                <c:pt idx="3">
                  <c:v>67.6</c:v>
                </c:pt>
                <c:pt idx="4">
                  <c:v>6.9</c:v>
                </c:pt>
                <c:pt idx="5">
                  <c:v>5.2</c:v>
                </c:pt>
                <c:pt idx="6">
                  <c:v>7.3</c:v>
                </c:pt>
                <c:pt idx="7">
                  <c:v>3.4</c:v>
                </c:pt>
              </c:numCache>
            </c:numRef>
          </c:val>
        </c:ser>
        <c:ser>
          <c:idx val="4"/>
          <c:order val="4"/>
          <c:tx>
            <c:strRef>
              <c:f>'Tabel 3'!$F$18</c:f>
              <c:strCache>
                <c:ptCount val="1"/>
                <c:pt idx="0">
                  <c:v>Dealing with bureaucracy</c:v>
                </c:pt>
              </c:strCache>
            </c:strRef>
          </c:tx>
          <c:spPr>
            <a:solidFill>
              <a:srgbClr val="99CC00"/>
            </a:solidFill>
          </c:spPr>
          <c:invertIfNegative val="0"/>
          <c:cat>
            <c:strRef>
              <c:f>'Tabel 3'!$A$19:$A$26</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'Tabel 3'!$F$19:$F$26</c:f>
              <c:numCache>
                <c:formatCode>General</c:formatCode>
                <c:ptCount val="8"/>
                <c:pt idx="0">
                  <c:v>6.4</c:v>
                </c:pt>
                <c:pt idx="1">
                  <c:v>8.700000000000001</c:v>
                </c:pt>
                <c:pt idx="2">
                  <c:v>8.5</c:v>
                </c:pt>
                <c:pt idx="3">
                  <c:v>5.8</c:v>
                </c:pt>
                <c:pt idx="4">
                  <c:v>41.8</c:v>
                </c:pt>
                <c:pt idx="5">
                  <c:v>33.80000000000001</c:v>
                </c:pt>
                <c:pt idx="6">
                  <c:v>5.5</c:v>
                </c:pt>
                <c:pt idx="7">
                  <c:v>13.6</c:v>
                </c:pt>
              </c:numCache>
            </c:numRef>
          </c:val>
        </c:ser>
        <c:ser>
          <c:idx val="5"/>
          <c:order val="5"/>
          <c:tx>
            <c:strRef>
              <c:f>'Tabel 3'!$G$18</c:f>
              <c:strCache>
                <c:ptCount val="1"/>
                <c:pt idx="0">
                  <c:v>With guidance and advice</c:v>
                </c:pt>
              </c:strCache>
            </c:strRef>
          </c:tx>
          <c:spPr>
            <a:solidFill>
              <a:srgbClr val="FF0000"/>
            </a:solidFill>
          </c:spPr>
          <c:invertIfNegative val="0"/>
          <c:cat>
            <c:strRef>
              <c:f>'Tabel 3'!$A$19:$A$26</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'Tabel 3'!$G$19:$G$26</c:f>
              <c:numCache>
                <c:formatCode>General</c:formatCode>
                <c:ptCount val="8"/>
                <c:pt idx="0">
                  <c:v>20.2</c:v>
                </c:pt>
                <c:pt idx="1">
                  <c:v>20.8</c:v>
                </c:pt>
                <c:pt idx="2">
                  <c:v>16.2</c:v>
                </c:pt>
                <c:pt idx="3">
                  <c:v>4.8</c:v>
                </c:pt>
                <c:pt idx="4">
                  <c:v>20.1</c:v>
                </c:pt>
                <c:pt idx="5">
                  <c:v>18.2</c:v>
                </c:pt>
                <c:pt idx="6">
                  <c:v>18.2</c:v>
                </c:pt>
                <c:pt idx="7">
                  <c:v>27.3</c:v>
                </c:pt>
              </c:numCache>
            </c:numRef>
          </c:val>
        </c:ser>
        <c:dLbls>
          <c:showLegendKey val="0"/>
          <c:showVal val="0"/>
          <c:showCatName val="0"/>
          <c:showSerName val="0"/>
          <c:showPercent val="0"/>
          <c:showBubbleSize val="0"/>
        </c:dLbls>
        <c:gapWidth val="150"/>
        <c:axId val="2056770744"/>
        <c:axId val="2079141736"/>
      </c:barChart>
      <c:catAx>
        <c:axId val="2056770744"/>
        <c:scaling>
          <c:orientation val="minMax"/>
        </c:scaling>
        <c:delete val="0"/>
        <c:axPos val="b"/>
        <c:majorTickMark val="out"/>
        <c:minorTickMark val="none"/>
        <c:tickLblPos val="nextTo"/>
        <c:crossAx val="2079141736"/>
        <c:crosses val="autoZero"/>
        <c:auto val="1"/>
        <c:lblAlgn val="ctr"/>
        <c:lblOffset val="100"/>
        <c:noMultiLvlLbl val="0"/>
      </c:catAx>
      <c:valAx>
        <c:axId val="2079141736"/>
        <c:scaling>
          <c:orientation val="minMax"/>
        </c:scaling>
        <c:delete val="0"/>
        <c:axPos val="l"/>
        <c:numFmt formatCode="General" sourceLinked="1"/>
        <c:majorTickMark val="out"/>
        <c:minorTickMark val="none"/>
        <c:tickLblPos val="nextTo"/>
        <c:crossAx val="2056770744"/>
        <c:crosses val="autoZero"/>
        <c:crossBetween val="between"/>
      </c:valAx>
    </c:plotArea>
    <c:legend>
      <c:legendPos val="r"/>
      <c:layout>
        <c:manualLayout>
          <c:xMode val="edge"/>
          <c:yMode val="edge"/>
          <c:x val="0.610766045548654"/>
          <c:y val="0.0477310904318778"/>
          <c:w val="0.374162142775631"/>
          <c:h val="0.271204485802911"/>
        </c:manualLayout>
      </c:layout>
      <c:overlay val="0"/>
    </c:legend>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0590674114453642"/>
          <c:y val="0.0411776284241925"/>
          <c:w val="0.91696722525069"/>
          <c:h val="0.721013551044057"/>
        </c:manualLayout>
      </c:layout>
      <c:barChart>
        <c:barDir val="col"/>
        <c:grouping val="clustered"/>
        <c:varyColors val="0"/>
        <c:ser>
          <c:idx val="0"/>
          <c:order val="0"/>
          <c:tx>
            <c:strRef>
              <c:f>'Figure 2 data'!$B$16</c:f>
              <c:strCache>
                <c:ptCount val="1"/>
                <c:pt idx="0">
                  <c:v>Micro formal</c:v>
                </c:pt>
              </c:strCache>
            </c:strRef>
          </c:tx>
          <c:spPr>
            <a:solidFill>
              <a:srgbClr val="000080"/>
            </a:solidFill>
          </c:spPr>
          <c:invertIfNegative val="0"/>
          <c:cat>
            <c:strRef>
              <c:f>'Figure 2 data'!$A$17:$A$24</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'Figure 2 data'!$B$17:$B$24</c:f>
              <c:numCache>
                <c:formatCode>General</c:formatCode>
                <c:ptCount val="8"/>
                <c:pt idx="0">
                  <c:v>55.6</c:v>
                </c:pt>
                <c:pt idx="1">
                  <c:v>23.5</c:v>
                </c:pt>
                <c:pt idx="2">
                  <c:v>5.9</c:v>
                </c:pt>
                <c:pt idx="3">
                  <c:v>9.3</c:v>
                </c:pt>
                <c:pt idx="4">
                  <c:v>1.5</c:v>
                </c:pt>
                <c:pt idx="5">
                  <c:v>1.5</c:v>
                </c:pt>
                <c:pt idx="6">
                  <c:v>1.5</c:v>
                </c:pt>
                <c:pt idx="7">
                  <c:v>1.2</c:v>
                </c:pt>
              </c:numCache>
            </c:numRef>
          </c:val>
        </c:ser>
        <c:ser>
          <c:idx val="1"/>
          <c:order val="1"/>
          <c:tx>
            <c:strRef>
              <c:f>'Figure 2 data'!$C$16</c:f>
              <c:strCache>
                <c:ptCount val="1"/>
                <c:pt idx="0">
                  <c:v>Micro informal</c:v>
                </c:pt>
              </c:strCache>
            </c:strRef>
          </c:tx>
          <c:spPr>
            <a:solidFill>
              <a:srgbClr val="3366FF"/>
            </a:solidFill>
          </c:spPr>
          <c:invertIfNegative val="0"/>
          <c:cat>
            <c:strRef>
              <c:f>'Figure 2 data'!$A$17:$A$24</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'Figure 2 data'!$C$17:$C$24</c:f>
              <c:numCache>
                <c:formatCode>General</c:formatCode>
                <c:ptCount val="8"/>
                <c:pt idx="0">
                  <c:v>70.2</c:v>
                </c:pt>
                <c:pt idx="1">
                  <c:v>19.2</c:v>
                </c:pt>
                <c:pt idx="2">
                  <c:v>2.0</c:v>
                </c:pt>
                <c:pt idx="3">
                  <c:v>6.0</c:v>
                </c:pt>
                <c:pt idx="4">
                  <c:v>0.7</c:v>
                </c:pt>
                <c:pt idx="5">
                  <c:v>0.0</c:v>
                </c:pt>
                <c:pt idx="6">
                  <c:v>0.0</c:v>
                </c:pt>
                <c:pt idx="7">
                  <c:v>2.0</c:v>
                </c:pt>
              </c:numCache>
            </c:numRef>
          </c:val>
        </c:ser>
        <c:ser>
          <c:idx val="2"/>
          <c:order val="2"/>
          <c:tx>
            <c:strRef>
              <c:f>'Figure 2 data'!$D$16</c:f>
              <c:strCache>
                <c:ptCount val="1"/>
                <c:pt idx="0">
                  <c:v>Small</c:v>
                </c:pt>
              </c:strCache>
            </c:strRef>
          </c:tx>
          <c:spPr>
            <a:solidFill>
              <a:srgbClr val="99CCFF"/>
            </a:solidFill>
          </c:spPr>
          <c:invertIfNegative val="0"/>
          <c:cat>
            <c:strRef>
              <c:f>'Figure 2 data'!$A$17:$A$24</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'Figure 2 data'!$D$17:$D$24</c:f>
              <c:numCache>
                <c:formatCode>General</c:formatCode>
                <c:ptCount val="8"/>
                <c:pt idx="0">
                  <c:v>51.8</c:v>
                </c:pt>
                <c:pt idx="1">
                  <c:v>22.4</c:v>
                </c:pt>
                <c:pt idx="2">
                  <c:v>11.2</c:v>
                </c:pt>
                <c:pt idx="3">
                  <c:v>8.200000000000001</c:v>
                </c:pt>
                <c:pt idx="4">
                  <c:v>3.5</c:v>
                </c:pt>
                <c:pt idx="5">
                  <c:v>1.2</c:v>
                </c:pt>
                <c:pt idx="6">
                  <c:v>0.0</c:v>
                </c:pt>
                <c:pt idx="7">
                  <c:v>1.8</c:v>
                </c:pt>
              </c:numCache>
            </c:numRef>
          </c:val>
        </c:ser>
        <c:ser>
          <c:idx val="3"/>
          <c:order val="3"/>
          <c:tx>
            <c:strRef>
              <c:f>'Figure 2 data'!$E$16</c:f>
              <c:strCache>
                <c:ptCount val="1"/>
                <c:pt idx="0">
                  <c:v>Medium</c:v>
                </c:pt>
              </c:strCache>
            </c:strRef>
          </c:tx>
          <c:spPr>
            <a:solidFill>
              <a:srgbClr val="008000"/>
            </a:solidFill>
          </c:spPr>
          <c:invertIfNegative val="0"/>
          <c:cat>
            <c:strRef>
              <c:f>'Figure 2 data'!$A$17:$A$24</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'Figure 2 data'!$E$17:$E$24</c:f>
              <c:numCache>
                <c:formatCode>General</c:formatCode>
                <c:ptCount val="8"/>
                <c:pt idx="0">
                  <c:v>37.5</c:v>
                </c:pt>
                <c:pt idx="1">
                  <c:v>25.0</c:v>
                </c:pt>
                <c:pt idx="2">
                  <c:v>23.4</c:v>
                </c:pt>
                <c:pt idx="3">
                  <c:v>10.9</c:v>
                </c:pt>
                <c:pt idx="4">
                  <c:v>0.0</c:v>
                </c:pt>
                <c:pt idx="5">
                  <c:v>0.0</c:v>
                </c:pt>
                <c:pt idx="6">
                  <c:v>0.0</c:v>
                </c:pt>
                <c:pt idx="7">
                  <c:v>3.1</c:v>
                </c:pt>
              </c:numCache>
            </c:numRef>
          </c:val>
        </c:ser>
        <c:ser>
          <c:idx val="4"/>
          <c:order val="4"/>
          <c:tx>
            <c:strRef>
              <c:f>'Figure 2 data'!$F$16</c:f>
              <c:strCache>
                <c:ptCount val="1"/>
                <c:pt idx="0">
                  <c:v>Foreign</c:v>
                </c:pt>
              </c:strCache>
            </c:strRef>
          </c:tx>
          <c:spPr>
            <a:solidFill>
              <a:srgbClr val="99CC00"/>
            </a:solidFill>
          </c:spPr>
          <c:invertIfNegative val="0"/>
          <c:cat>
            <c:strRef>
              <c:f>'Figure 2 data'!$A$17:$A$24</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'Figure 2 data'!$F$17:$F$24</c:f>
              <c:numCache>
                <c:formatCode>General</c:formatCode>
                <c:ptCount val="8"/>
                <c:pt idx="0">
                  <c:v>47.0</c:v>
                </c:pt>
                <c:pt idx="1">
                  <c:v>24.1</c:v>
                </c:pt>
                <c:pt idx="2">
                  <c:v>20.5</c:v>
                </c:pt>
                <c:pt idx="3">
                  <c:v>6.0</c:v>
                </c:pt>
                <c:pt idx="4">
                  <c:v>0.0</c:v>
                </c:pt>
                <c:pt idx="5">
                  <c:v>2.4</c:v>
                </c:pt>
                <c:pt idx="6">
                  <c:v>0.0</c:v>
                </c:pt>
                <c:pt idx="7">
                  <c:v>0.0</c:v>
                </c:pt>
              </c:numCache>
            </c:numRef>
          </c:val>
        </c:ser>
        <c:ser>
          <c:idx val="5"/>
          <c:order val="5"/>
          <c:tx>
            <c:strRef>
              <c:f>'Figure 2 data'!$G$16</c:f>
              <c:strCache>
                <c:ptCount val="1"/>
                <c:pt idx="0">
                  <c:v>Domestic</c:v>
                </c:pt>
              </c:strCache>
            </c:strRef>
          </c:tx>
          <c:spPr>
            <a:solidFill>
              <a:srgbClr val="FF0000"/>
            </a:solidFill>
          </c:spPr>
          <c:invertIfNegative val="0"/>
          <c:cat>
            <c:strRef>
              <c:f>'Figure 2 data'!$A$17:$A$24</c:f>
              <c:strCache>
                <c:ptCount val="8"/>
                <c:pt idx="0">
                  <c:v>same sector</c:v>
                </c:pt>
                <c:pt idx="1">
                  <c:v>different sector</c:v>
                </c:pt>
                <c:pt idx="2">
                  <c:v>foreign firms</c:v>
                </c:pt>
                <c:pt idx="3">
                  <c:v>banks</c:v>
                </c:pt>
                <c:pt idx="4">
                  <c:v>government agencies</c:v>
                </c:pt>
                <c:pt idx="5">
                  <c:v>politics</c:v>
                </c:pt>
                <c:pt idx="6">
                  <c:v>NGOs</c:v>
                </c:pt>
                <c:pt idx="7">
                  <c:v>business associations</c:v>
                </c:pt>
              </c:strCache>
            </c:strRef>
          </c:cat>
          <c:val>
            <c:numRef>
              <c:f>'Figure 2 data'!$G$17:$G$24</c:f>
              <c:numCache>
                <c:formatCode>General</c:formatCode>
                <c:ptCount val="8"/>
                <c:pt idx="0">
                  <c:v>57.1</c:v>
                </c:pt>
                <c:pt idx="1">
                  <c:v>22.5</c:v>
                </c:pt>
                <c:pt idx="2">
                  <c:v>6.2</c:v>
                </c:pt>
                <c:pt idx="3">
                  <c:v>8.8</c:v>
                </c:pt>
                <c:pt idx="4">
                  <c:v>1.9</c:v>
                </c:pt>
                <c:pt idx="5">
                  <c:v>0.8</c:v>
                </c:pt>
                <c:pt idx="6">
                  <c:v>0.8</c:v>
                </c:pt>
                <c:pt idx="7">
                  <c:v>1.9</c:v>
                </c:pt>
              </c:numCache>
            </c:numRef>
          </c:val>
        </c:ser>
        <c:dLbls>
          <c:showLegendKey val="0"/>
          <c:showVal val="0"/>
          <c:showCatName val="0"/>
          <c:showSerName val="0"/>
          <c:showPercent val="0"/>
          <c:showBubbleSize val="0"/>
        </c:dLbls>
        <c:gapWidth val="150"/>
        <c:axId val="2056958120"/>
        <c:axId val="2056972520"/>
      </c:barChart>
      <c:catAx>
        <c:axId val="2056958120"/>
        <c:scaling>
          <c:orientation val="minMax"/>
        </c:scaling>
        <c:delete val="0"/>
        <c:axPos val="b"/>
        <c:majorTickMark val="out"/>
        <c:minorTickMark val="none"/>
        <c:tickLblPos val="nextTo"/>
        <c:crossAx val="2056972520"/>
        <c:crosses val="autoZero"/>
        <c:auto val="1"/>
        <c:lblAlgn val="ctr"/>
        <c:lblOffset val="100"/>
        <c:noMultiLvlLbl val="0"/>
      </c:catAx>
      <c:valAx>
        <c:axId val="2056972520"/>
        <c:scaling>
          <c:orientation val="minMax"/>
        </c:scaling>
        <c:delete val="0"/>
        <c:axPos val="l"/>
        <c:majorGridlines/>
        <c:numFmt formatCode="General" sourceLinked="1"/>
        <c:majorTickMark val="out"/>
        <c:minorTickMark val="none"/>
        <c:tickLblPos val="nextTo"/>
        <c:crossAx val="2056958120"/>
        <c:crosses val="autoZero"/>
        <c:crossBetween val="between"/>
      </c:valAx>
    </c:plotArea>
    <c:legend>
      <c:legendPos val="r"/>
      <c:layout>
        <c:manualLayout>
          <c:xMode val="edge"/>
          <c:yMode val="edge"/>
          <c:x val="0.0552369158983332"/>
          <c:y val="0.884798311332331"/>
          <c:w val="0.869549408887992"/>
          <c:h val="0.109401858165233"/>
        </c:manualLayout>
      </c:layout>
      <c:overlay val="0"/>
    </c:legend>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pieChart>
        <c:varyColors val="1"/>
        <c:ser>
          <c:idx val="0"/>
          <c:order val="0"/>
          <c:tx>
            <c:strRef>
              <c:f>'Figure 9.1'!$C$3</c:f>
              <c:strCache>
                <c:ptCount val="1"/>
                <c:pt idx="0">
                  <c:v>Bank loans</c:v>
                </c:pt>
              </c:strCache>
            </c:strRef>
          </c:tx>
          <c:dPt>
            <c:idx val="0"/>
            <c:bubble3D val="0"/>
            <c:spPr>
              <a:solidFill>
                <a:srgbClr val="000080"/>
              </a:solidFill>
            </c:spPr>
          </c:dPt>
          <c:dPt>
            <c:idx val="1"/>
            <c:bubble3D val="0"/>
            <c:spPr>
              <a:solidFill>
                <a:srgbClr val="3366FF"/>
              </a:solidFill>
            </c:spPr>
          </c:dPt>
          <c:dPt>
            <c:idx val="2"/>
            <c:bubble3D val="0"/>
            <c:spPr>
              <a:solidFill>
                <a:srgbClr val="99CCFF"/>
              </a:solidFill>
              <a:ln>
                <a:solidFill>
                  <a:schemeClr val="accent1"/>
                </a:solidFill>
              </a:ln>
            </c:spPr>
          </c:dPt>
          <c:dPt>
            <c:idx val="3"/>
            <c:bubble3D val="0"/>
            <c:spPr>
              <a:solidFill>
                <a:srgbClr val="008000"/>
              </a:solidFill>
            </c:spPr>
          </c:dPt>
          <c:dPt>
            <c:idx val="4"/>
            <c:bubble3D val="0"/>
            <c:spPr>
              <a:solidFill>
                <a:srgbClr val="99CC00"/>
              </a:solidFill>
            </c:spPr>
          </c:dPt>
          <c:dPt>
            <c:idx val="5"/>
            <c:bubble3D val="0"/>
            <c:spPr>
              <a:solidFill>
                <a:srgbClr val="CCFFCC"/>
              </a:solidFill>
            </c:spPr>
          </c:dPt>
          <c:dLbls>
            <c:dLbl>
              <c:idx val="0"/>
              <c:layout>
                <c:manualLayout>
                  <c:x val="0.0258821084864392"/>
                  <c:y val="0.0268901283172937"/>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'Figure 9.1'!$C$4:$C$9</c:f>
              <c:strCache>
                <c:ptCount val="6"/>
                <c:pt idx="0">
                  <c:v>BIM</c:v>
                </c:pt>
                <c:pt idx="1">
                  <c:v>SoCreMo</c:v>
                </c:pt>
                <c:pt idx="2">
                  <c:v>ProCredit</c:v>
                </c:pt>
                <c:pt idx="3">
                  <c:v>BCI</c:v>
                </c:pt>
                <c:pt idx="4">
                  <c:v>Banco Tchuma</c:v>
                </c:pt>
                <c:pt idx="5">
                  <c:v>Others</c:v>
                </c:pt>
              </c:strCache>
            </c:strRef>
          </c:cat>
          <c:val>
            <c:numRef>
              <c:f>'Figure 9.1'!$D$4:$D$9</c:f>
              <c:numCache>
                <c:formatCode>General</c:formatCode>
                <c:ptCount val="6"/>
                <c:pt idx="0">
                  <c:v>22.0</c:v>
                </c:pt>
                <c:pt idx="1">
                  <c:v>21.0</c:v>
                </c:pt>
                <c:pt idx="2">
                  <c:v>17.0</c:v>
                </c:pt>
                <c:pt idx="3">
                  <c:v>10.0</c:v>
                </c:pt>
                <c:pt idx="4">
                  <c:v>8.0</c:v>
                </c:pt>
                <c:pt idx="5">
                  <c:v>29.0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pPr>
          <a:endParaRPr lang="en-US"/>
        </a:p>
      </c:txPr>
    </c:title>
    <c:autoTitleDeleted val="0"/>
    <c:plotArea>
      <c:layout/>
      <c:pieChart>
        <c:varyColors val="1"/>
        <c:ser>
          <c:idx val="0"/>
          <c:order val="0"/>
          <c:tx>
            <c:strRef>
              <c:f>'Figure 9.1'!$F$3</c:f>
              <c:strCache>
                <c:ptCount val="1"/>
                <c:pt idx="0">
                  <c:v>Non-bank loans</c:v>
                </c:pt>
              </c:strCache>
            </c:strRef>
          </c:tx>
          <c:dPt>
            <c:idx val="0"/>
            <c:bubble3D val="0"/>
            <c:spPr>
              <a:solidFill>
                <a:srgbClr val="000080"/>
              </a:solidFill>
            </c:spPr>
          </c:dPt>
          <c:dPt>
            <c:idx val="1"/>
            <c:bubble3D val="0"/>
            <c:spPr>
              <a:solidFill>
                <a:srgbClr val="3366FF"/>
              </a:solidFill>
            </c:spPr>
          </c:dPt>
          <c:dPt>
            <c:idx val="2"/>
            <c:bubble3D val="0"/>
            <c:spPr>
              <a:solidFill>
                <a:srgbClr val="99CCFF"/>
              </a:solidFill>
            </c:spPr>
          </c:dPt>
          <c:dPt>
            <c:idx val="3"/>
            <c:bubble3D val="0"/>
            <c:spPr>
              <a:solidFill>
                <a:srgbClr val="008000"/>
              </a:solidFill>
            </c:spPr>
          </c:dPt>
          <c:dLbls>
            <c:dLbl>
              <c:idx val="0"/>
              <c:layout>
                <c:manualLayout>
                  <c:x val="-0.0342766841644794"/>
                  <c:y val="-0.15986949547973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'Figure 9.1'!$F$4:$F$7</c:f>
              <c:strCache>
                <c:ptCount val="4"/>
                <c:pt idx="0">
                  <c:v>Private creditor</c:v>
                </c:pt>
                <c:pt idx="1">
                  <c:v>Friends/family</c:v>
                </c:pt>
                <c:pt idx="2">
                  <c:v>Shareholders/partners</c:v>
                </c:pt>
                <c:pt idx="3">
                  <c:v>Other</c:v>
                </c:pt>
              </c:strCache>
            </c:strRef>
          </c:cat>
          <c:val>
            <c:numRef>
              <c:f>'Figure 9.1'!$G$4:$G$7</c:f>
              <c:numCache>
                <c:formatCode>General</c:formatCode>
                <c:ptCount val="4"/>
                <c:pt idx="0">
                  <c:v>17.0</c:v>
                </c:pt>
                <c:pt idx="1">
                  <c:v>11.0</c:v>
                </c:pt>
                <c:pt idx="2">
                  <c:v>3.0</c:v>
                </c:pt>
                <c:pt idx="3">
                  <c:v>8.0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
          <c:order val="0"/>
          <c:tx>
            <c:strRef>
              <c:f>'Figure 9.2'!$D$3</c:f>
              <c:strCache>
                <c:ptCount val="1"/>
                <c:pt idx="0">
                  <c:v>Did not need loan</c:v>
                </c:pt>
              </c:strCache>
            </c:strRef>
          </c:tx>
          <c:spPr>
            <a:solidFill>
              <a:srgbClr val="000080"/>
            </a:solidFill>
          </c:spPr>
          <c:invertIfNegative val="0"/>
          <c:cat>
            <c:strRef>
              <c:f>'Figure 9.2'!$C$4:$C$7</c:f>
              <c:strCache>
                <c:ptCount val="4"/>
                <c:pt idx="0">
                  <c:v>Micro, informal</c:v>
                </c:pt>
                <c:pt idx="1">
                  <c:v>Micro, formal</c:v>
                </c:pt>
                <c:pt idx="2">
                  <c:v>Small</c:v>
                </c:pt>
                <c:pt idx="3">
                  <c:v>Medium</c:v>
                </c:pt>
              </c:strCache>
            </c:strRef>
          </c:cat>
          <c:val>
            <c:numRef>
              <c:f>'Figure 9.2'!$D$4:$D$7</c:f>
              <c:numCache>
                <c:formatCode>General</c:formatCode>
                <c:ptCount val="4"/>
                <c:pt idx="0">
                  <c:v>29.6875</c:v>
                </c:pt>
                <c:pt idx="1">
                  <c:v>51.9685020446777</c:v>
                </c:pt>
                <c:pt idx="2">
                  <c:v>54.7445259094238</c:v>
                </c:pt>
                <c:pt idx="3">
                  <c:v>68.2926864624023</c:v>
                </c:pt>
              </c:numCache>
            </c:numRef>
          </c:val>
        </c:ser>
        <c:ser>
          <c:idx val="2"/>
          <c:order val="1"/>
          <c:tx>
            <c:strRef>
              <c:f>'Figure 9.2'!$E$3</c:f>
              <c:strCache>
                <c:ptCount val="1"/>
                <c:pt idx="0">
                  <c:v>Application procedures too complex</c:v>
                </c:pt>
              </c:strCache>
            </c:strRef>
          </c:tx>
          <c:spPr>
            <a:solidFill>
              <a:srgbClr val="3366FF"/>
            </a:solidFill>
          </c:spPr>
          <c:invertIfNegative val="0"/>
          <c:cat>
            <c:strRef>
              <c:f>'Figure 9.2'!$C$4:$C$7</c:f>
              <c:strCache>
                <c:ptCount val="4"/>
                <c:pt idx="0">
                  <c:v>Micro, informal</c:v>
                </c:pt>
                <c:pt idx="1">
                  <c:v>Micro, formal</c:v>
                </c:pt>
                <c:pt idx="2">
                  <c:v>Small</c:v>
                </c:pt>
                <c:pt idx="3">
                  <c:v>Medium</c:v>
                </c:pt>
              </c:strCache>
            </c:strRef>
          </c:cat>
          <c:val>
            <c:numRef>
              <c:f>'Figure 9.2'!$E$4:$E$7</c:f>
              <c:numCache>
                <c:formatCode>General</c:formatCode>
                <c:ptCount val="4"/>
                <c:pt idx="0">
                  <c:v>29.6875</c:v>
                </c:pt>
                <c:pt idx="1">
                  <c:v>14.5669288635254</c:v>
                </c:pt>
                <c:pt idx="2">
                  <c:v>10.9489049911499</c:v>
                </c:pt>
                <c:pt idx="3">
                  <c:v>12.1951217651367</c:v>
                </c:pt>
              </c:numCache>
            </c:numRef>
          </c:val>
        </c:ser>
        <c:ser>
          <c:idx val="3"/>
          <c:order val="2"/>
          <c:tx>
            <c:strRef>
              <c:f>'Figure 9.2'!$F$3</c:f>
              <c:strCache>
                <c:ptCount val="1"/>
                <c:pt idx="0">
                  <c:v>Collateral req.ments too stringent</c:v>
                </c:pt>
              </c:strCache>
            </c:strRef>
          </c:tx>
          <c:spPr>
            <a:solidFill>
              <a:srgbClr val="99CCFF"/>
            </a:solidFill>
          </c:spPr>
          <c:invertIfNegative val="0"/>
          <c:cat>
            <c:strRef>
              <c:f>'Figure 9.2'!$C$4:$C$7</c:f>
              <c:strCache>
                <c:ptCount val="4"/>
                <c:pt idx="0">
                  <c:v>Micro, informal</c:v>
                </c:pt>
                <c:pt idx="1">
                  <c:v>Micro, formal</c:v>
                </c:pt>
                <c:pt idx="2">
                  <c:v>Small</c:v>
                </c:pt>
                <c:pt idx="3">
                  <c:v>Medium</c:v>
                </c:pt>
              </c:strCache>
            </c:strRef>
          </c:cat>
          <c:val>
            <c:numRef>
              <c:f>'Figure 9.2'!$F$4:$F$7</c:f>
              <c:numCache>
                <c:formatCode>General</c:formatCode>
                <c:ptCount val="4"/>
                <c:pt idx="0">
                  <c:v>29.6875</c:v>
                </c:pt>
                <c:pt idx="1">
                  <c:v>19.68503952026369</c:v>
                </c:pt>
                <c:pt idx="2">
                  <c:v>14.5985403060913</c:v>
                </c:pt>
                <c:pt idx="3">
                  <c:v>7.31707334518433</c:v>
                </c:pt>
              </c:numCache>
            </c:numRef>
          </c:val>
        </c:ser>
        <c:ser>
          <c:idx val="4"/>
          <c:order val="3"/>
          <c:tx>
            <c:strRef>
              <c:f>'Figure 9.2'!$G$3</c:f>
              <c:strCache>
                <c:ptCount val="1"/>
                <c:pt idx="0">
                  <c:v>Corruption in allocation of credit</c:v>
                </c:pt>
              </c:strCache>
            </c:strRef>
          </c:tx>
          <c:spPr>
            <a:solidFill>
              <a:srgbClr val="008000"/>
            </a:solidFill>
          </c:spPr>
          <c:invertIfNegative val="0"/>
          <c:cat>
            <c:strRef>
              <c:f>'Figure 9.2'!$C$4:$C$7</c:f>
              <c:strCache>
                <c:ptCount val="4"/>
                <c:pt idx="0">
                  <c:v>Micro, informal</c:v>
                </c:pt>
                <c:pt idx="1">
                  <c:v>Micro, formal</c:v>
                </c:pt>
                <c:pt idx="2">
                  <c:v>Small</c:v>
                </c:pt>
                <c:pt idx="3">
                  <c:v>Medium</c:v>
                </c:pt>
              </c:strCache>
            </c:strRef>
          </c:cat>
          <c:val>
            <c:numRef>
              <c:f>'Figure 9.2'!$G$4:$G$7</c:f>
              <c:numCache>
                <c:formatCode>General</c:formatCode>
                <c:ptCount val="4"/>
                <c:pt idx="0">
                  <c:v>3.90625</c:v>
                </c:pt>
                <c:pt idx="1">
                  <c:v>3.14960622787476</c:v>
                </c:pt>
                <c:pt idx="2">
                  <c:v>2.919708013534549</c:v>
                </c:pt>
                <c:pt idx="3">
                  <c:v>2.43902444839478</c:v>
                </c:pt>
              </c:numCache>
            </c:numRef>
          </c:val>
        </c:ser>
        <c:ser>
          <c:idx val="5"/>
          <c:order val="4"/>
          <c:tx>
            <c:strRef>
              <c:f>'Figure 9.2'!$H$3</c:f>
              <c:strCache>
                <c:ptCount val="1"/>
                <c:pt idx="0">
                  <c:v>Other</c:v>
                </c:pt>
              </c:strCache>
            </c:strRef>
          </c:tx>
          <c:spPr>
            <a:solidFill>
              <a:srgbClr val="99CC00"/>
            </a:solidFill>
          </c:spPr>
          <c:invertIfNegative val="0"/>
          <c:cat>
            <c:strRef>
              <c:f>'Figure 9.2'!$C$4:$C$7</c:f>
              <c:strCache>
                <c:ptCount val="4"/>
                <c:pt idx="0">
                  <c:v>Micro, informal</c:v>
                </c:pt>
                <c:pt idx="1">
                  <c:v>Micro, formal</c:v>
                </c:pt>
                <c:pt idx="2">
                  <c:v>Small</c:v>
                </c:pt>
                <c:pt idx="3">
                  <c:v>Medium</c:v>
                </c:pt>
              </c:strCache>
            </c:strRef>
          </c:cat>
          <c:val>
            <c:numRef>
              <c:f>'Figure 9.2'!$H$4:$H$7</c:f>
              <c:numCache>
                <c:formatCode>General</c:formatCode>
                <c:ptCount val="4"/>
                <c:pt idx="0">
                  <c:v>32.03125</c:v>
                </c:pt>
                <c:pt idx="1">
                  <c:v>24.4094486236572</c:v>
                </c:pt>
                <c:pt idx="2">
                  <c:v>32.1167869567871</c:v>
                </c:pt>
                <c:pt idx="3">
                  <c:v>17.0731716156006</c:v>
                </c:pt>
              </c:numCache>
            </c:numRef>
          </c:val>
        </c:ser>
        <c:dLbls>
          <c:showLegendKey val="0"/>
          <c:showVal val="0"/>
          <c:showCatName val="0"/>
          <c:showSerName val="0"/>
          <c:showPercent val="0"/>
          <c:showBubbleSize val="0"/>
        </c:dLbls>
        <c:gapWidth val="150"/>
        <c:axId val="2056655592"/>
        <c:axId val="2078750904"/>
      </c:barChart>
      <c:catAx>
        <c:axId val="2056655592"/>
        <c:scaling>
          <c:orientation val="minMax"/>
        </c:scaling>
        <c:delete val="0"/>
        <c:axPos val="b"/>
        <c:numFmt formatCode="General" sourceLinked="1"/>
        <c:majorTickMark val="out"/>
        <c:minorTickMark val="none"/>
        <c:tickLblPos val="nextTo"/>
        <c:crossAx val="2078750904"/>
        <c:crosses val="autoZero"/>
        <c:auto val="1"/>
        <c:lblAlgn val="ctr"/>
        <c:lblOffset val="100"/>
        <c:noMultiLvlLbl val="0"/>
      </c:catAx>
      <c:valAx>
        <c:axId val="2078750904"/>
        <c:scaling>
          <c:orientation val="minMax"/>
        </c:scaling>
        <c:delete val="0"/>
        <c:axPos val="l"/>
        <c:majorGridlines/>
        <c:numFmt formatCode="General" sourceLinked="1"/>
        <c:majorTickMark val="out"/>
        <c:minorTickMark val="none"/>
        <c:tickLblPos val="nextTo"/>
        <c:crossAx val="2056655592"/>
        <c:crosses val="autoZero"/>
        <c:crossBetween val="between"/>
      </c:valAx>
    </c:plotArea>
    <c:legend>
      <c:legendPos val="r"/>
      <c:overlay val="0"/>
    </c:legend>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 10.1'!$D$3</c:f>
              <c:strCache>
                <c:ptCount val="1"/>
                <c:pt idx="0">
                  <c:v>Share of sales reported for tax purposes</c:v>
                </c:pt>
              </c:strCache>
            </c:strRef>
          </c:tx>
          <c:spPr>
            <a:solidFill>
              <a:srgbClr val="000080"/>
            </a:solidFill>
          </c:spPr>
          <c:invertIfNegative val="0"/>
          <c:dLbls>
            <c:numFmt formatCode="#,##0" sourceLinked="0"/>
            <c:dLblPos val="outEnd"/>
            <c:showLegendKey val="0"/>
            <c:showVal val="1"/>
            <c:showCatName val="0"/>
            <c:showSerName val="0"/>
            <c:showPercent val="0"/>
            <c:showBubbleSize val="0"/>
            <c:showLeaderLines val="0"/>
          </c:dLbls>
          <c:cat>
            <c:strRef>
              <c:f>'Figure 10.1'!$C$4:$C$7</c:f>
              <c:strCache>
                <c:ptCount val="4"/>
                <c:pt idx="0">
                  <c:v>Micro, informal</c:v>
                </c:pt>
                <c:pt idx="1">
                  <c:v>Micro, formal</c:v>
                </c:pt>
                <c:pt idx="2">
                  <c:v>Small</c:v>
                </c:pt>
                <c:pt idx="3">
                  <c:v>Medium</c:v>
                </c:pt>
              </c:strCache>
            </c:strRef>
          </c:cat>
          <c:val>
            <c:numRef>
              <c:f>'Figure 10.1'!$D$4:$D$7</c:f>
              <c:numCache>
                <c:formatCode>#,#00</c:formatCode>
                <c:ptCount val="4"/>
                <c:pt idx="0">
                  <c:v>26.5833339691162</c:v>
                </c:pt>
                <c:pt idx="1">
                  <c:v>45.4334983825684</c:v>
                </c:pt>
                <c:pt idx="2">
                  <c:v>56.4873962402344</c:v>
                </c:pt>
                <c:pt idx="3">
                  <c:v>71.9599990844727</c:v>
                </c:pt>
              </c:numCache>
            </c:numRef>
          </c:val>
        </c:ser>
        <c:ser>
          <c:idx val="1"/>
          <c:order val="1"/>
          <c:tx>
            <c:strRef>
              <c:f>'Figure 10.1'!$E$3</c:f>
              <c:strCache>
                <c:ptCount val="1"/>
                <c:pt idx="0">
                  <c:v>Afraid of being shut down by the authorities, pct. of firms</c:v>
                </c:pt>
              </c:strCache>
            </c:strRef>
          </c:tx>
          <c:spPr>
            <a:solidFill>
              <a:srgbClr val="3366FF"/>
            </a:solidFill>
          </c:spPr>
          <c:invertIfNegative val="0"/>
          <c:dLbls>
            <c:numFmt formatCode="#,##0" sourceLinked="0"/>
            <c:dLblPos val="outEnd"/>
            <c:showLegendKey val="0"/>
            <c:showVal val="1"/>
            <c:showCatName val="0"/>
            <c:showSerName val="0"/>
            <c:showPercent val="0"/>
            <c:showBubbleSize val="0"/>
            <c:showLeaderLines val="0"/>
          </c:dLbls>
          <c:val>
            <c:numRef>
              <c:f>'Figure 10.1'!$E$4:$E$7</c:f>
              <c:numCache>
                <c:formatCode>#,#00</c:formatCode>
                <c:ptCount val="4"/>
                <c:pt idx="0">
                  <c:v>55.9523811340332</c:v>
                </c:pt>
                <c:pt idx="1">
                  <c:v>32.019702911377</c:v>
                </c:pt>
                <c:pt idx="2">
                  <c:v>15.9663867950439</c:v>
                </c:pt>
                <c:pt idx="3">
                  <c:v>6.0</c:v>
                </c:pt>
              </c:numCache>
            </c:numRef>
          </c:val>
        </c:ser>
        <c:dLbls>
          <c:showLegendKey val="0"/>
          <c:showVal val="0"/>
          <c:showCatName val="0"/>
          <c:showSerName val="0"/>
          <c:showPercent val="0"/>
          <c:showBubbleSize val="0"/>
        </c:dLbls>
        <c:gapWidth val="150"/>
        <c:axId val="2058285752"/>
        <c:axId val="2062014280"/>
      </c:barChart>
      <c:catAx>
        <c:axId val="2058285752"/>
        <c:scaling>
          <c:orientation val="minMax"/>
        </c:scaling>
        <c:delete val="0"/>
        <c:axPos val="b"/>
        <c:majorTickMark val="out"/>
        <c:minorTickMark val="none"/>
        <c:tickLblPos val="nextTo"/>
        <c:crossAx val="2062014280"/>
        <c:crosses val="autoZero"/>
        <c:auto val="1"/>
        <c:lblAlgn val="ctr"/>
        <c:lblOffset val="100"/>
        <c:noMultiLvlLbl val="0"/>
      </c:catAx>
      <c:valAx>
        <c:axId val="2062014280"/>
        <c:scaling>
          <c:orientation val="minMax"/>
        </c:scaling>
        <c:delete val="0"/>
        <c:axPos val="l"/>
        <c:majorGridlines/>
        <c:numFmt formatCode="#,##0" sourceLinked="0"/>
        <c:majorTickMark val="out"/>
        <c:minorTickMark val="none"/>
        <c:tickLblPos val="nextTo"/>
        <c:crossAx val="2058285752"/>
        <c:crosses val="autoZero"/>
        <c:crossBetween val="between"/>
      </c:valAx>
    </c:plotArea>
    <c:legend>
      <c:legendPos val="r"/>
      <c:overlay val="0"/>
    </c:legend>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0080"/>
            </a:solidFill>
          </c:spPr>
          <c:invertIfNegative val="0"/>
          <c:dLbls>
            <c:numFmt formatCode="#,##0.0" sourceLinked="0"/>
            <c:dLblPos val="outEnd"/>
            <c:showLegendKey val="0"/>
            <c:showVal val="1"/>
            <c:showCatName val="0"/>
            <c:showSerName val="0"/>
            <c:showPercent val="0"/>
            <c:showBubbleSize val="0"/>
            <c:showLeaderLines val="0"/>
          </c:dLbls>
          <c:cat>
            <c:strRef>
              <c:f>'Figure 10.2'!$C$4:$C$13</c:f>
              <c:strCache>
                <c:ptCount val="10"/>
                <c:pt idx="0">
                  <c:v>Maputo</c:v>
                </c:pt>
                <c:pt idx="1">
                  <c:v>Matola</c:v>
                </c:pt>
                <c:pt idx="2">
                  <c:v>Beira</c:v>
                </c:pt>
                <c:pt idx="3">
                  <c:v>Nampula</c:v>
                </c:pt>
                <c:pt idx="4">
                  <c:v>Nacala</c:v>
                </c:pt>
                <c:pt idx="5">
                  <c:v>Chimoio</c:v>
                </c:pt>
                <c:pt idx="6">
                  <c:v>Tete</c:v>
                </c:pt>
                <c:pt idx="7">
                  <c:v>Moatize</c:v>
                </c:pt>
                <c:pt idx="8">
                  <c:v>Xai-Xai</c:v>
                </c:pt>
                <c:pt idx="9">
                  <c:v>Chokwé</c:v>
                </c:pt>
              </c:strCache>
            </c:strRef>
          </c:cat>
          <c:val>
            <c:numRef>
              <c:f>'Figure 10.2'!$D$4:$D$13</c:f>
              <c:numCache>
                <c:formatCode>#,#00</c:formatCode>
                <c:ptCount val="10"/>
                <c:pt idx="0">
                  <c:v>49.4258079528809</c:v>
                </c:pt>
                <c:pt idx="1">
                  <c:v>57.5909080505371</c:v>
                </c:pt>
                <c:pt idx="2">
                  <c:v>54.6019401550293</c:v>
                </c:pt>
                <c:pt idx="3">
                  <c:v>68.0666656494141</c:v>
                </c:pt>
                <c:pt idx="4">
                  <c:v>10.4545450210571</c:v>
                </c:pt>
                <c:pt idx="5">
                  <c:v>72.06521606445308</c:v>
                </c:pt>
                <c:pt idx="6">
                  <c:v>3.27999997138977</c:v>
                </c:pt>
                <c:pt idx="7">
                  <c:v>2.57142853736877</c:v>
                </c:pt>
                <c:pt idx="8">
                  <c:v>10.6470584869385</c:v>
                </c:pt>
                <c:pt idx="9">
                  <c:v>23.75</c:v>
                </c:pt>
              </c:numCache>
            </c:numRef>
          </c:val>
        </c:ser>
        <c:dLbls>
          <c:showLegendKey val="0"/>
          <c:showVal val="0"/>
          <c:showCatName val="0"/>
          <c:showSerName val="0"/>
          <c:showPercent val="0"/>
          <c:showBubbleSize val="0"/>
        </c:dLbls>
        <c:gapWidth val="150"/>
        <c:axId val="2056881064"/>
        <c:axId val="2078572072"/>
      </c:barChart>
      <c:catAx>
        <c:axId val="2056881064"/>
        <c:scaling>
          <c:orientation val="minMax"/>
        </c:scaling>
        <c:delete val="0"/>
        <c:axPos val="b"/>
        <c:majorTickMark val="out"/>
        <c:minorTickMark val="none"/>
        <c:tickLblPos val="nextTo"/>
        <c:crossAx val="2078572072"/>
        <c:crosses val="autoZero"/>
        <c:auto val="1"/>
        <c:lblAlgn val="ctr"/>
        <c:lblOffset val="100"/>
        <c:noMultiLvlLbl val="0"/>
      </c:catAx>
      <c:valAx>
        <c:axId val="2078572072"/>
        <c:scaling>
          <c:orientation val="minMax"/>
        </c:scaling>
        <c:delete val="0"/>
        <c:axPos val="l"/>
        <c:majorGridlines/>
        <c:numFmt formatCode="#,##0" sourceLinked="0"/>
        <c:majorTickMark val="out"/>
        <c:minorTickMark val="none"/>
        <c:tickLblPos val="nextTo"/>
        <c:crossAx val="2056881064"/>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da-DK" sz="1200"/>
              <a:t>Informal</a:t>
            </a:r>
          </a:p>
        </c:rich>
      </c:tx>
      <c:overlay val="0"/>
    </c:title>
    <c:autoTitleDeleted val="0"/>
    <c:plotArea>
      <c:layout/>
      <c:pieChart>
        <c:varyColors val="1"/>
        <c:ser>
          <c:idx val="0"/>
          <c:order val="0"/>
          <c:dPt>
            <c:idx val="0"/>
            <c:bubble3D val="0"/>
            <c:spPr>
              <a:solidFill>
                <a:srgbClr val="000080"/>
              </a:solidFill>
            </c:spPr>
          </c:dPt>
          <c:dPt>
            <c:idx val="1"/>
            <c:bubble3D val="0"/>
            <c:spPr>
              <a:solidFill>
                <a:srgbClr val="3366FF"/>
              </a:solidFill>
            </c:spPr>
          </c:dPt>
          <c:dPt>
            <c:idx val="2"/>
            <c:bubble3D val="0"/>
            <c:spPr>
              <a:solidFill>
                <a:srgbClr val="99CCFF"/>
              </a:solidFill>
            </c:spPr>
          </c:dPt>
          <c:dPt>
            <c:idx val="3"/>
            <c:bubble3D val="0"/>
            <c:spPr>
              <a:solidFill>
                <a:srgbClr val="008000"/>
              </a:solidFill>
            </c:spPr>
          </c:dPt>
          <c:dPt>
            <c:idx val="4"/>
            <c:bubble3D val="0"/>
            <c:spPr>
              <a:solidFill>
                <a:srgbClr val="99CC00"/>
              </a:solidFill>
            </c:spPr>
          </c:dPt>
          <c:dLbls>
            <c:dLbl>
              <c:idx val="0"/>
              <c:layout>
                <c:manualLayout>
                  <c:x val="0.0652370350257942"/>
                  <c:y val="0.0421794318836841"/>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'Figure 10.3'!$D$4:$D$8</c:f>
              <c:strCache>
                <c:ptCount val="5"/>
                <c:pt idx="0">
                  <c:v>Under-declaration for tax-purposes</c:v>
                </c:pt>
                <c:pt idx="1">
                  <c:v>Difficulties in conforming with tax laws</c:v>
                </c:pt>
                <c:pt idx="2">
                  <c:v>Non-compliance with other regulations</c:v>
                </c:pt>
                <c:pt idx="3">
                  <c:v>Arbitrary decisions of authorities</c:v>
                </c:pt>
                <c:pt idx="4">
                  <c:v>Other reasons</c:v>
                </c:pt>
              </c:strCache>
            </c:strRef>
          </c:cat>
          <c:val>
            <c:numRef>
              <c:f>'Figure 10.3'!$E$4:$E$8</c:f>
              <c:numCache>
                <c:formatCode>General</c:formatCode>
                <c:ptCount val="5"/>
                <c:pt idx="0">
                  <c:v>11.0</c:v>
                </c:pt>
                <c:pt idx="1">
                  <c:v>42.0</c:v>
                </c:pt>
                <c:pt idx="2">
                  <c:v>30.0</c:v>
                </c:pt>
                <c:pt idx="3">
                  <c:v>2.0</c:v>
                </c:pt>
                <c:pt idx="4">
                  <c:v>19.0</c:v>
                </c:pt>
              </c:numCache>
            </c:numRef>
          </c:val>
        </c:ser>
        <c:ser>
          <c:idx val="1"/>
          <c:order val="1"/>
          <c:tx>
            <c:strRef>
              <c:f>'Figure 10.3'!$D$9:$E$9</c:f>
              <c:strCache>
                <c:ptCount val="1"/>
                <c:pt idx="0">
                  <c:v>Other reasons 19</c:v>
                </c:pt>
              </c:strCache>
            </c:strRef>
          </c:tx>
          <c:dLbls>
            <c:showLegendKey val="0"/>
            <c:showVal val="0"/>
            <c:showCatName val="0"/>
            <c:showSerName val="0"/>
            <c:showPercent val="1"/>
            <c:showBubbleSize val="0"/>
            <c:showLeaderLines val="1"/>
          </c:dLbls>
          <c:val>
            <c:numRef>
              <c:f>'Figure 10.3'!$F$4:$F$8</c:f>
              <c:numCache>
                <c:formatCode>General</c:formatCode>
                <c:ptCount val="5"/>
                <c:pt idx="0">
                  <c:v>15.0</c:v>
                </c:pt>
                <c:pt idx="1">
                  <c:v>27.0</c:v>
                </c:pt>
                <c:pt idx="2">
                  <c:v>47.0</c:v>
                </c:pt>
                <c:pt idx="3">
                  <c:v>10.0</c:v>
                </c:pt>
                <c:pt idx="4">
                  <c:v>64.0</c:v>
                </c:pt>
              </c:numCache>
            </c:numRef>
          </c:val>
        </c:ser>
        <c:dLbls>
          <c:showLegendKey val="0"/>
          <c:showVal val="0"/>
          <c:showCatName val="0"/>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da-DK" sz="1200"/>
              <a:t>Formal</a:t>
            </a:r>
          </a:p>
        </c:rich>
      </c:tx>
      <c:overlay val="0"/>
    </c:title>
    <c:autoTitleDeleted val="0"/>
    <c:plotArea>
      <c:layout/>
      <c:pieChart>
        <c:varyColors val="1"/>
        <c:ser>
          <c:idx val="0"/>
          <c:order val="0"/>
          <c:dPt>
            <c:idx val="0"/>
            <c:bubble3D val="0"/>
            <c:spPr>
              <a:solidFill>
                <a:srgbClr val="000080"/>
              </a:solidFill>
            </c:spPr>
          </c:dPt>
          <c:dPt>
            <c:idx val="1"/>
            <c:bubble3D val="0"/>
            <c:spPr>
              <a:solidFill>
                <a:srgbClr val="3366FF"/>
              </a:solidFill>
            </c:spPr>
          </c:dPt>
          <c:dPt>
            <c:idx val="2"/>
            <c:bubble3D val="0"/>
            <c:spPr>
              <a:solidFill>
                <a:srgbClr val="99CCFF"/>
              </a:solidFill>
            </c:spPr>
          </c:dPt>
          <c:dPt>
            <c:idx val="3"/>
            <c:bubble3D val="0"/>
            <c:spPr>
              <a:solidFill>
                <a:srgbClr val="008000"/>
              </a:solidFill>
            </c:spPr>
          </c:dPt>
          <c:dPt>
            <c:idx val="4"/>
            <c:bubble3D val="0"/>
            <c:spPr>
              <a:solidFill>
                <a:srgbClr val="99CC00"/>
              </a:solidFill>
            </c:spPr>
          </c:dPt>
          <c:dLbls>
            <c:dLbl>
              <c:idx val="0"/>
              <c:layout>
                <c:manualLayout>
                  <c:x val="0.0826478565179352"/>
                  <c:y val="0.0390970399533392"/>
                </c:manualLayout>
              </c:layout>
              <c:showLegendKey val="0"/>
              <c:showVal val="0"/>
              <c:showCatName val="0"/>
              <c:showSerName val="0"/>
              <c:showPercent val="1"/>
              <c:showBubbleSize val="0"/>
            </c:dLbl>
            <c:showLegendKey val="0"/>
            <c:showVal val="0"/>
            <c:showCatName val="0"/>
            <c:showSerName val="0"/>
            <c:showPercent val="1"/>
            <c:showBubbleSize val="0"/>
            <c:showLeaderLines val="1"/>
          </c:dLbls>
          <c:cat>
            <c:strRef>
              <c:f>'Figure 10.3 data'!$B$7:$B$11</c:f>
              <c:strCache>
                <c:ptCount val="5"/>
                <c:pt idx="0">
                  <c:v>Under-declaration for tax-purposes</c:v>
                </c:pt>
                <c:pt idx="1">
                  <c:v>Difficulties in conforming with tax laws</c:v>
                </c:pt>
                <c:pt idx="2">
                  <c:v>Non-compliance with other regulations</c:v>
                </c:pt>
                <c:pt idx="3">
                  <c:v>Arbitrary decisions of authorities</c:v>
                </c:pt>
                <c:pt idx="4">
                  <c:v>Other reasons</c:v>
                </c:pt>
              </c:strCache>
            </c:strRef>
          </c:cat>
          <c:val>
            <c:numRef>
              <c:f>'Figure 10.3 data'!$C$7:$C$11</c:f>
              <c:numCache>
                <c:formatCode>General</c:formatCode>
                <c:ptCount val="5"/>
                <c:pt idx="0">
                  <c:v>15.0</c:v>
                </c:pt>
                <c:pt idx="1">
                  <c:v>27.0</c:v>
                </c:pt>
                <c:pt idx="2">
                  <c:v>47.0</c:v>
                </c:pt>
                <c:pt idx="3">
                  <c:v>10.0</c:v>
                </c:pt>
                <c:pt idx="4">
                  <c:v>64.0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da-DK" sz="1200"/>
              <a:t>Wood (ISIC 20)</a:t>
            </a:r>
          </a:p>
        </c:rich>
      </c:tx>
      <c:overlay val="0"/>
    </c:title>
    <c:autoTitleDeleted val="0"/>
    <c:plotArea>
      <c:layout/>
      <c:pieChart>
        <c:varyColors val="1"/>
        <c:ser>
          <c:idx val="0"/>
          <c:order val="0"/>
          <c:spPr>
            <a:solidFill>
              <a:srgbClr val="000080"/>
            </a:solidFill>
          </c:spPr>
          <c:dPt>
            <c:idx val="0"/>
            <c:bubble3D val="0"/>
            <c:spPr>
              <a:solidFill>
                <a:srgbClr val="3366FF"/>
              </a:solidFill>
            </c:spPr>
          </c:dPt>
          <c:dPt>
            <c:idx val="1"/>
            <c:bubble3D val="0"/>
            <c:spPr>
              <a:solidFill>
                <a:srgbClr val="99CCFF"/>
              </a:solidFill>
            </c:spPr>
          </c:dPt>
          <c:dLbls>
            <c:txPr>
              <a:bodyPr/>
              <a:lstStyle/>
              <a:p>
                <a:pPr>
                  <a:defRPr sz="900"/>
                </a:pPr>
                <a:endParaRPr lang="en-US"/>
              </a:p>
            </c:txPr>
            <c:showLegendKey val="0"/>
            <c:showVal val="0"/>
            <c:showCatName val="0"/>
            <c:showSerName val="0"/>
            <c:showPercent val="1"/>
            <c:showBubbleSize val="0"/>
            <c:showLeaderLines val="1"/>
          </c:dLbls>
          <c:cat>
            <c:strRef>
              <c:f>'Figure 2.1'!$C$9:$C$11</c:f>
              <c:strCache>
                <c:ptCount val="3"/>
                <c:pt idx="0">
                  <c:v>Builder's Carpentry</c:v>
                </c:pt>
                <c:pt idx="1">
                  <c:v>Sawmilling</c:v>
                </c:pt>
                <c:pt idx="2">
                  <c:v>Other</c:v>
                </c:pt>
              </c:strCache>
            </c:strRef>
          </c:cat>
          <c:val>
            <c:numRef>
              <c:f>'Figure 2.1'!$D$9:$D$11</c:f>
              <c:numCache>
                <c:formatCode>General</c:formatCode>
                <c:ptCount val="3"/>
                <c:pt idx="0">
                  <c:v>74.0</c:v>
                </c:pt>
                <c:pt idx="1">
                  <c:v>20.0</c:v>
                </c:pt>
                <c:pt idx="2">
                  <c:v>2.0</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sz="9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da-DK" sz="1200"/>
              <a:t>Minerals (ISIC 26)</a:t>
            </a:r>
          </a:p>
        </c:rich>
      </c:tx>
      <c:overlay val="0"/>
    </c:title>
    <c:autoTitleDeleted val="0"/>
    <c:plotArea>
      <c:layout/>
      <c:pieChart>
        <c:varyColors val="1"/>
        <c:ser>
          <c:idx val="0"/>
          <c:order val="0"/>
          <c:dPt>
            <c:idx val="0"/>
            <c:bubble3D val="0"/>
            <c:spPr>
              <a:solidFill>
                <a:srgbClr val="3366FF"/>
              </a:solidFill>
            </c:spPr>
          </c:dPt>
          <c:dPt>
            <c:idx val="1"/>
            <c:bubble3D val="0"/>
            <c:spPr>
              <a:solidFill>
                <a:srgbClr val="000080"/>
              </a:solidFill>
            </c:spPr>
          </c:dPt>
          <c:dLbls>
            <c:showLegendKey val="0"/>
            <c:showVal val="0"/>
            <c:showCatName val="0"/>
            <c:showSerName val="0"/>
            <c:showPercent val="1"/>
            <c:showBubbleSize val="0"/>
            <c:showLeaderLines val="1"/>
          </c:dLbls>
          <c:cat>
            <c:strRef>
              <c:f>'Figure 2.1'!$C$13:$C$14</c:f>
              <c:strCache>
                <c:ptCount val="2"/>
                <c:pt idx="0">
                  <c:v>Articles of concrete</c:v>
                </c:pt>
                <c:pt idx="1">
                  <c:v>Other</c:v>
                </c:pt>
              </c:strCache>
            </c:strRef>
          </c:cat>
          <c:val>
            <c:numRef>
              <c:f>'Figure 2.1'!$D$13:$D$14</c:f>
              <c:numCache>
                <c:formatCode>General</c:formatCode>
                <c:ptCount val="2"/>
                <c:pt idx="0">
                  <c:v>58.0</c:v>
                </c:pt>
                <c:pt idx="1">
                  <c:v>6.0</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sz="900"/>
          </a:pPr>
          <a:endParaRPr lang="en-US"/>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da-DK" sz="1200"/>
              <a:t>Metal (ISIC 28)</a:t>
            </a:r>
          </a:p>
        </c:rich>
      </c:tx>
      <c:overlay val="0"/>
    </c:title>
    <c:autoTitleDeleted val="0"/>
    <c:plotArea>
      <c:layout/>
      <c:pieChart>
        <c:varyColors val="1"/>
        <c:ser>
          <c:idx val="0"/>
          <c:order val="0"/>
          <c:spPr>
            <a:solidFill>
              <a:srgbClr val="99CCFF"/>
            </a:solidFill>
            <a:ln>
              <a:solidFill>
                <a:schemeClr val="accent1"/>
              </a:solidFill>
            </a:ln>
          </c:spPr>
          <c:dPt>
            <c:idx val="0"/>
            <c:bubble3D val="0"/>
            <c:spPr>
              <a:solidFill>
                <a:srgbClr val="3366FF"/>
              </a:solidFill>
              <a:ln>
                <a:solidFill>
                  <a:schemeClr val="accent1"/>
                </a:solidFill>
              </a:ln>
            </c:spPr>
          </c:dPt>
          <c:dPt>
            <c:idx val="2"/>
            <c:bubble3D val="0"/>
            <c:spPr>
              <a:solidFill>
                <a:srgbClr val="000080"/>
              </a:solidFill>
              <a:ln>
                <a:solidFill>
                  <a:schemeClr val="accent1"/>
                </a:solidFill>
              </a:ln>
            </c:spPr>
          </c:dPt>
          <c:dLbls>
            <c:txPr>
              <a:bodyPr/>
              <a:lstStyle/>
              <a:p>
                <a:pPr>
                  <a:defRPr sz="900"/>
                </a:pPr>
                <a:endParaRPr lang="en-US"/>
              </a:p>
            </c:txPr>
            <c:showLegendKey val="0"/>
            <c:showVal val="0"/>
            <c:showCatName val="0"/>
            <c:showSerName val="0"/>
            <c:showPercent val="1"/>
            <c:showBubbleSize val="0"/>
            <c:showLeaderLines val="1"/>
          </c:dLbls>
          <c:cat>
            <c:strRef>
              <c:f>'Figure 2.1'!$C$16:$C$18</c:f>
              <c:strCache>
                <c:ptCount val="3"/>
                <c:pt idx="0">
                  <c:v>Structural Metal</c:v>
                </c:pt>
                <c:pt idx="1">
                  <c:v>Fabricated Metal Prod.</c:v>
                </c:pt>
                <c:pt idx="2">
                  <c:v>Other</c:v>
                </c:pt>
              </c:strCache>
            </c:strRef>
          </c:cat>
          <c:val>
            <c:numRef>
              <c:f>'Figure 2.1'!$D$16:$D$18</c:f>
              <c:numCache>
                <c:formatCode>General</c:formatCode>
                <c:ptCount val="3"/>
                <c:pt idx="0">
                  <c:v>55.0</c:v>
                </c:pt>
                <c:pt idx="1">
                  <c:v>88.0</c:v>
                </c:pt>
                <c:pt idx="2">
                  <c:v>20.0</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sz="900"/>
          </a:pPr>
          <a:endParaRPr lang="en-US"/>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da-DK" sz="1200"/>
              <a:t>Furniture (ISIC</a:t>
            </a:r>
            <a:r>
              <a:rPr lang="da-DK" sz="1200" baseline="0"/>
              <a:t> 36)</a:t>
            </a:r>
            <a:endParaRPr lang="da-DK" sz="1200"/>
          </a:p>
        </c:rich>
      </c:tx>
      <c:overlay val="0"/>
    </c:title>
    <c:autoTitleDeleted val="0"/>
    <c:plotArea>
      <c:layout/>
      <c:pieChart>
        <c:varyColors val="1"/>
        <c:ser>
          <c:idx val="0"/>
          <c:order val="0"/>
          <c:dPt>
            <c:idx val="0"/>
            <c:bubble3D val="0"/>
            <c:spPr>
              <a:solidFill>
                <a:srgbClr val="3366FF"/>
              </a:solidFill>
              <a:ln>
                <a:solidFill>
                  <a:schemeClr val="accent1"/>
                </a:solidFill>
              </a:ln>
            </c:spPr>
          </c:dPt>
          <c:dPt>
            <c:idx val="1"/>
            <c:bubble3D val="0"/>
            <c:spPr>
              <a:solidFill>
                <a:srgbClr val="000080"/>
              </a:solidFill>
            </c:spPr>
          </c:dPt>
          <c:dLbls>
            <c:txPr>
              <a:bodyPr/>
              <a:lstStyle/>
              <a:p>
                <a:pPr>
                  <a:defRPr sz="900"/>
                </a:pPr>
                <a:endParaRPr lang="en-US"/>
              </a:p>
            </c:txPr>
            <c:showLegendKey val="0"/>
            <c:showVal val="0"/>
            <c:showCatName val="0"/>
            <c:showSerName val="0"/>
            <c:showPercent val="1"/>
            <c:showBubbleSize val="0"/>
            <c:showLeaderLines val="1"/>
          </c:dLbls>
          <c:cat>
            <c:strRef>
              <c:f>'Figure 2.1'!$C$20:$C$21</c:f>
              <c:strCache>
                <c:ptCount val="2"/>
                <c:pt idx="0">
                  <c:v>Furniture</c:v>
                </c:pt>
                <c:pt idx="1">
                  <c:v>Other</c:v>
                </c:pt>
              </c:strCache>
            </c:strRef>
          </c:cat>
          <c:val>
            <c:numRef>
              <c:f>'Figure 2.1'!$D$20:$D$21</c:f>
              <c:numCache>
                <c:formatCode>General</c:formatCode>
                <c:ptCount val="2"/>
                <c:pt idx="0">
                  <c:v>154.0</c:v>
                </c:pt>
                <c:pt idx="1">
                  <c:v>11.0</c:v>
                </c:pt>
              </c:numCache>
            </c:numRef>
          </c:val>
        </c:ser>
        <c:dLbls>
          <c:showLegendKey val="0"/>
          <c:showVal val="0"/>
          <c:showCatName val="0"/>
          <c:showSerName val="0"/>
          <c:showPercent val="1"/>
          <c:showBubbleSize val="0"/>
          <c:showLeaderLines val="1"/>
        </c:dLbls>
        <c:firstSliceAng val="0"/>
      </c:pieChart>
    </c:plotArea>
    <c:legend>
      <c:legendPos val="r"/>
      <c:overlay val="0"/>
      <c:txPr>
        <a:bodyPr/>
        <a:lstStyle/>
        <a:p>
          <a:pPr>
            <a:defRPr sz="900"/>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'Figure 4.1'!$C$2</c:f>
              <c:strCache>
                <c:ptCount val="1"/>
                <c:pt idx="0">
                  <c:v>2006</c:v>
                </c:pt>
              </c:strCache>
            </c:strRef>
          </c:tx>
          <c:spPr>
            <a:solidFill>
              <a:srgbClr val="000080"/>
            </a:solidFill>
          </c:spPr>
          <c:invertIfNegative val="0"/>
          <c:dLbls>
            <c:numFmt formatCode="#,##0.0" sourceLinked="0"/>
            <c:showLegendKey val="0"/>
            <c:showVal val="1"/>
            <c:showCatName val="0"/>
            <c:showSerName val="0"/>
            <c:showPercent val="0"/>
            <c:showBubbleSize val="0"/>
            <c:showLeaderLines val="0"/>
          </c:dLbls>
          <c:cat>
            <c:strRef>
              <c:f>'Figure 4.1'!$B$3:$B$5</c:f>
              <c:strCache>
                <c:ptCount val="3"/>
                <c:pt idx="0">
                  <c:v>Micro</c:v>
                </c:pt>
                <c:pt idx="1">
                  <c:v>Small</c:v>
                </c:pt>
                <c:pt idx="2">
                  <c:v>Medium</c:v>
                </c:pt>
              </c:strCache>
            </c:strRef>
          </c:cat>
          <c:val>
            <c:numRef>
              <c:f>'Figure 4.1'!$C$3:$C$5</c:f>
              <c:numCache>
                <c:formatCode>0.00</c:formatCode>
                <c:ptCount val="3"/>
                <c:pt idx="0">
                  <c:v>10.3921194076538</c:v>
                </c:pt>
                <c:pt idx="1">
                  <c:v>8.08074092864992</c:v>
                </c:pt>
                <c:pt idx="2">
                  <c:v>8.897275924682618</c:v>
                </c:pt>
              </c:numCache>
            </c:numRef>
          </c:val>
        </c:ser>
        <c:ser>
          <c:idx val="1"/>
          <c:order val="1"/>
          <c:tx>
            <c:strRef>
              <c:f>'Figure 4.1'!$D$2</c:f>
              <c:strCache>
                <c:ptCount val="1"/>
                <c:pt idx="0">
                  <c:v>2011</c:v>
                </c:pt>
              </c:strCache>
            </c:strRef>
          </c:tx>
          <c:spPr>
            <a:solidFill>
              <a:srgbClr val="3366FF"/>
            </a:solidFill>
          </c:spPr>
          <c:invertIfNegative val="0"/>
          <c:dLbls>
            <c:numFmt formatCode="#,##0.0" sourceLinked="0"/>
            <c:showLegendKey val="0"/>
            <c:showVal val="1"/>
            <c:showCatName val="0"/>
            <c:showSerName val="0"/>
            <c:showPercent val="0"/>
            <c:showBubbleSize val="0"/>
            <c:showLeaderLines val="0"/>
          </c:dLbls>
          <c:cat>
            <c:strRef>
              <c:f>'Figure 4.1'!$B$3:$B$5</c:f>
              <c:strCache>
                <c:ptCount val="3"/>
                <c:pt idx="0">
                  <c:v>Micro</c:v>
                </c:pt>
                <c:pt idx="1">
                  <c:v>Small</c:v>
                </c:pt>
                <c:pt idx="2">
                  <c:v>Medium</c:v>
                </c:pt>
              </c:strCache>
            </c:strRef>
          </c:cat>
          <c:val>
            <c:numRef>
              <c:f>'Figure 4.1'!$D$3:$D$5</c:f>
              <c:numCache>
                <c:formatCode>0.00</c:formatCode>
                <c:ptCount val="3"/>
                <c:pt idx="0">
                  <c:v>7.9667205810547</c:v>
                </c:pt>
                <c:pt idx="1">
                  <c:v>3.462554931640628</c:v>
                </c:pt>
                <c:pt idx="2">
                  <c:v>7.68510389328003</c:v>
                </c:pt>
              </c:numCache>
            </c:numRef>
          </c:val>
        </c:ser>
        <c:dLbls>
          <c:showLegendKey val="0"/>
          <c:showVal val="1"/>
          <c:showCatName val="0"/>
          <c:showSerName val="0"/>
          <c:showPercent val="0"/>
          <c:showBubbleSize val="0"/>
        </c:dLbls>
        <c:gapWidth val="150"/>
        <c:axId val="2056642632"/>
        <c:axId val="2058859416"/>
      </c:barChart>
      <c:catAx>
        <c:axId val="2056642632"/>
        <c:scaling>
          <c:orientation val="minMax"/>
        </c:scaling>
        <c:delete val="0"/>
        <c:axPos val="b"/>
        <c:majorTickMark val="none"/>
        <c:minorTickMark val="none"/>
        <c:tickLblPos val="nextTo"/>
        <c:crossAx val="2058859416"/>
        <c:crosses val="autoZero"/>
        <c:auto val="1"/>
        <c:lblAlgn val="ctr"/>
        <c:lblOffset val="100"/>
        <c:noMultiLvlLbl val="0"/>
      </c:catAx>
      <c:valAx>
        <c:axId val="2058859416"/>
        <c:scaling>
          <c:orientation val="minMax"/>
        </c:scaling>
        <c:delete val="0"/>
        <c:axPos val="l"/>
        <c:majorGridlines/>
        <c:numFmt formatCode="0" sourceLinked="0"/>
        <c:majorTickMark val="none"/>
        <c:minorTickMark val="none"/>
        <c:tickLblPos val="nextTo"/>
        <c:crossAx val="2056642632"/>
        <c:crosses val="autoZero"/>
        <c:crossBetween val="between"/>
      </c:valAx>
    </c:plotArea>
    <c:legend>
      <c:legendPos val="r"/>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'Figure 4.3'!$C$2</c:f>
              <c:strCache>
                <c:ptCount val="1"/>
                <c:pt idx="0">
                  <c:v>2006</c:v>
                </c:pt>
              </c:strCache>
            </c:strRef>
          </c:tx>
          <c:spPr>
            <a:solidFill>
              <a:srgbClr val="000080"/>
            </a:solidFill>
          </c:spPr>
          <c:invertIfNegative val="0"/>
          <c:dLbls>
            <c:numFmt formatCode="#,##0.0" sourceLinked="0"/>
            <c:dLblPos val="outEnd"/>
            <c:showLegendKey val="0"/>
            <c:showVal val="1"/>
            <c:showCatName val="0"/>
            <c:showSerName val="0"/>
            <c:showPercent val="0"/>
            <c:showBubbleSize val="0"/>
            <c:showLeaderLines val="0"/>
          </c:dLbls>
          <c:cat>
            <c:strRef>
              <c:f>'Figure 4.3'!$B$3:$B$5</c:f>
              <c:strCache>
                <c:ptCount val="3"/>
                <c:pt idx="0">
                  <c:v>Micro</c:v>
                </c:pt>
                <c:pt idx="1">
                  <c:v>Small</c:v>
                </c:pt>
                <c:pt idx="2">
                  <c:v>Medium</c:v>
                </c:pt>
              </c:strCache>
            </c:strRef>
          </c:cat>
          <c:val>
            <c:numRef>
              <c:f>'Figure 4.3'!$C$3:$C$5</c:f>
              <c:numCache>
                <c:formatCode>#,#00</c:formatCode>
                <c:ptCount val="3"/>
                <c:pt idx="0">
                  <c:v>50.2188148498535</c:v>
                </c:pt>
                <c:pt idx="1">
                  <c:v>42.9906768798828</c:v>
                </c:pt>
                <c:pt idx="2">
                  <c:v>27.95355606079099</c:v>
                </c:pt>
              </c:numCache>
            </c:numRef>
          </c:val>
        </c:ser>
        <c:ser>
          <c:idx val="1"/>
          <c:order val="1"/>
          <c:tx>
            <c:strRef>
              <c:f>'Figure 4.3'!$D$2</c:f>
              <c:strCache>
                <c:ptCount val="1"/>
                <c:pt idx="0">
                  <c:v>2011</c:v>
                </c:pt>
              </c:strCache>
            </c:strRef>
          </c:tx>
          <c:spPr>
            <a:solidFill>
              <a:srgbClr val="3366FF"/>
            </a:solidFill>
          </c:spPr>
          <c:invertIfNegative val="0"/>
          <c:dLbls>
            <c:numFmt formatCode="#,##0.0" sourceLinked="0"/>
            <c:showLegendKey val="0"/>
            <c:showVal val="1"/>
            <c:showCatName val="0"/>
            <c:showSerName val="0"/>
            <c:showPercent val="0"/>
            <c:showBubbleSize val="0"/>
            <c:showLeaderLines val="0"/>
          </c:dLbls>
          <c:cat>
            <c:strRef>
              <c:f>'Figure 4.3'!$B$3:$B$5</c:f>
              <c:strCache>
                <c:ptCount val="3"/>
                <c:pt idx="0">
                  <c:v>Micro</c:v>
                </c:pt>
                <c:pt idx="1">
                  <c:v>Small</c:v>
                </c:pt>
                <c:pt idx="2">
                  <c:v>Medium</c:v>
                </c:pt>
              </c:strCache>
            </c:strRef>
          </c:cat>
          <c:val>
            <c:numRef>
              <c:f>'Figure 4.3'!$D$3:$D$5</c:f>
              <c:numCache>
                <c:formatCode>#,#00</c:formatCode>
                <c:ptCount val="3"/>
                <c:pt idx="0">
                  <c:v>31.32224273681638</c:v>
                </c:pt>
                <c:pt idx="1">
                  <c:v>27.4335289001465</c:v>
                </c:pt>
                <c:pt idx="2">
                  <c:v>17.2482147216797</c:v>
                </c:pt>
              </c:numCache>
            </c:numRef>
          </c:val>
        </c:ser>
        <c:dLbls>
          <c:showLegendKey val="0"/>
          <c:showVal val="0"/>
          <c:showCatName val="0"/>
          <c:showSerName val="0"/>
          <c:showPercent val="0"/>
          <c:showBubbleSize val="0"/>
        </c:dLbls>
        <c:gapWidth val="150"/>
        <c:axId val="2062953768"/>
        <c:axId val="2076207384"/>
      </c:barChart>
      <c:catAx>
        <c:axId val="2062953768"/>
        <c:scaling>
          <c:orientation val="minMax"/>
        </c:scaling>
        <c:delete val="0"/>
        <c:axPos val="b"/>
        <c:majorTickMark val="out"/>
        <c:minorTickMark val="none"/>
        <c:tickLblPos val="nextTo"/>
        <c:crossAx val="2076207384"/>
        <c:crosses val="autoZero"/>
        <c:auto val="1"/>
        <c:lblAlgn val="ctr"/>
        <c:lblOffset val="100"/>
        <c:noMultiLvlLbl val="0"/>
      </c:catAx>
      <c:valAx>
        <c:axId val="2076207384"/>
        <c:scaling>
          <c:orientation val="minMax"/>
        </c:scaling>
        <c:delete val="0"/>
        <c:axPos val="l"/>
        <c:majorGridlines/>
        <c:numFmt formatCode="#,##0" sourceLinked="0"/>
        <c:majorTickMark val="out"/>
        <c:minorTickMark val="none"/>
        <c:tickLblPos val="nextTo"/>
        <c:crossAx val="2062953768"/>
        <c:crosses val="autoZero"/>
        <c:crossBetween val="between"/>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areaChart>
        <c:grouping val="stacked"/>
        <c:varyColors val="0"/>
        <c:ser>
          <c:idx val="1"/>
          <c:order val="0"/>
          <c:tx>
            <c:v>Self-employed</c:v>
          </c:tx>
          <c:spPr>
            <a:solidFill>
              <a:srgbClr val="000080"/>
            </a:solidFill>
            <a:ln w="25400">
              <a:noFill/>
            </a:ln>
          </c:spPr>
          <c:cat>
            <c:numRef>
              <c:f>Figure!$A$2:$A$42</c:f>
              <c:numCache>
                <c:formatCode>General</c:formatCode>
                <c:ptCount val="41"/>
                <c:pt idx="0">
                  <c:v>0.0</c:v>
                </c:pt>
                <c:pt idx="1">
                  <c:v>200.0</c:v>
                </c:pt>
                <c:pt idx="2">
                  <c:v>400.0</c:v>
                </c:pt>
                <c:pt idx="3">
                  <c:v>600.0</c:v>
                </c:pt>
                <c:pt idx="4">
                  <c:v>800.0</c:v>
                </c:pt>
                <c:pt idx="5">
                  <c:v>1000.0</c:v>
                </c:pt>
                <c:pt idx="6">
                  <c:v>1200.0</c:v>
                </c:pt>
                <c:pt idx="7">
                  <c:v>1400.0</c:v>
                </c:pt>
                <c:pt idx="8">
                  <c:v>1600.0</c:v>
                </c:pt>
                <c:pt idx="9">
                  <c:v>1800.0</c:v>
                </c:pt>
                <c:pt idx="10">
                  <c:v>2000.0</c:v>
                </c:pt>
                <c:pt idx="11">
                  <c:v>2200.0</c:v>
                </c:pt>
                <c:pt idx="12">
                  <c:v>2400.0</c:v>
                </c:pt>
                <c:pt idx="13">
                  <c:v>2600.0</c:v>
                </c:pt>
                <c:pt idx="14">
                  <c:v>2800.0</c:v>
                </c:pt>
                <c:pt idx="15">
                  <c:v>3000.0</c:v>
                </c:pt>
                <c:pt idx="16">
                  <c:v>3200.0</c:v>
                </c:pt>
                <c:pt idx="17">
                  <c:v>3400.0</c:v>
                </c:pt>
                <c:pt idx="18">
                  <c:v>3600.0</c:v>
                </c:pt>
                <c:pt idx="19">
                  <c:v>3800.0</c:v>
                </c:pt>
                <c:pt idx="20">
                  <c:v>4000.0</c:v>
                </c:pt>
                <c:pt idx="21">
                  <c:v>4200.0</c:v>
                </c:pt>
                <c:pt idx="22">
                  <c:v>4400.0</c:v>
                </c:pt>
                <c:pt idx="23">
                  <c:v>4600.0</c:v>
                </c:pt>
                <c:pt idx="24">
                  <c:v>4800.0</c:v>
                </c:pt>
                <c:pt idx="25">
                  <c:v>5000.0</c:v>
                </c:pt>
                <c:pt idx="26">
                  <c:v>5200.0</c:v>
                </c:pt>
                <c:pt idx="27">
                  <c:v>5400.0</c:v>
                </c:pt>
                <c:pt idx="28">
                  <c:v>5600.0</c:v>
                </c:pt>
                <c:pt idx="29">
                  <c:v>5800.0</c:v>
                </c:pt>
                <c:pt idx="30">
                  <c:v>6000.0</c:v>
                </c:pt>
                <c:pt idx="31">
                  <c:v>6200.0</c:v>
                </c:pt>
                <c:pt idx="32">
                  <c:v>6400.0</c:v>
                </c:pt>
                <c:pt idx="33">
                  <c:v>6600.0</c:v>
                </c:pt>
                <c:pt idx="34">
                  <c:v>6800.0</c:v>
                </c:pt>
                <c:pt idx="35">
                  <c:v>7000.0</c:v>
                </c:pt>
                <c:pt idx="36">
                  <c:v>7200.0</c:v>
                </c:pt>
                <c:pt idx="37">
                  <c:v>7400.0</c:v>
                </c:pt>
                <c:pt idx="38">
                  <c:v>7600.0</c:v>
                </c:pt>
                <c:pt idx="39">
                  <c:v>7800.0</c:v>
                </c:pt>
                <c:pt idx="40">
                  <c:v>8000.0</c:v>
                </c:pt>
              </c:numCache>
            </c:numRef>
          </c:cat>
          <c:val>
            <c:numRef>
              <c:f>Figure!$B$2:$B$42</c:f>
              <c:numCache>
                <c:formatCode>General</c:formatCode>
                <c:ptCount val="41"/>
                <c:pt idx="0">
                  <c:v>0.0</c:v>
                </c:pt>
                <c:pt idx="1">
                  <c:v>7.0</c:v>
                </c:pt>
                <c:pt idx="2">
                  <c:v>8.0</c:v>
                </c:pt>
                <c:pt idx="3">
                  <c:v>7.0</c:v>
                </c:pt>
                <c:pt idx="4">
                  <c:v>15.0</c:v>
                </c:pt>
                <c:pt idx="5">
                  <c:v>16.0</c:v>
                </c:pt>
                <c:pt idx="6">
                  <c:v>15.0</c:v>
                </c:pt>
                <c:pt idx="7">
                  <c:v>32.0</c:v>
                </c:pt>
                <c:pt idx="8">
                  <c:v>48.0</c:v>
                </c:pt>
                <c:pt idx="9">
                  <c:v>35.0</c:v>
                </c:pt>
                <c:pt idx="10">
                  <c:v>62.0</c:v>
                </c:pt>
                <c:pt idx="11">
                  <c:v>17.0</c:v>
                </c:pt>
                <c:pt idx="12">
                  <c:v>12.0</c:v>
                </c:pt>
                <c:pt idx="13">
                  <c:v>27.0</c:v>
                </c:pt>
                <c:pt idx="14">
                  <c:v>18.0</c:v>
                </c:pt>
                <c:pt idx="15">
                  <c:v>15.0</c:v>
                </c:pt>
                <c:pt idx="16">
                  <c:v>6.0</c:v>
                </c:pt>
                <c:pt idx="17">
                  <c:v>6.0</c:v>
                </c:pt>
                <c:pt idx="18">
                  <c:v>10.0</c:v>
                </c:pt>
                <c:pt idx="19">
                  <c:v>4.0</c:v>
                </c:pt>
                <c:pt idx="20">
                  <c:v>6.0</c:v>
                </c:pt>
                <c:pt idx="21">
                  <c:v>0.0</c:v>
                </c:pt>
                <c:pt idx="22">
                  <c:v>2.0</c:v>
                </c:pt>
                <c:pt idx="23">
                  <c:v>8.0</c:v>
                </c:pt>
                <c:pt idx="24">
                  <c:v>0.0</c:v>
                </c:pt>
                <c:pt idx="25">
                  <c:v>5.0</c:v>
                </c:pt>
                <c:pt idx="26">
                  <c:v>2.0</c:v>
                </c:pt>
                <c:pt idx="27">
                  <c:v>2.0</c:v>
                </c:pt>
                <c:pt idx="28">
                  <c:v>5.0</c:v>
                </c:pt>
                <c:pt idx="29">
                  <c:v>0.0</c:v>
                </c:pt>
                <c:pt idx="30">
                  <c:v>5.0</c:v>
                </c:pt>
                <c:pt idx="31">
                  <c:v>3.0</c:v>
                </c:pt>
                <c:pt idx="32">
                  <c:v>1.0</c:v>
                </c:pt>
                <c:pt idx="33">
                  <c:v>2.0</c:v>
                </c:pt>
                <c:pt idx="34">
                  <c:v>1.0</c:v>
                </c:pt>
                <c:pt idx="35">
                  <c:v>2.0</c:v>
                </c:pt>
                <c:pt idx="36">
                  <c:v>0.0</c:v>
                </c:pt>
                <c:pt idx="37">
                  <c:v>1.0</c:v>
                </c:pt>
                <c:pt idx="38">
                  <c:v>0.0</c:v>
                </c:pt>
                <c:pt idx="39">
                  <c:v>2.0</c:v>
                </c:pt>
                <c:pt idx="40">
                  <c:v>3.0</c:v>
                </c:pt>
              </c:numCache>
            </c:numRef>
          </c:val>
        </c:ser>
        <c:dLbls>
          <c:showLegendKey val="0"/>
          <c:showVal val="0"/>
          <c:showCatName val="0"/>
          <c:showSerName val="0"/>
          <c:showPercent val="0"/>
          <c:showBubbleSize val="0"/>
        </c:dLbls>
        <c:axId val="2059909064"/>
        <c:axId val="2062905272"/>
      </c:areaChart>
      <c:catAx>
        <c:axId val="2059909064"/>
        <c:scaling>
          <c:orientation val="minMax"/>
        </c:scaling>
        <c:delete val="0"/>
        <c:axPos val="b"/>
        <c:numFmt formatCode="General" sourceLinked="1"/>
        <c:majorTickMark val="out"/>
        <c:minorTickMark val="none"/>
        <c:tickLblPos val="nextTo"/>
        <c:crossAx val="2062905272"/>
        <c:crosses val="autoZero"/>
        <c:auto val="1"/>
        <c:lblAlgn val="ctr"/>
        <c:lblOffset val="100"/>
        <c:tickLblSkip val="2"/>
        <c:noMultiLvlLbl val="0"/>
      </c:catAx>
      <c:valAx>
        <c:axId val="2062905272"/>
        <c:scaling>
          <c:orientation val="minMax"/>
        </c:scaling>
        <c:delete val="0"/>
        <c:axPos val="l"/>
        <c:numFmt formatCode="General" sourceLinked="1"/>
        <c:majorTickMark val="out"/>
        <c:minorTickMark val="none"/>
        <c:tickLblPos val="nextTo"/>
        <c:crossAx val="2059909064"/>
        <c:crosses val="autoZero"/>
        <c:crossBetween val="midCat"/>
      </c:valAx>
    </c:plotArea>
    <c:plotVisOnly val="1"/>
    <c:dispBlanksAs val="zero"/>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0.28132</cdr:x>
      <cdr:y>0.13863</cdr:y>
    </cdr:from>
    <cdr:to>
      <cdr:x>0.28191</cdr:x>
      <cdr:y>0.87774</cdr:y>
    </cdr:to>
    <cdr:cxnSp macro="">
      <cdr:nvCxnSpPr>
        <cdr:cNvPr id="7" name="Straight Connector 6"/>
        <cdr:cNvCxnSpPr/>
      </cdr:nvCxnSpPr>
      <cdr:spPr>
        <a:xfrm xmlns:a="http://schemas.openxmlformats.org/drawingml/2006/main">
          <a:off x="1511280" y="421225"/>
          <a:ext cx="3195" cy="2245774"/>
        </a:xfrm>
        <a:prstGeom xmlns:a="http://schemas.openxmlformats.org/drawingml/2006/main" prst="line">
          <a:avLst/>
        </a:prstGeom>
        <a:ln xmlns:a="http://schemas.openxmlformats.org/drawingml/2006/main" w="190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0.32547</cdr:x>
      <cdr:y>0.18779</cdr:y>
    </cdr:from>
    <cdr:to>
      <cdr:x>0.72892</cdr:x>
      <cdr:y>0.31326</cdr:y>
    </cdr:to>
    <cdr:sp macro="" textlink="">
      <cdr:nvSpPr>
        <cdr:cNvPr id="10" name="TextBox 9"/>
        <cdr:cNvSpPr txBox="1"/>
      </cdr:nvSpPr>
      <cdr:spPr>
        <a:xfrm xmlns:a="http://schemas.openxmlformats.org/drawingml/2006/main">
          <a:off x="1748438" y="570479"/>
          <a:ext cx="2167374" cy="38115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da-DK" sz="1000"/>
            <a:t>2008 min. wage:</a:t>
          </a:r>
          <a:r>
            <a:rPr lang="da-DK" sz="1000" baseline="0"/>
            <a:t> 1975</a:t>
          </a:r>
          <a:endParaRPr lang="da-DK" sz="1000"/>
        </a:p>
      </cdr:txBody>
    </cdr:sp>
  </cdr:relSizeAnchor>
  <cdr:relSizeAnchor xmlns:cdr="http://schemas.openxmlformats.org/drawingml/2006/chartDrawing">
    <cdr:from>
      <cdr:x>0.29433</cdr:x>
      <cdr:y>0.16304</cdr:y>
    </cdr:from>
    <cdr:to>
      <cdr:x>0.34133</cdr:x>
      <cdr:y>0.19996</cdr:y>
    </cdr:to>
    <cdr:cxnSp macro="">
      <cdr:nvCxnSpPr>
        <cdr:cNvPr id="12" name="Straight Connector 11"/>
        <cdr:cNvCxnSpPr/>
      </cdr:nvCxnSpPr>
      <cdr:spPr>
        <a:xfrm xmlns:a="http://schemas.openxmlformats.org/drawingml/2006/main">
          <a:off x="1581150" y="495300"/>
          <a:ext cx="252509" cy="112146"/>
        </a:xfrm>
        <a:prstGeom xmlns:a="http://schemas.openxmlformats.org/drawingml/2006/main" prst="line">
          <a:avLst/>
        </a:prstGeom>
        <a:ln xmlns:a="http://schemas.openxmlformats.org/drawingml/2006/main">
          <a:solidFill>
            <a:sysClr val="windowText" lastClr="0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0.13967</cdr:x>
      <cdr:y>0.41484</cdr:y>
    </cdr:from>
    <cdr:to>
      <cdr:x>0.81274</cdr:x>
      <cdr:y>0.41484</cdr:y>
    </cdr:to>
    <cdr:cxnSp macro="">
      <cdr:nvCxnSpPr>
        <cdr:cNvPr id="5" name="Straight Connector 4"/>
        <cdr:cNvCxnSpPr/>
      </cdr:nvCxnSpPr>
      <cdr:spPr>
        <a:xfrm xmlns:a="http://schemas.openxmlformats.org/drawingml/2006/main" flipV="1">
          <a:off x="557734" y="1157735"/>
          <a:ext cx="2687836" cy="2"/>
        </a:xfrm>
        <a:prstGeom xmlns:a="http://schemas.openxmlformats.org/drawingml/2006/main" prst="line">
          <a:avLst/>
        </a:prstGeom>
        <a:ln xmlns:a="http://schemas.openxmlformats.org/drawingml/2006/main" w="190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0.44305</cdr:x>
      <cdr:y>0.18069</cdr:y>
    </cdr:from>
    <cdr:to>
      <cdr:x>0.96672</cdr:x>
      <cdr:y>0.27324</cdr:y>
    </cdr:to>
    <cdr:sp macro="" textlink="">
      <cdr:nvSpPr>
        <cdr:cNvPr id="6" name="TextBox 5"/>
        <cdr:cNvSpPr txBox="1"/>
      </cdr:nvSpPr>
      <cdr:spPr>
        <a:xfrm xmlns:a="http://schemas.openxmlformats.org/drawingml/2006/main">
          <a:off x="1422538" y="469003"/>
          <a:ext cx="1681370" cy="240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da-DK" sz="1000"/>
            <a:t>2011 min. wage: 37,200</a:t>
          </a:r>
        </a:p>
      </cdr:txBody>
    </cdr:sp>
  </cdr:relSizeAnchor>
  <cdr:relSizeAnchor xmlns:cdr="http://schemas.openxmlformats.org/drawingml/2006/chartDrawing">
    <cdr:from>
      <cdr:x>0.47257</cdr:x>
      <cdr:y>0.26715</cdr:y>
    </cdr:from>
    <cdr:to>
      <cdr:x>0.5024</cdr:x>
      <cdr:y>0.40273</cdr:y>
    </cdr:to>
    <cdr:cxnSp macro="">
      <cdr:nvCxnSpPr>
        <cdr:cNvPr id="10" name="Straight Connector 9"/>
        <cdr:cNvCxnSpPr/>
      </cdr:nvCxnSpPr>
      <cdr:spPr>
        <a:xfrm xmlns:a="http://schemas.openxmlformats.org/drawingml/2006/main" flipH="1">
          <a:off x="1887140" y="745564"/>
          <a:ext cx="119138" cy="378386"/>
        </a:xfrm>
        <a:prstGeom xmlns:a="http://schemas.openxmlformats.org/drawingml/2006/main" prst="line">
          <a:avLst/>
        </a:prstGeom>
        <a:ln xmlns:a="http://schemas.openxmlformats.org/drawingml/2006/main">
          <a:solidFill>
            <a:sysClr val="windowText" lastClr="0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2AF54-2467-FA47-A2F5-9E10A1AF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132</Pages>
  <Words>39217</Words>
  <Characters>223540</Characters>
  <Application>Microsoft Macintosh Word</Application>
  <DocSecurity>0</DocSecurity>
  <Lines>1862</Lines>
  <Paragraphs>524</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SAMF-IT,KU</Company>
  <LinksUpToDate>false</LinksUpToDate>
  <CharactersWithSpaces>262233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Søren Schou</dc:creator>
  <cp:lastModifiedBy>Denise Denise</cp:lastModifiedBy>
  <cp:revision>2</cp:revision>
  <cp:lastPrinted>2013-03-21T18:19:00Z</cp:lastPrinted>
  <dcterms:created xsi:type="dcterms:W3CDTF">2014-01-28T02:46:00Z</dcterms:created>
  <dcterms:modified xsi:type="dcterms:W3CDTF">2014-01-28T02:46:00Z</dcterms:modified>
</cp:coreProperties>
</file>